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319405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22"/>
          <w:szCs w:val="22"/>
          <w:b w:val="1"/>
          <w:bCs w:val="1"/>
          <w:color w:val="auto"/>
        </w:rPr>
        <w:t>For the month of December 2024</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296545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left="240" w:right="29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273685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1161415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December 23, 2024, Rezolve AI Limited, a private limited company registered under the laws of England and Wales with registration number 14573691(the “Company”), completed a registered offering (the “Offering”) of (i) 5,000,000 Ordinary Shares, par value £0.0001 per share (the “Ordinary Shares”), and (ii) 5,000,000 warrants exercisable for an aggregate of 5,000,000 Ordinary Shares (the “Offering Warrants”), issued pursuant to the securities purchase agreement, dated December 19, 2024 (the “Securities Purchase Agreement”), between the Company and certain institutional investors (the “Investors”).</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offering price of each Ordinary Share and accompanying Offering Warrant was $3.00. The Ordinary Shares, Offering Warrants and the shares underlying the Offering Warrants are collectively referred to herein as the “Securities.”</w:t>
      </w:r>
    </w:p>
    <w:p>
      <w:pPr>
        <w:spacing w:after="0" w:line="16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Offering Warrants have an exercise price of $3.00 per share, are exercisable immediately upon issuance and will expire on the earlier of (i) thirty days after the volume weighted average price of the Ordinary Shares is at or above $6.00 for five consecutive trading days and (ii) five years from the date of issuance.</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consideration of H.C. Wainwright &amp; Co., LLC serving as the placement agent of the Offering (the “Placement Agent”), the Company paid the Placement Agent a cash fee equal to 5.5% of the aggregate gross proceeds of the Offering, and reimbursed the Placement Agent for certain expenses and legal fees.</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Securities were offered pursuant to a registration statement on Form F-1 (File No. 333-283622), as amended, which was declared effective by the Securities and Exchange Commission (the “SEC”) on December 19, 2024.</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approximately $13.8 million from the Offering, after deducting Offering expenses payable by the Company, including the Placement Agent’s commissions and fees. The Company intends to use the net proceeds from the Offering for working capital, repayment of convertible debt and for general corporate purposes.</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Forms of the Securities Purchase Agreement and Offering Warrant are furnished as exhibits to this Report on Form 6-K, and are incorporated by reference herein.</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On December 19, 2024, the Company issued a press release announcing the pricing of the Offering. A copy of the press release is furnished as Exhibit 99.1 to this Report on Form 6-K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FF"/>
        </w:rPr>
        <w:t>Form of Warrant</w:t>
      </w:r>
    </w:p>
    <w:p>
      <w:pPr>
        <w:spacing w:after="0" w:line="2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Form of Securities Purchase Agreement</w:t>
      </w:r>
    </w:p>
    <w:p>
      <w:pPr>
        <w:spacing w:after="0" w:line="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December 19, 2024, announcing the pricing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23, 2024</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20" w:type="dxa"/>
            <w:vAlign w:val="bottom"/>
          </w:tcPr>
          <w:p>
            <w:pPr>
              <w:spacing w:after="0"/>
              <w:rPr>
                <w:sz w:val="20"/>
                <w:szCs w:val="20"/>
                <w:color w:val="auto"/>
              </w:rPr>
            </w:pPr>
          </w:p>
        </w:tc>
      </w:tr>
      <w:tr>
        <w:trPr>
          <w:trHeight w:val="205"/>
        </w:trPr>
        <w:tc>
          <w:tcPr>
            <w:tcW w:w="18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9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0" w:type="dxa"/>
            <w:vAlign w:val="bottom"/>
          </w:tcPr>
          <w:p>
            <w:pPr>
              <w:spacing w:after="0"/>
              <w:rPr>
                <w:sz w:val="20"/>
                <w:szCs w:val="20"/>
                <w:color w:val="auto"/>
              </w:rPr>
            </w:pPr>
          </w:p>
        </w:tc>
      </w:tr>
      <w:tr>
        <w:trPr>
          <w:trHeight w:val="1627"/>
        </w:trPr>
        <w:tc>
          <w:tcPr>
            <w:tcW w:w="1800" w:type="dxa"/>
            <w:vAlign w:val="bottom"/>
            <w:tcBorders>
              <w:bottom w:val="single" w:sz="8" w:color="9A9A9A"/>
            </w:tcBorders>
          </w:tcPr>
          <w:p>
            <w:pPr>
              <w:spacing w:after="0"/>
              <w:rPr>
                <w:sz w:val="24"/>
                <w:szCs w:val="24"/>
                <w:color w:val="auto"/>
              </w:rPr>
            </w:pPr>
          </w:p>
        </w:tc>
        <w:tc>
          <w:tcPr>
            <w:tcW w:w="9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9"/>
          <w:szCs w:val="19"/>
          <w:b w:val="1"/>
          <w:bCs w:val="1"/>
          <w:color w:val="auto"/>
        </w:rPr>
        <w:t>Exhibit 4.1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ORDINARY SHARE PURCHASE WARRANT</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REZOLVE AI LIMITED</w:t>
      </w:r>
    </w:p>
    <w:p>
      <w:pPr>
        <w:sectPr>
          <w:pgSz w:w="11900" w:h="16838" w:orient="portrait"/>
          <w:cols w:equalWidth="0" w:num="1">
            <w:col w:w="11240"/>
          </w:cols>
          <w:pgMar w:left="320" w:top="1422" w:right="33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Warrant Shares: _______</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Initial Exercise Date: December 23, 2024</w:t>
      </w:r>
    </w:p>
    <w:p>
      <w:pPr>
        <w:spacing w:after="0" w:line="200" w:lineRule="exact"/>
        <w:rPr>
          <w:sz w:val="20"/>
          <w:szCs w:val="20"/>
          <w:color w:val="auto"/>
        </w:rPr>
      </w:pPr>
    </w:p>
    <w:p>
      <w:pPr>
        <w:sectPr>
          <w:pgSz w:w="11900" w:h="16838" w:orient="portrait"/>
          <w:cols w:equalWidth="0" w:num="2">
            <w:col w:w="3180" w:space="720"/>
            <w:col w:w="7340"/>
          </w:cols>
          <w:pgMar w:left="320" w:top="1422" w:right="339" w:bottom="1440" w:gutter="0" w:footer="0" w:header="0"/>
          <w:type w:val="continuous"/>
        </w:sectPr>
      </w:pPr>
    </w:p>
    <w:p>
      <w:pPr>
        <w:spacing w:after="0" w:line="26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THIS ORDINARY SHARE PURCHASE WARRANT (the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certifies that, for value received,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 or its assigns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is entitled, upon the terms and subject to the limitations on exercise and the</w:t>
      </w:r>
    </w:p>
    <w:p>
      <w:pPr>
        <w:jc w:val="both"/>
        <w:spacing w:after="0" w:line="241" w:lineRule="auto"/>
        <w:rPr>
          <w:sz w:val="20"/>
          <w:szCs w:val="20"/>
          <w:color w:val="auto"/>
        </w:rPr>
      </w:pPr>
      <w:r>
        <w:rPr>
          <w:rFonts w:ascii="Times New Roman" w:cs="Times New Roman" w:eastAsia="Times New Roman" w:hAnsi="Times New Roman"/>
          <w:sz w:val="21"/>
          <w:szCs w:val="21"/>
          <w:color w:val="auto"/>
        </w:rPr>
        <w:t>conditions hereinafter set forth, at any time on or after the date hereof (the “</w:t>
      </w:r>
      <w:r>
        <w:rPr>
          <w:rFonts w:ascii="Times New Roman" w:cs="Times New Roman" w:eastAsia="Times New Roman" w:hAnsi="Times New Roman"/>
          <w:sz w:val="21"/>
          <w:szCs w:val="21"/>
          <w:u w:val="single" w:color="auto"/>
          <w:color w:val="auto"/>
        </w:rPr>
        <w:t>Initial Exercise Date</w:t>
      </w:r>
      <w:r>
        <w:rPr>
          <w:rFonts w:ascii="Times New Roman" w:cs="Times New Roman" w:eastAsia="Times New Roman" w:hAnsi="Times New Roman"/>
          <w:sz w:val="21"/>
          <w:szCs w:val="21"/>
          <w:color w:val="auto"/>
        </w:rPr>
        <w:t>”) and on or prior to 5:00 p.m. (New York City time) on the earlier of (i) thirty (30) days after the VWAP is at or above $6.00 for five consecutive Trading Days and (ii) December 24, 2029 (the “</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but not thereafter, to subscribe for and purchase from Rezolve AI Limited, a limited company registered under the laws of England and Wales with registration number 14573691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up to</w:t>
      </w:r>
    </w:p>
    <w:p>
      <w:pPr>
        <w:spacing w:after="0" w:line="232" w:lineRule="auto"/>
        <w:rPr>
          <w:sz w:val="20"/>
          <w:szCs w:val="20"/>
          <w:color w:val="auto"/>
        </w:rPr>
      </w:pPr>
      <w:r>
        <w:rPr>
          <w:rFonts w:ascii="Times New Roman" w:cs="Times New Roman" w:eastAsia="Times New Roman" w:hAnsi="Times New Roman"/>
          <w:sz w:val="22"/>
          <w:szCs w:val="22"/>
          <w:color w:val="auto"/>
        </w:rPr>
        <w:t>______ Ordinary Shares (as subject to adjustment hereunder, the “</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provided that, if there is no effective</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registration statement registering, or the prospectus contained therein is not available for, the issuance of the Warrant Shares to the Holder (“</w:t>
      </w:r>
      <w:r>
        <w:rPr>
          <w:rFonts w:ascii="Times New Roman" w:cs="Times New Roman" w:eastAsia="Times New Roman" w:hAnsi="Times New Roman"/>
          <w:sz w:val="22"/>
          <w:szCs w:val="22"/>
          <w:u w:val="single" w:color="auto"/>
          <w:color w:val="auto"/>
        </w:rPr>
        <w:t>Registration Statement Unavailability</w:t>
      </w:r>
      <w:r>
        <w:rPr>
          <w:rFonts w:ascii="Times New Roman" w:cs="Times New Roman" w:eastAsia="Times New Roman" w:hAnsi="Times New Roman"/>
          <w:sz w:val="22"/>
          <w:szCs w:val="22"/>
          <w:color w:val="auto"/>
        </w:rPr>
        <w:t>”) at any time during the term of this Warrant (the aggregate number of days on which the Registration Statement Unavailability occurs, the “</w:t>
      </w:r>
      <w:r>
        <w:rPr>
          <w:rFonts w:ascii="Times New Roman" w:cs="Times New Roman" w:eastAsia="Times New Roman" w:hAnsi="Times New Roman"/>
          <w:sz w:val="22"/>
          <w:szCs w:val="22"/>
          <w:u w:val="single" w:color="auto"/>
          <w:color w:val="auto"/>
        </w:rPr>
        <w:t>Applicable Days</w:t>
      </w:r>
      <w:r>
        <w:rPr>
          <w:rFonts w:ascii="Times New Roman" w:cs="Times New Roman" w:eastAsia="Times New Roman" w:hAnsi="Times New Roman"/>
          <w:sz w:val="22"/>
          <w:szCs w:val="22"/>
          <w:color w:val="auto"/>
        </w:rPr>
        <w:t>”), the new Termination Date of this Warrant shall be the Termination Date as of the Initial Exercise Date hereof plus the number of Applicable Days. The purchase price of one Ordinary Share under this Warrant shall be equal to the Exercise Price, as defined in Section 2(b).</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In addition to the terms defined elsewhere in this Warrant, the following terms have the meanings indicated in this Section 1:</w:t>
      </w:r>
    </w:p>
    <w:p>
      <w:pPr>
        <w:spacing w:after="0" w:line="158" w:lineRule="exact"/>
        <w:rPr>
          <w:sz w:val="20"/>
          <w:szCs w:val="20"/>
          <w:color w:val="auto"/>
        </w:rPr>
      </w:pPr>
    </w:p>
    <w:p>
      <w:pPr>
        <w:jc w:val="both"/>
        <w:ind w:left="760"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3" w:lineRule="exact"/>
        <w:rPr>
          <w:sz w:val="20"/>
          <w:szCs w:val="20"/>
          <w:color w:val="auto"/>
        </w:rPr>
      </w:pPr>
    </w:p>
    <w:p>
      <w:pPr>
        <w:jc w:val="both"/>
        <w:ind w:left="760"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Bid Price</w:t>
      </w:r>
      <w:r>
        <w:rPr>
          <w:rFonts w:ascii="Times New Roman" w:cs="Times New Roman" w:eastAsia="Times New Roman" w:hAnsi="Times New Roman"/>
          <w:sz w:val="22"/>
          <w:szCs w:val="22"/>
          <w:color w:val="auto"/>
        </w:rPr>
        <w:t>” means, for any date, the price determined by the first of the following clauses that applies: (a) if the Ordinary Shares are then listed or quoted on a Trading Market, the bid price of the Ordinary Shares for the time in question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share of the Ordinary Shares so reported, or (d) in all other cases, the fair market value of an Ordinary Share as determined by an independent appraiser selected in good faith by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type w:val="continuous"/>
        </w:sectPr>
      </w:pPr>
    </w:p>
    <w:bookmarkStart w:id="4" w:name="page5"/>
    <w:bookmarkEnd w:id="4"/>
    <w:p>
      <w:pPr>
        <w:jc w:val="both"/>
        <w:ind w:left="420" w:right="20"/>
        <w:spacing w:after="0" w:line="258" w:lineRule="auto"/>
        <w:rPr>
          <w:sz w:val="20"/>
          <w:szCs w:val="20"/>
          <w:color w:val="auto"/>
        </w:rPr>
      </w:pPr>
      <w:r>
        <w:rPr>
          <w:rFonts w:ascii="Times New Roman" w:cs="Times New Roman" w:eastAsia="Times New Roman" w:hAnsi="Times New Roman"/>
          <w:sz w:val="22"/>
          <w:szCs w:val="22"/>
          <w:color w:val="auto"/>
        </w:rPr>
        <w:t>Holders of a majority in interest of the Warrants then outstanding and reasonably acceptable to the Company, the fees and expenses of which shall be paid by the Company.</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means the board of directors of the Company.</w:t>
      </w:r>
    </w:p>
    <w:p>
      <w:pPr>
        <w:spacing w:after="0" w:line="206" w:lineRule="exact"/>
        <w:rPr>
          <w:sz w:val="20"/>
          <w:szCs w:val="20"/>
          <w:color w:val="auto"/>
        </w:rPr>
      </w:pPr>
    </w:p>
    <w:p>
      <w:pPr>
        <w:jc w:val="both"/>
        <w:ind w:left="420"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means the United States Securities and Exchange Commission.</w:t>
      </w:r>
    </w:p>
    <w:p>
      <w:pPr>
        <w:spacing w:after="0" w:line="206" w:lineRule="exact"/>
        <w:rPr>
          <w:sz w:val="20"/>
          <w:szCs w:val="20"/>
          <w:color w:val="auto"/>
        </w:rPr>
      </w:pPr>
    </w:p>
    <w:p>
      <w:pPr>
        <w:jc w:val="both"/>
        <w:ind w:left="4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85" w:lineRule="exact"/>
        <w:rPr>
          <w:sz w:val="20"/>
          <w:szCs w:val="20"/>
          <w:color w:val="auto"/>
        </w:rPr>
      </w:pPr>
    </w:p>
    <w:p>
      <w:pPr>
        <w:jc w:val="both"/>
        <w:ind w:left="4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Shares</w:t>
      </w:r>
      <w:r>
        <w:rPr>
          <w:rFonts w:ascii="Times New Roman" w:cs="Times New Roman" w:eastAsia="Times New Roman" w:hAnsi="Times New Roman"/>
          <w:sz w:val="22"/>
          <w:szCs w:val="22"/>
          <w:color w:val="auto"/>
        </w:rPr>
        <w:t>” means the ordinary shares of the Company, par value £0.0001 per share, and any other class of securities into which such securities may hereafter be reclassified or changed.</w:t>
      </w:r>
    </w:p>
    <w:p>
      <w:pPr>
        <w:spacing w:after="0" w:line="158" w:lineRule="exact"/>
        <w:rPr>
          <w:sz w:val="20"/>
          <w:szCs w:val="20"/>
          <w:color w:val="auto"/>
        </w:rPr>
      </w:pPr>
    </w:p>
    <w:p>
      <w:pPr>
        <w:jc w:val="both"/>
        <w:ind w:left="4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Share Equivalents</w:t>
      </w:r>
      <w:r>
        <w:rPr>
          <w:rFonts w:ascii="Times New Roman" w:cs="Times New Roman" w:eastAsia="Times New Roman" w:hAnsi="Times New Roman"/>
          <w:sz w:val="22"/>
          <w:szCs w:val="22"/>
          <w:color w:val="auto"/>
        </w:rPr>
        <w:t xml:space="preserve">” means any securities of the Company or the Subsidiaries which would entitle the holder thereof to acquire at any time </w:t>
      </w:r>
      <w:r>
        <w:rPr>
          <w:rFonts w:ascii="Times New Roman" w:cs="Times New Roman" w:eastAsia="Times New Roman" w:hAnsi="Times New Roman"/>
          <w:sz w:val="22"/>
          <w:szCs w:val="22"/>
          <w:u w:val="single" w:color="auto"/>
          <w:color w:val="auto"/>
        </w:rPr>
        <w:t>Ordinary</w:t>
      </w:r>
      <w:r>
        <w:rPr>
          <w:rFonts w:ascii="Times New Roman" w:cs="Times New Roman" w:eastAsia="Times New Roman" w:hAnsi="Times New Roman"/>
          <w:sz w:val="22"/>
          <w:szCs w:val="22"/>
          <w:color w:val="auto"/>
        </w:rPr>
        <w:t xml:space="preserve"> Shares, including, without limitation, any debt, preferred stock, right, option, warrant or other instrument that is at any time convertible into or exercisable or exchangeable for, or otherwise entitles the holder thereof to receive, Ordinary Shares.</w:t>
      </w:r>
    </w:p>
    <w:p>
      <w:pPr>
        <w:spacing w:after="0" w:line="207" w:lineRule="exact"/>
        <w:rPr>
          <w:sz w:val="20"/>
          <w:szCs w:val="20"/>
          <w:color w:val="auto"/>
        </w:rPr>
      </w:pPr>
    </w:p>
    <w:p>
      <w:pPr>
        <w:jc w:val="both"/>
        <w:ind w:left="420" w:firstLine="830"/>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3" w:lineRule="exact"/>
        <w:rPr>
          <w:sz w:val="20"/>
          <w:szCs w:val="20"/>
          <w:color w:val="auto"/>
        </w:rPr>
      </w:pPr>
    </w:p>
    <w:p>
      <w:pPr>
        <w:jc w:val="both"/>
        <w:ind w:left="4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means the securities purchase agreement, dated as of December 19, 2024, by and between the Company and each of the purchasers signatory thereto</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the Company’s registration statement on Form F-1 (File No. 333-283622).</w:t>
      </w:r>
    </w:p>
    <w:p>
      <w:pPr>
        <w:spacing w:after="0" w:line="206" w:lineRule="exact"/>
        <w:rPr>
          <w:sz w:val="20"/>
          <w:szCs w:val="20"/>
          <w:color w:val="auto"/>
        </w:rPr>
      </w:pPr>
    </w:p>
    <w:p>
      <w:pPr>
        <w:jc w:val="both"/>
        <w:ind w:left="420" w:right="20" w:firstLine="83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 thereunder.</w:t>
      </w:r>
    </w:p>
    <w:p>
      <w:pPr>
        <w:spacing w:after="0" w:line="158" w:lineRule="exact"/>
        <w:rPr>
          <w:sz w:val="20"/>
          <w:szCs w:val="20"/>
          <w:color w:val="auto"/>
        </w:rPr>
      </w:pPr>
    </w:p>
    <w:p>
      <w:pPr>
        <w:jc w:val="both"/>
        <w:ind w:left="4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subsidiary of the Company and shall, where applicable, also include any direct or indirect subsidiary of the Company formed or acquired after the date hereof.</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the Ordinary Shares are traded on a Trading Market.</w:t>
      </w:r>
    </w:p>
    <w:p>
      <w:pPr>
        <w:spacing w:after="0" w:line="206" w:lineRule="exact"/>
        <w:rPr>
          <w:sz w:val="20"/>
          <w:szCs w:val="20"/>
          <w:color w:val="auto"/>
        </w:rPr>
      </w:pPr>
    </w:p>
    <w:p>
      <w:pPr>
        <w:jc w:val="both"/>
        <w:ind w:left="420" w:firstLine="7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Trading Market</w:t>
      </w:r>
      <w:r>
        <w:rPr>
          <w:rFonts w:ascii="Times New Roman" w:cs="Times New Roman" w:eastAsia="Times New Roman" w:hAnsi="Times New Roman"/>
          <w:sz w:val="21"/>
          <w:szCs w:val="21"/>
          <w:color w:val="auto"/>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spacing w:after="0" w:line="157" w:lineRule="exact"/>
        <w:rPr>
          <w:sz w:val="20"/>
          <w:szCs w:val="20"/>
          <w:color w:val="auto"/>
        </w:rPr>
      </w:pPr>
    </w:p>
    <w:p>
      <w:pPr>
        <w:jc w:val="both"/>
        <w:ind w:left="4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Agent</w:t>
      </w:r>
      <w:r>
        <w:rPr>
          <w:rFonts w:ascii="Times New Roman" w:cs="Times New Roman" w:eastAsia="Times New Roman" w:hAnsi="Times New Roman"/>
          <w:sz w:val="22"/>
          <w:szCs w:val="22"/>
          <w:color w:val="auto"/>
        </w:rPr>
        <w:t>” means Computershare Inc., the current transfer agent of the Company, and any successor transfer agent of the Company.</w:t>
      </w:r>
    </w:p>
    <w:p>
      <w:pPr>
        <w:spacing w:after="0" w:line="158" w:lineRule="exact"/>
        <w:rPr>
          <w:sz w:val="20"/>
          <w:szCs w:val="20"/>
          <w:color w:val="auto"/>
        </w:rPr>
      </w:pPr>
    </w:p>
    <w:p>
      <w:pPr>
        <w:jc w:val="both"/>
        <w:ind w:left="420"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(based on a Trading Day from 9:30 a.m. (New York City time) to 4:02 p.m. (New York City time)), (b) if the OTCQB Venture Market (“OTCQB”) or the OTCQX Best Market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(“Pink Market”) operated by the OTC Markets, Inc. (or a similar organization or agency succeeding to its functions of reporting prices), the most recent bid price per share of the Ordinary Shares so reported, or (d) in all other cases, the fair market value of an Ordinary Share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2" w:lineRule="exact"/>
        <w:rPr>
          <w:sz w:val="20"/>
          <w:szCs w:val="20"/>
          <w:color w:val="auto"/>
        </w:rPr>
      </w:pPr>
    </w:p>
    <w:p>
      <w:pPr>
        <w:jc w:val="both"/>
        <w:ind w:left="4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means this Warrant and other Ordinary Share purchase warrants issued by the Company pursuant to the Registration Statement.</w:t>
      </w:r>
    </w:p>
    <w:p>
      <w:pPr>
        <w:spacing w:after="0" w:line="158" w:lineRule="exact"/>
        <w:rPr>
          <w:sz w:val="20"/>
          <w:szCs w:val="20"/>
          <w:color w:val="auto"/>
        </w:rPr>
      </w:pPr>
    </w:p>
    <w:p>
      <w:pPr>
        <w:ind w:left="420"/>
        <w:spacing w:after="0"/>
        <w:tabs>
          <w:tab w:leader="none" w:pos="1700" w:val="left"/>
        </w:tabs>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Exercise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420" w:firstLine="745"/>
        <w:spacing w:after="0" w:line="234" w:lineRule="auto"/>
        <w:tabs>
          <w:tab w:leader="none" w:pos="1708" w:val="left"/>
        </w:tabs>
        <w:numPr>
          <w:ilvl w:val="0"/>
          <w:numId w:val="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Exercise of Warrant</w:t>
      </w:r>
      <w:r>
        <w:rPr>
          <w:rFonts w:ascii="Times New Roman" w:cs="Times New Roman" w:eastAsia="Times New Roman" w:hAnsi="Times New Roman"/>
          <w:sz w:val="22"/>
          <w:szCs w:val="22"/>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22"/>
          <w:szCs w:val="22"/>
          <w:u w:val="single" w:color="auto"/>
          <w:color w:val="auto"/>
        </w:rPr>
        <w:t>Notice of Exercise</w:t>
      </w:r>
      <w:r>
        <w:rPr>
          <w:rFonts w:ascii="Times New Roman" w:cs="Times New Roman" w:eastAsia="Times New Roman" w:hAnsi="Times New Roman"/>
          <w:sz w:val="22"/>
          <w:szCs w:val="22"/>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6" w:name="page7"/>
    <w:bookmarkEnd w:id="6"/>
    <w:p>
      <w:pPr>
        <w:jc w:val="both"/>
        <w:ind w:left="420"/>
        <w:spacing w:after="0" w:line="233" w:lineRule="auto"/>
        <w:rPr>
          <w:sz w:val="20"/>
          <w:szCs w:val="20"/>
          <w:color w:val="auto"/>
        </w:rPr>
      </w:pPr>
      <w:r>
        <w:rPr>
          <w:rFonts w:ascii="Times New Roman" w:cs="Times New Roman" w:eastAsia="Times New Roman" w:hAnsi="Times New Roman"/>
          <w:sz w:val="22"/>
          <w:szCs w:val="22"/>
          <w:color w:val="auto"/>
        </w:rPr>
        <w:t xml:space="preserve">Warrant Shares available hereunder and the Warrant has been exercised in full, in which case, the Holder shall surrender this Warrant to the Company for cancellation within five (5)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22"/>
          <w:szCs w:val="22"/>
          <w:b w:val="1"/>
          <w:bCs w:val="1"/>
          <w:color w:val="auto"/>
        </w:rPr>
        <w:t>The Holder and any assignee, by acceptance of this Warrant, acknowledge and agree that, by reason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the provisions of this paragraph, following the purchase of a portion of the Warrant Shares hereunder, the number of Warrant Shares available for purchase hereunder at any given time may be less than the amount stated on the face hereof.</w:t>
      </w:r>
    </w:p>
    <w:p>
      <w:pPr>
        <w:spacing w:after="0" w:line="183" w:lineRule="exact"/>
        <w:rPr>
          <w:sz w:val="20"/>
          <w:szCs w:val="20"/>
          <w:color w:val="auto"/>
        </w:rPr>
      </w:pPr>
    </w:p>
    <w:p>
      <w:pPr>
        <w:ind w:left="420" w:firstLine="745"/>
        <w:spacing w:after="0" w:line="262" w:lineRule="auto"/>
        <w:tabs>
          <w:tab w:leader="none" w:pos="1708" w:val="left"/>
        </w:tabs>
        <w:numPr>
          <w:ilvl w:val="0"/>
          <w:numId w:val="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xml:space="preserve">. The exercise price per Ordinary Share under this Warrant shall be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3.00, subject to adjustment hereunder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u w:val="single" w:color="auto"/>
          <w:color w:val="auto"/>
        </w:rPr>
      </w:pPr>
    </w:p>
    <w:p>
      <w:pPr>
        <w:ind w:left="1700" w:hanging="535"/>
        <w:spacing w:after="0"/>
        <w:tabs>
          <w:tab w:leader="none" w:pos="1700" w:val="left"/>
        </w:tabs>
        <w:numPr>
          <w:ilvl w:val="0"/>
          <w:numId w:val="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ind w:left="1700" w:hanging="535"/>
        <w:spacing w:after="0"/>
        <w:tabs>
          <w:tab w:leader="none" w:pos="1700" w:val="left"/>
        </w:tabs>
        <w:numPr>
          <w:ilvl w:val="0"/>
          <w:numId w:val="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Mechanics of Exercise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left="2100" w:firstLine="758"/>
        <w:spacing w:after="0" w:line="232" w:lineRule="auto"/>
        <w:tabs>
          <w:tab w:leader="none" w:pos="3223" w:val="left"/>
        </w:tabs>
        <w:numPr>
          <w:ilvl w:val="1"/>
          <w:numId w:val="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Delivery of Warrant Shares Upon Exercise</w:t>
      </w:r>
      <w:r>
        <w:rPr>
          <w:rFonts w:ascii="Times New Roman" w:cs="Times New Roman" w:eastAsia="Times New Roman" w:hAnsi="Times New Roman"/>
          <w:sz w:val="22"/>
          <w:szCs w:val="22"/>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22"/>
          <w:szCs w:val="22"/>
          <w:u w:val="single" w:color="auto"/>
          <w:color w:val="auto"/>
        </w:rPr>
        <w:t>DWAC</w:t>
      </w:r>
      <w:r>
        <w:rPr>
          <w:rFonts w:ascii="Times New Roman" w:cs="Times New Roman" w:eastAsia="Times New Roman" w:hAnsi="Times New Roman"/>
          <w:sz w:val="22"/>
          <w:szCs w:val="22"/>
          <w:color w:val="auto"/>
        </w:rPr>
        <w:t>”) if the Company is then a participant in such system and there is an effective registration statement permitting the issuance of the Warrant Shares to or resale of the Warrant Shares by the Holder,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22"/>
          <w:szCs w:val="22"/>
          <w:u w:val="single" w:color="auto"/>
          <w:color w:val="auto"/>
        </w:rPr>
        <w:t>Warrant Share Delivery Date</w:t>
      </w:r>
      <w:r>
        <w:rPr>
          <w:rFonts w:ascii="Times New Roman" w:cs="Times New Roman" w:eastAsia="Times New Roman" w:hAnsi="Times New Roman"/>
          <w:sz w:val="22"/>
          <w:szCs w:val="22"/>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is received within the earlier of (i) one (1) Trading Day and (ii) the number of Trading Days comprising the Standard Settlement Period following delivery of the Notice of Exercise. The Company agrees to maintain a transfer agent that is a participant in the FAST program so long as this Warrant remains outstanding and</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7" w:name="page8"/>
    <w:bookmarkEnd w:id="7"/>
    <w:p>
      <w:pPr>
        <w:jc w:val="both"/>
        <w:ind w:left="2100"/>
        <w:spacing w:after="0" w:line="234" w:lineRule="auto"/>
        <w:rPr>
          <w:sz w:val="20"/>
          <w:szCs w:val="20"/>
          <w:color w:val="auto"/>
        </w:rPr>
      </w:pPr>
      <w:r>
        <w:rPr>
          <w:rFonts w:ascii="Times New Roman" w:cs="Times New Roman" w:eastAsia="Times New Roman" w:hAnsi="Times New Roman"/>
          <w:sz w:val="22"/>
          <w:szCs w:val="22"/>
          <w:color w:val="auto"/>
        </w:rPr>
        <w:t>exercisable. As used herein, “</w:t>
      </w:r>
      <w:r>
        <w:rPr>
          <w:rFonts w:ascii="Times New Roman" w:cs="Times New Roman" w:eastAsia="Times New Roman" w:hAnsi="Times New Roman"/>
          <w:sz w:val="22"/>
          <w:szCs w:val="22"/>
          <w:u w:val="single" w:color="auto"/>
          <w:color w:val="auto"/>
        </w:rPr>
        <w:t>Standard Settlement Period</w:t>
      </w:r>
      <w:r>
        <w:rPr>
          <w:rFonts w:ascii="Times New Roman" w:cs="Times New Roman" w:eastAsia="Times New Roman" w:hAnsi="Times New Roman"/>
          <w:sz w:val="22"/>
          <w:szCs w:val="22"/>
          <w:color w:val="auto"/>
        </w:rPr>
        <w:t>” means the standard settlement period, expressed in a number of Trading Days, on the Company’s primary Trading Market with respect to the Ordinary Shares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is received by such Warrant Share Delivery Date.</w:t>
      </w:r>
    </w:p>
    <w:p>
      <w:pPr>
        <w:spacing w:after="0" w:line="183" w:lineRule="exact"/>
        <w:rPr>
          <w:sz w:val="20"/>
          <w:szCs w:val="20"/>
          <w:color w:val="auto"/>
        </w:rPr>
      </w:pPr>
    </w:p>
    <w:p>
      <w:pPr>
        <w:jc w:val="both"/>
        <w:ind w:left="2100" w:firstLine="668"/>
        <w:spacing w:after="0" w:line="238" w:lineRule="auto"/>
        <w:tabs>
          <w:tab w:leader="none" w:pos="3223" w:val="left"/>
        </w:tabs>
        <w:numPr>
          <w:ilvl w:val="0"/>
          <w:numId w:val="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Delivery of New Warrants Upon Exercise</w:t>
      </w:r>
      <w:r>
        <w:rPr>
          <w:rFonts w:ascii="Times New Roman" w:cs="Times New Roman" w:eastAsia="Times New Roman" w:hAnsi="Times New Roman"/>
          <w:sz w:val="22"/>
          <w:szCs w:val="22"/>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6" w:lineRule="exact"/>
        <w:rPr>
          <w:rFonts w:ascii="Times New Roman" w:cs="Times New Roman" w:eastAsia="Times New Roman" w:hAnsi="Times New Roman"/>
          <w:sz w:val="22"/>
          <w:szCs w:val="22"/>
          <w:u w:val="single" w:color="auto"/>
          <w:color w:val="auto"/>
        </w:rPr>
      </w:pPr>
    </w:p>
    <w:p>
      <w:pPr>
        <w:jc w:val="both"/>
        <w:ind w:left="2100" w:firstLine="758"/>
        <w:spacing w:after="0" w:line="244" w:lineRule="auto"/>
        <w:tabs>
          <w:tab w:leader="none" w:pos="3223" w:val="left"/>
        </w:tabs>
        <w:numPr>
          <w:ilvl w:val="1"/>
          <w:numId w:val="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Rescission Rights</w:t>
      </w:r>
      <w:r>
        <w:rPr>
          <w:rFonts w:ascii="Times New Roman" w:cs="Times New Roman" w:eastAsia="Times New Roman" w:hAnsi="Times New Roman"/>
          <w:sz w:val="22"/>
          <w:szCs w:val="22"/>
          <w:color w:val="auto"/>
        </w:rPr>
        <w:t>. If the Company fails to cause the Transfer Agent to transmit to the Holder the Warrant Shares pursuant to Section 2(d)(i) by the Warrant Share Delivery Date, then the Holder will have the right to rescind such exercise.</w:t>
      </w:r>
    </w:p>
    <w:p>
      <w:pPr>
        <w:spacing w:after="0" w:line="173" w:lineRule="exact"/>
        <w:rPr>
          <w:rFonts w:ascii="Times New Roman" w:cs="Times New Roman" w:eastAsia="Times New Roman" w:hAnsi="Times New Roman"/>
          <w:sz w:val="22"/>
          <w:szCs w:val="22"/>
          <w:u w:val="single" w:color="auto"/>
          <w:color w:val="auto"/>
        </w:rPr>
      </w:pPr>
    </w:p>
    <w:p>
      <w:pPr>
        <w:jc w:val="both"/>
        <w:ind w:left="2100" w:firstLine="758"/>
        <w:spacing w:after="0" w:line="245" w:lineRule="auto"/>
        <w:tabs>
          <w:tab w:leader="none" w:pos="3223" w:val="left"/>
        </w:tabs>
        <w:numPr>
          <w:ilvl w:val="1"/>
          <w:numId w:val="3"/>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Failure to Timely Deliver Warrant Shares Upon Exercise</w:t>
      </w:r>
      <w:r>
        <w:rPr>
          <w:rFonts w:ascii="Times New Roman" w:cs="Times New Roman" w:eastAsia="Times New Roman" w:hAnsi="Times New Roman"/>
          <w:sz w:val="21"/>
          <w:szCs w:val="21"/>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then the Company shall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spacing w:after="0" w:line="177" w:lineRule="exact"/>
        <w:rPr>
          <w:rFonts w:ascii="Times New Roman" w:cs="Times New Roman" w:eastAsia="Times New Roman" w:hAnsi="Times New Roman"/>
          <w:sz w:val="21"/>
          <w:szCs w:val="21"/>
          <w:u w:val="single" w:color="auto"/>
          <w:color w:val="auto"/>
        </w:rPr>
      </w:pPr>
    </w:p>
    <w:p>
      <w:pPr>
        <w:jc w:val="both"/>
        <w:ind w:left="2100" w:firstLine="758"/>
        <w:spacing w:after="0" w:line="244" w:lineRule="auto"/>
        <w:tabs>
          <w:tab w:leader="none" w:pos="3223" w:val="left"/>
        </w:tabs>
        <w:numPr>
          <w:ilvl w:val="1"/>
          <w:numId w:val="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Fractional Shares or Scrip</w:t>
      </w:r>
      <w:r>
        <w:rPr>
          <w:rFonts w:ascii="Times New Roman" w:cs="Times New Roman" w:eastAsia="Times New Roman" w:hAnsi="Times New Roman"/>
          <w:sz w:val="22"/>
          <w:szCs w:val="22"/>
          <w:color w:val="auto"/>
        </w:rPr>
        <w:t>. No fractional shares or scrip representing fractional shares shall be issued upon the exercise of this Warrant. As to any fraction of a share which the Holder would otherwise</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8" w:name="page9"/>
    <w:bookmarkEnd w:id="8"/>
    <w:p>
      <w:pPr>
        <w:jc w:val="both"/>
        <w:ind w:left="2100"/>
        <w:spacing w:after="0" w:line="244" w:lineRule="auto"/>
        <w:rPr>
          <w:sz w:val="20"/>
          <w:szCs w:val="20"/>
          <w:color w:val="auto"/>
        </w:rPr>
      </w:pPr>
      <w:r>
        <w:rPr>
          <w:rFonts w:ascii="Times New Roman" w:cs="Times New Roman" w:eastAsia="Times New Roman" w:hAnsi="Times New Roman"/>
          <w:sz w:val="22"/>
          <w:szCs w:val="22"/>
          <w:color w:val="auto"/>
        </w:rPr>
        <w:t>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3" w:lineRule="exact"/>
        <w:rPr>
          <w:sz w:val="20"/>
          <w:szCs w:val="20"/>
          <w:color w:val="auto"/>
        </w:rPr>
      </w:pPr>
    </w:p>
    <w:p>
      <w:pPr>
        <w:jc w:val="both"/>
        <w:ind w:left="2100" w:firstLine="758"/>
        <w:spacing w:after="0" w:line="233" w:lineRule="auto"/>
        <w:tabs>
          <w:tab w:leader="none" w:pos="3223" w:val="left"/>
        </w:tabs>
        <w:numPr>
          <w:ilvl w:val="1"/>
          <w:numId w:val="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Charges, Taxes and Expenses</w:t>
      </w:r>
      <w:r>
        <w:rPr>
          <w:rFonts w:ascii="Times New Roman" w:cs="Times New Roman" w:eastAsia="Times New Roman" w:hAnsi="Times New Roman"/>
          <w:sz w:val="22"/>
          <w:szCs w:val="22"/>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4" w:lineRule="exact"/>
        <w:rPr>
          <w:rFonts w:ascii="Times New Roman" w:cs="Times New Roman" w:eastAsia="Times New Roman" w:hAnsi="Times New Roman"/>
          <w:sz w:val="22"/>
          <w:szCs w:val="22"/>
          <w:u w:val="single" w:color="auto"/>
          <w:color w:val="auto"/>
        </w:rPr>
      </w:pPr>
    </w:p>
    <w:p>
      <w:pPr>
        <w:ind w:left="2100" w:firstLine="758"/>
        <w:spacing w:after="0" w:line="258" w:lineRule="auto"/>
        <w:tabs>
          <w:tab w:leader="none" w:pos="3223" w:val="left"/>
        </w:tabs>
        <w:numPr>
          <w:ilvl w:val="1"/>
          <w:numId w:val="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Closing of Books</w:t>
      </w:r>
      <w:r>
        <w:rPr>
          <w:rFonts w:ascii="Times New Roman" w:cs="Times New Roman" w:eastAsia="Times New Roman" w:hAnsi="Times New Roman"/>
          <w:sz w:val="22"/>
          <w:szCs w:val="22"/>
          <w:color w:val="auto"/>
        </w:rPr>
        <w:t>. The Company will not close its stockholder books or records in any manner which prevents the timely exercise of this Warrant, pursuant to the terms hereof.</w:t>
      </w:r>
    </w:p>
    <w:p>
      <w:pPr>
        <w:spacing w:after="0" w:line="158" w:lineRule="exact"/>
        <w:rPr>
          <w:rFonts w:ascii="Times New Roman" w:cs="Times New Roman" w:eastAsia="Times New Roman" w:hAnsi="Times New Roman"/>
          <w:sz w:val="22"/>
          <w:szCs w:val="22"/>
          <w:u w:val="single" w:color="auto"/>
          <w:color w:val="auto"/>
        </w:rPr>
      </w:pPr>
    </w:p>
    <w:p>
      <w:pPr>
        <w:jc w:val="both"/>
        <w:ind w:left="1160" w:firstLine="754"/>
        <w:spacing w:after="0" w:line="232" w:lineRule="auto"/>
        <w:tabs>
          <w:tab w:leader="none" w:pos="234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Holder’s Exercise Limitations</w:t>
      </w:r>
      <w:r>
        <w:rPr>
          <w:rFonts w:ascii="Times New Roman" w:cs="Times New Roman" w:eastAsia="Times New Roman" w:hAnsi="Times New Roman"/>
          <w:sz w:val="22"/>
          <w:szCs w:val="22"/>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22"/>
          <w:szCs w:val="22"/>
          <w:u w:val="single" w:color="auto"/>
          <w:color w:val="auto"/>
        </w:rPr>
        <w:t>Attribution Parties</w:t>
      </w:r>
      <w:r>
        <w:rPr>
          <w:rFonts w:ascii="Times New Roman" w:cs="Times New Roman" w:eastAsia="Times New Roman" w:hAnsi="Times New Roman"/>
          <w:sz w:val="22"/>
          <w:szCs w:val="22"/>
          <w:color w:val="auto"/>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9" w:name="page10"/>
    <w:bookmarkEnd w:id="9"/>
    <w:p>
      <w:pPr>
        <w:jc w:val="both"/>
        <w:ind w:left="1160"/>
        <w:spacing w:after="0" w:line="243" w:lineRule="auto"/>
        <w:rPr>
          <w:sz w:val="20"/>
          <w:szCs w:val="20"/>
          <w:color w:val="auto"/>
        </w:rPr>
      </w:pPr>
      <w:r>
        <w:rPr>
          <w:rFonts w:ascii="Times New Roman" w:cs="Times New Roman" w:eastAsia="Times New Roman" w:hAnsi="Times New Roman"/>
          <w:sz w:val="21"/>
          <w:szCs w:val="21"/>
          <w:color w:val="auto"/>
        </w:rPr>
        <w:t>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w:t>
      </w:r>
    </w:p>
    <w:p>
      <w:pPr>
        <w:spacing w:after="0" w:line="4" w:lineRule="exact"/>
        <w:rPr>
          <w:sz w:val="20"/>
          <w:szCs w:val="20"/>
          <w:color w:val="auto"/>
        </w:rPr>
      </w:pPr>
    </w:p>
    <w:p>
      <w:pPr>
        <w:jc w:val="both"/>
        <w:ind w:left="1160" w:firstLine="5"/>
        <w:spacing w:after="0" w:line="228" w:lineRule="auto"/>
        <w:tabs>
          <w:tab w:leader="none" w:pos="152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 w:cs="Times New Roman" w:eastAsia="Times New Roman" w:hAnsi="Times New Roman"/>
          <w:sz w:val="22"/>
          <w:szCs w:val="22"/>
          <w:u w:val="single" w:color="auto"/>
          <w:color w:val="auto"/>
        </w:rPr>
        <w:t>Beneficial Ownership Limitation</w:t>
      </w:r>
      <w:r>
        <w:rPr>
          <w:rFonts w:ascii="Times New Roman" w:cs="Times New Roman" w:eastAsia="Times New Roman" w:hAnsi="Times New Roman"/>
          <w:sz w:val="22"/>
          <w:szCs w:val="22"/>
          <w:color w:val="auto"/>
        </w:rPr>
        <w:t>” shall be 4.99% of the number of Ordinary Shares outstanding immediately after giving effect to the issuance of Ordinary Shares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3" w:lineRule="exact"/>
        <w:rPr>
          <w:sz w:val="20"/>
          <w:szCs w:val="20"/>
          <w:color w:val="auto"/>
        </w:rPr>
      </w:pPr>
    </w:p>
    <w:p>
      <w:pPr>
        <w:ind w:left="420"/>
        <w:spacing w:after="0"/>
        <w:tabs>
          <w:tab w:leader="none" w:pos="1700" w:val="left"/>
        </w:tabs>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Certain Adjustments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0" w:name="page11"/>
    <w:bookmarkEnd w:id="10"/>
    <w:p>
      <w:pPr>
        <w:jc w:val="both"/>
        <w:ind w:left="420" w:firstLine="745"/>
        <w:spacing w:after="0" w:line="250" w:lineRule="exact"/>
        <w:tabs>
          <w:tab w:leader="none" w:pos="1708" w:val="left"/>
        </w:tabs>
        <w:numPr>
          <w:ilvl w:val="0"/>
          <w:numId w:val="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Stock Dividends and Splits</w:t>
      </w:r>
      <w:r>
        <w:rPr>
          <w:rFonts w:ascii="Times New Roman" w:cs="Times New Roman" w:eastAsia="Times New Roman" w:hAnsi="Times New Roman"/>
          <w:sz w:val="21"/>
          <w:szCs w:val="21"/>
          <w:color w:val="auto"/>
        </w:rPr>
        <w:t>. If the Company, at any time while this Warrant is outstanding: (i) pays a stock dividend or otherwise makes a distribution or distributions on its Ordinary Shares or any other equity or equity equivalent securities payable in Ordinary Shares (which, for avoidance of doubt, shall not include any Ordinary Shares issued by the Company upon exercise of this Warrant), (ii) subdivides outstanding Ordinary Shares into a larger number of shares, (iii) combines (including by way of reverse stock split) outstanding Ordinary Shares into a smaller number of shares, or (iv) issues by reclassification of Ordinary Shares any shares of capital stock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classification.</w:t>
      </w:r>
    </w:p>
    <w:p>
      <w:pPr>
        <w:spacing w:after="0" w:line="144" w:lineRule="exact"/>
        <w:rPr>
          <w:rFonts w:ascii="Times New Roman" w:cs="Times New Roman" w:eastAsia="Times New Roman" w:hAnsi="Times New Roman"/>
          <w:sz w:val="21"/>
          <w:szCs w:val="21"/>
          <w:u w:val="single" w:color="auto"/>
          <w:color w:val="auto"/>
        </w:rPr>
      </w:pPr>
    </w:p>
    <w:p>
      <w:pPr>
        <w:jc w:val="both"/>
        <w:ind w:left="420" w:firstLine="745"/>
        <w:spacing w:after="0" w:line="233" w:lineRule="auto"/>
        <w:tabs>
          <w:tab w:leader="none" w:pos="1708" w:val="left"/>
        </w:tabs>
        <w:numPr>
          <w:ilvl w:val="0"/>
          <w:numId w:val="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Subsequent Rights Offerings</w:t>
      </w:r>
      <w:r>
        <w:rPr>
          <w:rFonts w:ascii="Times New Roman" w:cs="Times New Roman" w:eastAsia="Times New Roman" w:hAnsi="Times New Roman"/>
          <w:sz w:val="22"/>
          <w:szCs w:val="22"/>
          <w:color w:val="auto"/>
        </w:rPr>
        <w:t>. In addition to any adjustments pursuant to Section 3(a) above, if at any time the Company grants, issues or sells any Ordinary Share Equivalents or rights to purchase stock, warrants, securities or other property pro rata to the record holders of any class of Ordinary Shares (the “</w:t>
      </w:r>
      <w:r>
        <w:rPr>
          <w:rFonts w:ascii="Times New Roman" w:cs="Times New Roman" w:eastAsia="Times New Roman" w:hAnsi="Times New Roman"/>
          <w:sz w:val="22"/>
          <w:szCs w:val="22"/>
          <w:u w:val="single" w:color="auto"/>
          <w:color w:val="auto"/>
        </w:rPr>
        <w:t>Purchase Rights</w:t>
      </w:r>
      <w:r>
        <w:rPr>
          <w:rFonts w:ascii="Times New Roman" w:cs="Times New Roman" w:eastAsia="Times New Roman" w:hAnsi="Times New Roman"/>
          <w:sz w:val="22"/>
          <w:szCs w:val="22"/>
          <w:color w:val="auto"/>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Ordinary Shares are to be determined for the grant, issue or sale of such Purchase Rights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9" w:lineRule="exact"/>
        <w:rPr>
          <w:rFonts w:ascii="Times New Roman" w:cs="Times New Roman" w:eastAsia="Times New Roman" w:hAnsi="Times New Roman"/>
          <w:sz w:val="22"/>
          <w:szCs w:val="22"/>
          <w:u w:val="single" w:color="auto"/>
          <w:color w:val="auto"/>
        </w:rPr>
      </w:pPr>
    </w:p>
    <w:p>
      <w:pPr>
        <w:jc w:val="both"/>
        <w:ind w:left="420" w:firstLine="745"/>
        <w:spacing w:after="0" w:line="235" w:lineRule="auto"/>
        <w:tabs>
          <w:tab w:leader="none" w:pos="1708" w:val="left"/>
        </w:tabs>
        <w:numPr>
          <w:ilvl w:val="0"/>
          <w:numId w:val="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Pro Rata Distributions</w:t>
      </w:r>
      <w:r>
        <w:rPr>
          <w:rFonts w:ascii="Times New Roman" w:cs="Times New Roman" w:eastAsia="Times New Roman" w:hAnsi="Times New Roman"/>
          <w:sz w:val="22"/>
          <w:szCs w:val="22"/>
          <w:color w:val="auto"/>
        </w:rPr>
        <w:t>. During such time as this Warrant is outstanding, if the Company shall declare or make any dividend or other distribution of its assets (or rights to acquire its assets) to holders of Ordinary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at any time after the issuance of this Warrant, then, in each such case, the Holder shall be entitled to participate in such Distribution to the same extent that the Holder would have participated therein if the Holder had held the number of Ordinary Shares acquirable upon complete exercise of</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1" w:name="page12"/>
    <w:bookmarkEnd w:id="11"/>
    <w:p>
      <w:pPr>
        <w:jc w:val="both"/>
        <w:ind w:left="420"/>
        <w:spacing w:after="0" w:line="247" w:lineRule="auto"/>
        <w:rPr>
          <w:sz w:val="20"/>
          <w:szCs w:val="20"/>
          <w:color w:val="auto"/>
        </w:rPr>
      </w:pPr>
      <w:r>
        <w:rPr>
          <w:rFonts w:ascii="Times New Roman" w:cs="Times New Roman" w:eastAsia="Times New Roman" w:hAnsi="Times New Roman"/>
          <w:sz w:val="21"/>
          <w:szCs w:val="21"/>
          <w:color w:val="auto"/>
        </w:rPr>
        <w:t>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72" w:lineRule="exact"/>
        <w:rPr>
          <w:sz w:val="20"/>
          <w:szCs w:val="20"/>
          <w:color w:val="auto"/>
        </w:rPr>
      </w:pPr>
    </w:p>
    <w:p>
      <w:pPr>
        <w:jc w:val="both"/>
        <w:ind w:left="420" w:firstLine="745"/>
        <w:spacing w:after="0" w:line="231" w:lineRule="auto"/>
        <w:tabs>
          <w:tab w:leader="none" w:pos="1708" w:val="left"/>
        </w:tabs>
        <w:numPr>
          <w:ilvl w:val="0"/>
          <w:numId w:val="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greater than 50% of the outstanding Ordinary Shares or greater than 50%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Ordinary Shares or greater than 50% of the voting power of the common equity of the Company (each a “</w:t>
      </w: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Ordinary Shares of the successor or acquiring corporation or of the Company, if it is the surviving corporation, and any additional consideration (the “</w:t>
      </w:r>
      <w:r>
        <w:rPr>
          <w:rFonts w:ascii="Times New Roman" w:cs="Times New Roman" w:eastAsia="Times New Roman" w:hAnsi="Times New Roman"/>
          <w:sz w:val="22"/>
          <w:szCs w:val="22"/>
          <w:u w:val="single" w:color="auto"/>
          <w:color w:val="auto"/>
        </w:rPr>
        <w:t>Alternate Consideration</w:t>
      </w:r>
      <w:r>
        <w:rPr>
          <w:rFonts w:ascii="Times New Roman" w:cs="Times New Roman" w:eastAsia="Times New Roman" w:hAnsi="Times New Roman"/>
          <w:sz w:val="22"/>
          <w:szCs w:val="22"/>
          <w:color w:val="auto"/>
        </w:rPr>
        <w:t>”)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2" w:name="page13"/>
    <w:bookmarkEnd w:id="12"/>
    <w:p>
      <w:pPr>
        <w:jc w:val="both"/>
        <w:ind w:left="420"/>
        <w:spacing w:after="0" w:line="242" w:lineRule="auto"/>
        <w:rPr>
          <w:sz w:val="20"/>
          <w:szCs w:val="20"/>
          <w:color w:val="auto"/>
        </w:rPr>
      </w:pPr>
      <w:r>
        <w:rPr>
          <w:rFonts w:ascii="Times New Roman" w:cs="Times New Roman" w:eastAsia="Times New Roman" w:hAnsi="Times New Roman"/>
          <w:sz w:val="21"/>
          <w:szCs w:val="21"/>
          <w:color w:val="auto"/>
        </w:rPr>
        <w:t xml:space="preserve">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to the extent it can lawfully do so,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holders of Ordinary Shares of the Company are not offered or paid any consideration in such Fundamental Transaction, such holders of Ordinary Shares will be deemed to have received ordinary shares of the Successor Entity (which Successor Entity may be the Company following such Fundamental Transaction) in such Fundamental Transaction. “</w:t>
      </w:r>
      <w:r>
        <w:rPr>
          <w:rFonts w:ascii="Times New Roman" w:cs="Times New Roman" w:eastAsia="Times New Roman" w:hAnsi="Times New Roman"/>
          <w:sz w:val="21"/>
          <w:szCs w:val="21"/>
          <w:u w:val="single" w:color="auto"/>
          <w:color w:val="auto"/>
        </w:rPr>
        <w:t>Black Scholes Value</w:t>
      </w:r>
      <w:r>
        <w:rPr>
          <w:rFonts w:ascii="Times New Roman" w:cs="Times New Roman" w:eastAsia="Times New Roman" w:hAnsi="Times New Roman"/>
          <w:sz w:val="21"/>
          <w:szCs w:val="21"/>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sum of the price per share being offered in cash, if any, plus the value of any non-cash consideration, if any, being offered in such Fundamental Transaction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21"/>
          <w:szCs w:val="21"/>
          <w:u w:val="single" w:color="auto"/>
          <w:color w:val="auto"/>
        </w:rPr>
        <w:t>Successor Entity</w:t>
      </w:r>
      <w:r>
        <w:rPr>
          <w:rFonts w:ascii="Times New Roman" w:cs="Times New Roman" w:eastAsia="Times New Roman" w:hAnsi="Times New Roman"/>
          <w:sz w:val="21"/>
          <w:szCs w:val="21"/>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3" w:name="page14"/>
    <w:bookmarkEnd w:id="13"/>
    <w:p>
      <w:pPr>
        <w:jc w:val="both"/>
        <w:ind w:left="420"/>
        <w:spacing w:after="0" w:line="244" w:lineRule="auto"/>
        <w:rPr>
          <w:sz w:val="20"/>
          <w:szCs w:val="20"/>
          <w:color w:val="auto"/>
        </w:rPr>
      </w:pPr>
      <w:r>
        <w:rPr>
          <w:rFonts w:ascii="Times New Roman" w:cs="Times New Roman" w:eastAsia="Times New Roman" w:hAnsi="Times New Roman"/>
          <w:sz w:val="21"/>
          <w:szCs w:val="21"/>
          <w:color w:val="auto"/>
        </w:rPr>
        <w:t>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Ordinary Shares for the issuance of Warrant Shares and/or (ii) whether a Fundamental Transaction occurs prior to the Initial Exercise Date.</w:t>
      </w:r>
    </w:p>
    <w:p>
      <w:pPr>
        <w:spacing w:after="0" w:line="173" w:lineRule="exact"/>
        <w:rPr>
          <w:sz w:val="20"/>
          <w:szCs w:val="20"/>
          <w:color w:val="auto"/>
        </w:rPr>
      </w:pPr>
    </w:p>
    <w:p>
      <w:pPr>
        <w:jc w:val="both"/>
        <w:ind w:left="420" w:firstLine="745"/>
        <w:spacing w:after="0" w:line="239" w:lineRule="auto"/>
        <w:tabs>
          <w:tab w:leader="none" w:pos="1708" w:val="left"/>
        </w:tabs>
        <w:numPr>
          <w:ilvl w:val="0"/>
          <w:numId w:val="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All calculations under this Section 3 shall be made to the nearest cent or the nearest 1/100th of a share, as the case may be. For purposes of this Section 3, the number of Ordinary Shares deemed to be issued and outstanding as of a given date shall be the sum of the number of Ordinary Shares (excluding treasury shares, if any) issued and outstanding.</w:t>
      </w:r>
    </w:p>
    <w:p>
      <w:pPr>
        <w:spacing w:after="0" w:line="180" w:lineRule="exact"/>
        <w:rPr>
          <w:rFonts w:ascii="Times New Roman" w:cs="Times New Roman" w:eastAsia="Times New Roman" w:hAnsi="Times New Roman"/>
          <w:sz w:val="22"/>
          <w:szCs w:val="22"/>
          <w:u w:val="single" w:color="auto"/>
          <w:color w:val="auto"/>
        </w:rPr>
      </w:pPr>
    </w:p>
    <w:p>
      <w:pPr>
        <w:ind w:left="1700" w:hanging="535"/>
        <w:spacing w:after="0"/>
        <w:tabs>
          <w:tab w:leader="none" w:pos="1700" w:val="left"/>
        </w:tabs>
        <w:numPr>
          <w:ilvl w:val="0"/>
          <w:numId w:val="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Notice to Holder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left="1920" w:firstLine="743"/>
        <w:spacing w:after="0" w:line="239" w:lineRule="auto"/>
        <w:tabs>
          <w:tab w:leader="none" w:pos="3238" w:val="left"/>
        </w:tabs>
        <w:numPr>
          <w:ilvl w:val="1"/>
          <w:numId w:val="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Adjustment to Exercise Price</w:t>
      </w:r>
      <w:r>
        <w:rPr>
          <w:rFonts w:ascii="Times New Roman" w:cs="Times New Roman" w:eastAsia="Times New Roman" w:hAnsi="Times New Roman"/>
          <w:sz w:val="22"/>
          <w:szCs w:val="22"/>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80" w:lineRule="exact"/>
        <w:rPr>
          <w:rFonts w:ascii="Times New Roman" w:cs="Times New Roman" w:eastAsia="Times New Roman" w:hAnsi="Times New Roman"/>
          <w:sz w:val="22"/>
          <w:szCs w:val="22"/>
          <w:u w:val="single" w:color="auto"/>
          <w:color w:val="auto"/>
        </w:rPr>
      </w:pPr>
    </w:p>
    <w:p>
      <w:pPr>
        <w:jc w:val="both"/>
        <w:ind w:left="1920" w:firstLine="743"/>
        <w:spacing w:after="0" w:line="249" w:lineRule="auto"/>
        <w:tabs>
          <w:tab w:leader="none" w:pos="3238" w:val="left"/>
        </w:tabs>
        <w:numPr>
          <w:ilvl w:val="1"/>
          <w:numId w:val="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Notice to Allow Exercise by Holder</w:t>
      </w:r>
      <w:r>
        <w:rPr>
          <w:rFonts w:ascii="Times New Roman" w:cs="Times New Roman" w:eastAsia="Times New Roman" w:hAnsi="Times New Roman"/>
          <w:sz w:val="21"/>
          <w:szCs w:val="21"/>
          <w:color w:val="auto"/>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rights or warrants to subscribe for or purchase any shares of capital stock of any class or of any rights, (D) the approval of any stockholders of the Company shall be required in connection with any reclassification of the Ordinary Shares,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4" w:name="page15"/>
    <w:bookmarkEnd w:id="14"/>
    <w:p>
      <w:pPr>
        <w:jc w:val="both"/>
        <w:ind w:left="1920"/>
        <w:spacing w:after="0" w:line="243" w:lineRule="auto"/>
        <w:rPr>
          <w:sz w:val="20"/>
          <w:szCs w:val="20"/>
          <w:color w:val="auto"/>
        </w:rPr>
      </w:pPr>
      <w:r>
        <w:rPr>
          <w:rFonts w:ascii="Times New Roman" w:cs="Times New Roman" w:eastAsia="Times New Roman" w:hAnsi="Times New Roman"/>
          <w:sz w:val="21"/>
          <w:szCs w:val="21"/>
          <w:color w:val="auto"/>
        </w:rPr>
        <w:t>any consolidation or merger to which the Company (or any of its Subsidiaries) is a party, any sale or transfer of all or substantially all of its assets,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4" w:lineRule="exact"/>
        <w:rPr>
          <w:sz w:val="20"/>
          <w:szCs w:val="20"/>
          <w:color w:val="auto"/>
        </w:rPr>
      </w:pPr>
    </w:p>
    <w:p>
      <w:pPr>
        <w:jc w:val="both"/>
        <w:ind w:left="420" w:firstLine="745"/>
        <w:spacing w:after="0" w:line="239" w:lineRule="auto"/>
        <w:tabs>
          <w:tab w:leader="none" w:pos="1708" w:val="left"/>
        </w:tabs>
        <w:numPr>
          <w:ilvl w:val="0"/>
          <w:numId w:val="1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Voluntary Adjustment By Company</w:t>
      </w:r>
      <w:r>
        <w:rPr>
          <w:rFonts w:ascii="Times New Roman" w:cs="Times New Roman" w:eastAsia="Times New Roman" w:hAnsi="Times New Roman"/>
          <w:sz w:val="22"/>
          <w:szCs w:val="22"/>
          <w:color w:val="auto"/>
        </w:rPr>
        <w:t>. Subject to the rules and regulations of the Trading Market, the Company may at any time during the term of this Warrant reduce the then current Exercise Price to any amount (not being less than the nominal value of an Ordinary Share) and for any period of time deemed appropriate by the board of directors of the Company.</w:t>
      </w:r>
    </w:p>
    <w:p>
      <w:pPr>
        <w:spacing w:after="0" w:line="180" w:lineRule="exact"/>
        <w:rPr>
          <w:sz w:val="20"/>
          <w:szCs w:val="20"/>
          <w:color w:val="auto"/>
        </w:rPr>
      </w:pPr>
    </w:p>
    <w:p>
      <w:pPr>
        <w:ind w:left="420"/>
        <w:spacing w:after="0"/>
        <w:tabs>
          <w:tab w:leader="none" w:pos="1700" w:val="left"/>
        </w:tabs>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Transfer of Warrant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420" w:firstLine="745"/>
        <w:spacing w:after="0" w:line="235" w:lineRule="auto"/>
        <w:tabs>
          <w:tab w:leader="none" w:pos="1708" w:val="left"/>
        </w:tabs>
        <w:numPr>
          <w:ilvl w:val="0"/>
          <w:numId w:val="1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5" w:name="page16"/>
    <w:bookmarkEnd w:id="15"/>
    <w:p>
      <w:pPr>
        <w:jc w:val="both"/>
        <w:ind w:left="420"/>
        <w:spacing w:after="0" w:line="236" w:lineRule="auto"/>
        <w:rPr>
          <w:sz w:val="20"/>
          <w:szCs w:val="20"/>
          <w:color w:val="auto"/>
        </w:rPr>
      </w:pPr>
      <w:r>
        <w:rPr>
          <w:rFonts w:ascii="Times New Roman" w:cs="Times New Roman" w:eastAsia="Times New Roman" w:hAnsi="Times New Roman"/>
          <w:sz w:val="22"/>
          <w:szCs w:val="22"/>
          <w:color w:val="auto"/>
        </w:rPr>
        <w:t>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1" w:lineRule="exact"/>
        <w:rPr>
          <w:sz w:val="20"/>
          <w:szCs w:val="20"/>
          <w:color w:val="auto"/>
        </w:rPr>
      </w:pPr>
    </w:p>
    <w:p>
      <w:pPr>
        <w:jc w:val="both"/>
        <w:ind w:left="420" w:firstLine="745"/>
        <w:spacing w:after="0" w:line="235" w:lineRule="auto"/>
        <w:tabs>
          <w:tab w:leader="none" w:pos="1708" w:val="left"/>
        </w:tabs>
        <w:numPr>
          <w:ilvl w:val="0"/>
          <w:numId w:val="1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New Warrants</w:t>
      </w:r>
      <w:r>
        <w:rPr>
          <w:rFonts w:ascii="Times New Roman" w:cs="Times New Roman" w:eastAsia="Times New Roman" w:hAnsi="Times New Roman"/>
          <w:sz w:val="22"/>
          <w:szCs w:val="22"/>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p>
      <w:pPr>
        <w:spacing w:after="0" w:line="183" w:lineRule="exact"/>
        <w:rPr>
          <w:rFonts w:ascii="Times New Roman" w:cs="Times New Roman" w:eastAsia="Times New Roman" w:hAnsi="Times New Roman"/>
          <w:sz w:val="22"/>
          <w:szCs w:val="22"/>
          <w:u w:val="single" w:color="auto"/>
          <w:color w:val="auto"/>
        </w:rPr>
      </w:pPr>
    </w:p>
    <w:p>
      <w:pPr>
        <w:jc w:val="both"/>
        <w:ind w:left="420" w:firstLine="745"/>
        <w:spacing w:after="0" w:line="239" w:lineRule="auto"/>
        <w:tabs>
          <w:tab w:leader="none" w:pos="1708" w:val="left"/>
        </w:tabs>
        <w:numPr>
          <w:ilvl w:val="0"/>
          <w:numId w:val="1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The Company shall register this Warrant, upon records to be maintained by the Company for that purpose (the “</w:t>
      </w: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ind w:left="420"/>
        <w:spacing w:after="0"/>
        <w:tabs>
          <w:tab w:leader="none" w:pos="1700" w:val="left"/>
        </w:tabs>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420" w:firstLine="745"/>
        <w:spacing w:after="0" w:line="239" w:lineRule="auto"/>
        <w:tabs>
          <w:tab w:leader="none" w:pos="1708" w:val="left"/>
        </w:tabs>
        <w:numPr>
          <w:ilvl w:val="0"/>
          <w:numId w:val="1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Rights as Stockholder Until Exercise; No Settlement in Cash</w:t>
      </w:r>
      <w:r>
        <w:rPr>
          <w:rFonts w:ascii="Times New Roman" w:cs="Times New Roman" w:eastAsia="Times New Roman" w:hAnsi="Times New Roman"/>
          <w:sz w:val="22"/>
          <w:szCs w:val="22"/>
          <w:color w:val="auto"/>
        </w:rPr>
        <w:t>. This Warrant does not entitle the Holder to any voting rights, dividends or other rights as a stockholder of the Company prior to the exercise hereof as set forth in Section 2(d)(i), except as expressly set forth in Section 3. In no event shall the Company be required to net cash settle an exercise of this Warrant.</w:t>
      </w:r>
    </w:p>
    <w:p>
      <w:pPr>
        <w:spacing w:after="0" w:line="180" w:lineRule="exact"/>
        <w:rPr>
          <w:rFonts w:ascii="Times New Roman" w:cs="Times New Roman" w:eastAsia="Times New Roman" w:hAnsi="Times New Roman"/>
          <w:sz w:val="22"/>
          <w:szCs w:val="22"/>
          <w:u w:val="single" w:color="auto"/>
          <w:color w:val="auto"/>
        </w:rPr>
      </w:pPr>
    </w:p>
    <w:p>
      <w:pPr>
        <w:jc w:val="both"/>
        <w:ind w:left="420" w:firstLine="745"/>
        <w:spacing w:after="0" w:line="236" w:lineRule="auto"/>
        <w:tabs>
          <w:tab w:leader="none" w:pos="1708" w:val="left"/>
        </w:tabs>
        <w:numPr>
          <w:ilvl w:val="0"/>
          <w:numId w:val="1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Loss, Theft, Destruction or Mutilation of Warrant</w:t>
      </w:r>
      <w:r>
        <w:rPr>
          <w:rFonts w:ascii="Times New Roman" w:cs="Times New Roman" w:eastAsia="Times New Roman" w:hAnsi="Times New Roman"/>
          <w:sz w:val="22"/>
          <w:szCs w:val="22"/>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1" w:lineRule="exact"/>
        <w:rPr>
          <w:rFonts w:ascii="Times New Roman" w:cs="Times New Roman" w:eastAsia="Times New Roman" w:hAnsi="Times New Roman"/>
          <w:sz w:val="22"/>
          <w:szCs w:val="22"/>
          <w:u w:val="single" w:color="auto"/>
          <w:color w:val="auto"/>
        </w:rPr>
      </w:pPr>
    </w:p>
    <w:p>
      <w:pPr>
        <w:jc w:val="both"/>
        <w:ind w:left="420" w:firstLine="745"/>
        <w:spacing w:after="0" w:line="244" w:lineRule="auto"/>
        <w:tabs>
          <w:tab w:leader="none" w:pos="1708" w:val="left"/>
        </w:tabs>
        <w:numPr>
          <w:ilvl w:val="0"/>
          <w:numId w:val="1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Saturdays, Sundays, Holidays, etc</w:t>
      </w:r>
      <w:r>
        <w:rPr>
          <w:rFonts w:ascii="Times New Roman" w:cs="Times New Roman" w:eastAsia="Times New Roman" w:hAnsi="Times New Roman"/>
          <w:sz w:val="22"/>
          <w:szCs w:val="22"/>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6" w:name="page17"/>
    <w:bookmarkEnd w:id="16"/>
    <w:p>
      <w:pPr>
        <w:ind w:left="1700" w:hanging="535"/>
        <w:spacing w:after="0"/>
        <w:tabs>
          <w:tab w:leader="none" w:pos="1700" w:val="left"/>
        </w:tabs>
        <w:numPr>
          <w:ilvl w:val="0"/>
          <w:numId w:val="1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Authorized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160" w:firstLine="1498"/>
        <w:spacing w:after="0" w:line="233" w:lineRule="auto"/>
        <w:rPr>
          <w:sz w:val="20"/>
          <w:szCs w:val="20"/>
          <w:color w:val="auto"/>
        </w:rPr>
      </w:pPr>
      <w:r>
        <w:rPr>
          <w:rFonts w:ascii="Times New Roman" w:cs="Times New Roman" w:eastAsia="Times New Roman" w:hAnsi="Times New Roman"/>
          <w:sz w:val="22"/>
          <w:szCs w:val="22"/>
          <w:color w:val="auto"/>
        </w:rPr>
        <w:t>The Company covenants that, during the period the Warrant is outstanding, it will reserve from its authorized and unissued Ordinary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2" w:lineRule="exact"/>
        <w:rPr>
          <w:sz w:val="20"/>
          <w:szCs w:val="20"/>
          <w:color w:val="auto"/>
        </w:rPr>
      </w:pPr>
    </w:p>
    <w:p>
      <w:pPr>
        <w:jc w:val="both"/>
        <w:ind w:left="1160" w:firstLine="749"/>
        <w:spacing w:after="0" w:line="245" w:lineRule="auto"/>
        <w:rPr>
          <w:sz w:val="20"/>
          <w:szCs w:val="20"/>
          <w:color w:val="auto"/>
        </w:rPr>
      </w:pPr>
      <w:r>
        <w:rPr>
          <w:rFonts w:ascii="Times New Roman" w:cs="Times New Roman" w:eastAsia="Times New Roman" w:hAnsi="Times New Roman"/>
          <w:sz w:val="21"/>
          <w:szCs w:val="21"/>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4" w:lineRule="exact"/>
        <w:rPr>
          <w:sz w:val="20"/>
          <w:szCs w:val="20"/>
          <w:color w:val="auto"/>
        </w:rPr>
      </w:pPr>
    </w:p>
    <w:p>
      <w:pPr>
        <w:jc w:val="both"/>
        <w:ind w:left="1160" w:firstLine="749"/>
        <w:spacing w:after="0" w:line="239" w:lineRule="auto"/>
        <w:rPr>
          <w:sz w:val="20"/>
          <w:szCs w:val="20"/>
          <w:color w:val="auto"/>
        </w:rPr>
      </w:pPr>
      <w:r>
        <w:rPr>
          <w:rFonts w:ascii="Times New Roman" w:cs="Times New Roman" w:eastAsia="Times New Roman" w:hAnsi="Times New Roman"/>
          <w:sz w:val="22"/>
          <w:szCs w:val="22"/>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0" w:lineRule="exact"/>
        <w:rPr>
          <w:sz w:val="20"/>
          <w:szCs w:val="20"/>
          <w:color w:val="auto"/>
        </w:rPr>
      </w:pPr>
    </w:p>
    <w:p>
      <w:pPr>
        <w:jc w:val="both"/>
        <w:ind w:left="420" w:firstLine="745"/>
        <w:spacing w:after="0" w:line="244" w:lineRule="auto"/>
        <w:tabs>
          <w:tab w:leader="none" w:pos="1708"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All questions concerning the construction, validity, enforcement and interpretation of this Warrant shall be governed by and construed and enforced in accordance with the internal laws of the State of New York, without regard to</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7" w:name="page18"/>
    <w:bookmarkEnd w:id="17"/>
    <w:p>
      <w:pPr>
        <w:jc w:val="both"/>
        <w:ind w:left="420"/>
        <w:spacing w:after="0" w:line="232" w:lineRule="auto"/>
        <w:rPr>
          <w:sz w:val="20"/>
          <w:szCs w:val="20"/>
          <w:color w:val="auto"/>
        </w:rPr>
      </w:pPr>
      <w:r>
        <w:rPr>
          <w:rFonts w:ascii="Times New Roman" w:cs="Times New Roman" w:eastAsia="Times New Roman" w:hAnsi="Times New Roman"/>
          <w:sz w:val="22"/>
          <w:szCs w:val="22"/>
          <w:color w:val="auto"/>
        </w:rPr>
        <w:t>the principles of conflicts of law thereof. The Company and, by accepting this Warrant, the Holder each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The Company and, by accepting this Warrant,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The Company and, by accepting this Warrant, the Holder each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the Company or the Holder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88" w:lineRule="exact"/>
        <w:rPr>
          <w:sz w:val="20"/>
          <w:szCs w:val="20"/>
          <w:color w:val="auto"/>
        </w:rPr>
      </w:pPr>
    </w:p>
    <w:p>
      <w:pPr>
        <w:ind w:left="420" w:right="20" w:firstLine="745"/>
        <w:spacing w:after="0" w:line="258" w:lineRule="auto"/>
        <w:tabs>
          <w:tab w:leader="none" w:pos="1708" w:val="left"/>
        </w:tabs>
        <w:numPr>
          <w:ilvl w:val="0"/>
          <w:numId w:val="1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The Holder acknowledges that the Warrant Shares acquired upon the exercise of this Warrant, if not registered, will have restrictions upon resale imposed by state and federal securities laws.</w:t>
      </w:r>
    </w:p>
    <w:p>
      <w:pPr>
        <w:spacing w:after="0" w:line="158" w:lineRule="exact"/>
        <w:rPr>
          <w:rFonts w:ascii="Times New Roman" w:cs="Times New Roman" w:eastAsia="Times New Roman" w:hAnsi="Times New Roman"/>
          <w:sz w:val="22"/>
          <w:szCs w:val="22"/>
          <w:u w:val="single" w:color="auto"/>
          <w:color w:val="auto"/>
        </w:rPr>
      </w:pPr>
    </w:p>
    <w:p>
      <w:pPr>
        <w:jc w:val="both"/>
        <w:ind w:left="420" w:firstLine="745"/>
        <w:spacing w:after="0" w:line="235" w:lineRule="auto"/>
        <w:tabs>
          <w:tab w:leader="none" w:pos="1708" w:val="left"/>
        </w:tabs>
        <w:numPr>
          <w:ilvl w:val="0"/>
          <w:numId w:val="1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Nonwaiver and Expenses</w:t>
      </w:r>
      <w:r>
        <w:rPr>
          <w:rFonts w:ascii="Times New Roman" w:cs="Times New Roman" w:eastAsia="Times New Roman" w:hAnsi="Times New Roman"/>
          <w:sz w:val="22"/>
          <w:szCs w:val="22"/>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3" w:lineRule="exact"/>
        <w:rPr>
          <w:rFonts w:ascii="Times New Roman" w:cs="Times New Roman" w:eastAsia="Times New Roman" w:hAnsi="Times New Roman"/>
          <w:sz w:val="22"/>
          <w:szCs w:val="22"/>
          <w:u w:val="single" w:color="auto"/>
          <w:color w:val="auto"/>
        </w:rPr>
      </w:pPr>
    </w:p>
    <w:p>
      <w:pPr>
        <w:jc w:val="both"/>
        <w:ind w:left="420" w:firstLine="745"/>
        <w:spacing w:after="0" w:line="235" w:lineRule="auto"/>
        <w:tabs>
          <w:tab w:leader="none" w:pos="1708" w:val="left"/>
        </w:tabs>
        <w:numPr>
          <w:ilvl w:val="0"/>
          <w:numId w:val="1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80 New Bond Street, 3</w:t>
      </w:r>
      <w:r>
        <w:rPr>
          <w:rFonts w:ascii="Times New Roman" w:cs="Times New Roman" w:eastAsia="Times New Roman" w:hAnsi="Times New Roman"/>
          <w:sz w:val="14"/>
          <w:szCs w:val="14"/>
          <w:color w:val="auto"/>
        </w:rPr>
        <w:t>rd</w:t>
      </w:r>
      <w:r>
        <w:rPr>
          <w:rFonts w:ascii="Times New Roman" w:cs="Times New Roman" w:eastAsia="Times New Roman" w:hAnsi="Times New Roman"/>
          <w:sz w:val="22"/>
          <w:szCs w:val="22"/>
          <w:color w:val="auto"/>
        </w:rPr>
        <w:t xml:space="preserve"> Floor, London, W1S 1SB, United Kingdom, Attention: </w:t>
      </w:r>
      <w:r>
        <w:rPr>
          <w:rFonts w:ascii="Times New Roman" w:cs="Times New Roman" w:eastAsia="Times New Roman" w:hAnsi="Times New Roman"/>
          <w:sz w:val="22"/>
          <w:szCs w:val="22"/>
          <w:b w:val="1"/>
          <w:bCs w:val="1"/>
          <w:color w:val="auto"/>
        </w:rPr>
        <w:t>Richard Burchill</w:t>
      </w:r>
      <w:r>
        <w:rPr>
          <w:rFonts w:ascii="Times New Roman" w:cs="Times New Roman" w:eastAsia="Times New Roman" w:hAnsi="Times New Roman"/>
          <w:sz w:val="22"/>
          <w:szCs w:val="22"/>
          <w:color w:val="auto"/>
        </w:rPr>
        <w:t xml:space="preserve">, email address: </w:t>
      </w:r>
      <w:r>
        <w:rPr>
          <w:rFonts w:ascii="Times New Roman" w:cs="Times New Roman" w:eastAsia="Times New Roman" w:hAnsi="Times New Roman"/>
          <w:sz w:val="22"/>
          <w:szCs w:val="22"/>
          <w:b w:val="1"/>
          <w:bCs w:val="1"/>
          <w:color w:val="auto"/>
        </w:rPr>
        <w:t>richardburchill@rezolve.com</w:t>
      </w:r>
      <w:r>
        <w:rPr>
          <w:rFonts w:ascii="Times New Roman" w:cs="Times New Roman" w:eastAsia="Times New Roman" w:hAnsi="Times New Roman"/>
          <w:sz w:val="22"/>
          <w:szCs w:val="22"/>
          <w:color w:val="auto"/>
        </w:rPr>
        <w:t>, or such other email address or address as the Company may specify for such purposes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notice to the Holder. Any and all notices or other communications or deliveries to be provided by the Company hereunder shall be in writing</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8" w:name="page19"/>
    <w:bookmarkEnd w:id="18"/>
    <w:p>
      <w:pPr>
        <w:jc w:val="both"/>
        <w:ind w:left="420"/>
        <w:spacing w:after="0" w:line="233" w:lineRule="auto"/>
        <w:rPr>
          <w:sz w:val="20"/>
          <w:szCs w:val="20"/>
          <w:color w:val="auto"/>
        </w:rPr>
      </w:pPr>
      <w:r>
        <w:rPr>
          <w:rFonts w:ascii="Times New Roman" w:cs="Times New Roman" w:eastAsia="Times New Roman" w:hAnsi="Times New Roman"/>
          <w:sz w:val="22"/>
          <w:szCs w:val="22"/>
          <w:color w:val="auto"/>
        </w:rPr>
        <w:t>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87" w:lineRule="exact"/>
        <w:rPr>
          <w:sz w:val="20"/>
          <w:szCs w:val="20"/>
          <w:color w:val="auto"/>
        </w:rPr>
      </w:pPr>
    </w:p>
    <w:p>
      <w:pPr>
        <w:jc w:val="both"/>
        <w:ind w:left="420" w:firstLine="745"/>
        <w:spacing w:after="0" w:line="239" w:lineRule="auto"/>
        <w:tabs>
          <w:tab w:leader="none" w:pos="1708" w:val="left"/>
        </w:tabs>
        <w:numPr>
          <w:ilvl w:val="0"/>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stockholder of the Company, whether such liability is asserted by the Company or by creditors of the Company.</w:t>
      </w:r>
    </w:p>
    <w:p>
      <w:pPr>
        <w:spacing w:after="0" w:line="180" w:lineRule="exact"/>
        <w:rPr>
          <w:rFonts w:ascii="Times New Roman" w:cs="Times New Roman" w:eastAsia="Times New Roman" w:hAnsi="Times New Roman"/>
          <w:sz w:val="22"/>
          <w:szCs w:val="22"/>
          <w:u w:val="single" w:color="auto"/>
          <w:color w:val="auto"/>
        </w:rPr>
      </w:pPr>
    </w:p>
    <w:p>
      <w:pPr>
        <w:jc w:val="both"/>
        <w:ind w:left="420" w:firstLine="745"/>
        <w:spacing w:after="0" w:line="238" w:lineRule="auto"/>
        <w:tabs>
          <w:tab w:leader="none" w:pos="1708" w:val="left"/>
        </w:tabs>
        <w:numPr>
          <w:ilvl w:val="0"/>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6" w:lineRule="exact"/>
        <w:rPr>
          <w:rFonts w:ascii="Times New Roman" w:cs="Times New Roman" w:eastAsia="Times New Roman" w:hAnsi="Times New Roman"/>
          <w:sz w:val="22"/>
          <w:szCs w:val="22"/>
          <w:u w:val="single" w:color="auto"/>
          <w:color w:val="auto"/>
        </w:rPr>
      </w:pPr>
    </w:p>
    <w:p>
      <w:pPr>
        <w:jc w:val="both"/>
        <w:ind w:left="420" w:firstLine="745"/>
        <w:spacing w:after="0" w:line="255" w:lineRule="auto"/>
        <w:tabs>
          <w:tab w:leader="none" w:pos="1708" w:val="left"/>
        </w:tabs>
        <w:numPr>
          <w:ilvl w:val="0"/>
          <w:numId w:val="1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61" w:lineRule="exact"/>
        <w:rPr>
          <w:rFonts w:ascii="Times New Roman" w:cs="Times New Roman" w:eastAsia="Times New Roman" w:hAnsi="Times New Roman"/>
          <w:sz w:val="21"/>
          <w:szCs w:val="21"/>
          <w:u w:val="single" w:color="auto"/>
          <w:color w:val="auto"/>
        </w:rPr>
      </w:pPr>
    </w:p>
    <w:p>
      <w:pPr>
        <w:ind w:left="420" w:firstLine="745"/>
        <w:spacing w:after="0" w:line="258" w:lineRule="auto"/>
        <w:tabs>
          <w:tab w:leader="none" w:pos="1708" w:val="left"/>
        </w:tabs>
        <w:numPr>
          <w:ilvl w:val="0"/>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Warrant may be modified or amended or the provisions hereof waived with the written consent of the Company and the Holder.</w:t>
      </w:r>
    </w:p>
    <w:p>
      <w:pPr>
        <w:spacing w:after="0" w:line="158" w:lineRule="exact"/>
        <w:rPr>
          <w:rFonts w:ascii="Times New Roman" w:cs="Times New Roman" w:eastAsia="Times New Roman" w:hAnsi="Times New Roman"/>
          <w:sz w:val="22"/>
          <w:szCs w:val="22"/>
          <w:u w:val="single" w:color="auto"/>
          <w:color w:val="auto"/>
        </w:rPr>
      </w:pPr>
    </w:p>
    <w:p>
      <w:pPr>
        <w:jc w:val="both"/>
        <w:ind w:left="420" w:firstLine="745"/>
        <w:spacing w:after="0" w:line="239" w:lineRule="auto"/>
        <w:tabs>
          <w:tab w:leader="none" w:pos="1708" w:val="left"/>
        </w:tabs>
        <w:numPr>
          <w:ilvl w:val="0"/>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9" w:name="page20"/>
    <w:bookmarkEnd w:id="19"/>
    <w:p>
      <w:pPr>
        <w:ind w:left="420" w:firstLine="745"/>
        <w:spacing w:after="0" w:line="258" w:lineRule="auto"/>
        <w:tabs>
          <w:tab w:leader="none" w:pos="1708" w:val="left"/>
        </w:tabs>
        <w:numPr>
          <w:ilvl w:val="0"/>
          <w:numId w:val="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used in this Warrant are for the convenience of reference only and shall not, for any purpose, be deemed a part of this Warrant.</w:t>
      </w:r>
    </w:p>
    <w:p>
      <w:pPr>
        <w:spacing w:after="0" w:line="200" w:lineRule="exact"/>
        <w:rPr>
          <w:sz w:val="20"/>
          <w:szCs w:val="20"/>
          <w:color w:val="auto"/>
        </w:rPr>
      </w:pPr>
    </w:p>
    <w:p>
      <w:pPr>
        <w:spacing w:after="0" w:line="20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20" w:name="page21"/>
    <w:bookmarkEnd w:id="20"/>
    <w:p>
      <w:pPr>
        <w:spacing w:after="0" w:line="212"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this Warrant to be executed by its officer thereunto duly authorized as of the date first above indicated.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REZOLVE AI LIMITED</w:t>
      </w:r>
    </w:p>
    <w:p>
      <w:pPr>
        <w:spacing w:after="0" w:line="200" w:lineRule="exact"/>
        <w:rPr>
          <w:sz w:val="20"/>
          <w:szCs w:val="20"/>
          <w:color w:val="auto"/>
        </w:rPr>
      </w:pPr>
    </w:p>
    <w:p>
      <w:pPr>
        <w:spacing w:after="0" w:line="2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By:__________________________________________</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Name:</w:t>
      </w:r>
    </w:p>
    <w:p>
      <w:pPr>
        <w:ind w:left="3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REZOLVE AI LIMITED</w:t>
      </w:r>
    </w:p>
    <w:p>
      <w:pPr>
        <w:spacing w:after="0" w:line="233" w:lineRule="exact"/>
        <w:rPr>
          <w:sz w:val="20"/>
          <w:szCs w:val="20"/>
          <w:color w:val="auto"/>
        </w:rPr>
      </w:pPr>
    </w:p>
    <w:p>
      <w:pPr>
        <w:jc w:val="both"/>
        <w:ind w:firstLine="1505"/>
        <w:spacing w:after="0" w:line="244" w:lineRule="auto"/>
        <w:tabs>
          <w:tab w:leader="none" w:pos="203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shall take the form of lawful money of the United States.</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issue said Warrant Shares in the name of the undersigned or in such other name as is specified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below:</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Warrant Shares shall be delivered to the following DWAC Account Number:</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HOLDER]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Investing Entity: ________________________________________________________________________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Authorized Signatory of Investing Entity</w:t>
      </w:r>
      <w:r>
        <w:rPr>
          <w:rFonts w:ascii="Times New Roman" w:cs="Times New Roman" w:eastAsia="Times New Roman" w:hAnsi="Times New Roman"/>
          <w:sz w:val="22"/>
          <w:szCs w:val="22"/>
          <w:color w:val="auto"/>
        </w:rPr>
        <w:t>: _________________________________________________</w:t>
      </w:r>
    </w:p>
    <w:p>
      <w:pPr>
        <w:spacing w:after="0" w:line="230" w:lineRule="auto"/>
        <w:rPr>
          <w:sz w:val="20"/>
          <w:szCs w:val="20"/>
          <w:color w:val="auto"/>
        </w:rPr>
      </w:pPr>
      <w:r>
        <w:rPr>
          <w:rFonts w:ascii="Times New Roman" w:cs="Times New Roman" w:eastAsia="Times New Roman" w:hAnsi="Times New Roman"/>
          <w:sz w:val="22"/>
          <w:szCs w:val="22"/>
          <w:color w:val="auto"/>
        </w:rPr>
        <w:t>Name of Authorized Signatory: ___________________________________________________________________</w:t>
      </w:r>
    </w:p>
    <w:p>
      <w:pPr>
        <w:spacing w:after="0" w:line="231" w:lineRule="auto"/>
        <w:rPr>
          <w:sz w:val="20"/>
          <w:szCs w:val="20"/>
          <w:color w:val="auto"/>
        </w:rPr>
      </w:pPr>
      <w:r>
        <w:rPr>
          <w:rFonts w:ascii="Times New Roman" w:cs="Times New Roman" w:eastAsia="Times New Roman" w:hAnsi="Times New Roman"/>
          <w:sz w:val="22"/>
          <w:szCs w:val="22"/>
          <w:color w:val="auto"/>
        </w:rPr>
        <w:t>Title of Authorized Signatory: ____________________________________________________________________</w:t>
      </w:r>
    </w:p>
    <w:p>
      <w:pPr>
        <w:spacing w:after="0"/>
        <w:rPr>
          <w:sz w:val="20"/>
          <w:szCs w:val="20"/>
          <w:color w:val="auto"/>
        </w:rPr>
      </w:pPr>
      <w:r>
        <w:rPr>
          <w:rFonts w:ascii="Times New Roman" w:cs="Times New Roman" w:eastAsia="Times New Roman" w:hAnsi="Times New Roman"/>
          <w:sz w:val="22"/>
          <w:szCs w:val="22"/>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1062990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ASSIGNMENT FORM</w:t>
      </w:r>
    </w:p>
    <w:p>
      <w:pPr>
        <w:spacing w:after="0" w:line="14" w:lineRule="exact"/>
        <w:rPr>
          <w:sz w:val="20"/>
          <w:szCs w:val="20"/>
          <w:color w:val="auto"/>
        </w:rPr>
      </w:pPr>
    </w:p>
    <w:p>
      <w:pPr>
        <w:ind w:right="680" w:firstLine="273"/>
        <w:spacing w:after="0" w:line="237" w:lineRule="auto"/>
        <w:rPr>
          <w:sz w:val="20"/>
          <w:szCs w:val="20"/>
          <w:color w:val="auto"/>
        </w:rPr>
      </w:pPr>
      <w:r>
        <w:rPr>
          <w:rFonts w:ascii="Times New Roman" w:cs="Times New Roman" w:eastAsia="Times New Roman" w:hAnsi="Times New Roman"/>
          <w:sz w:val="22"/>
          <w:szCs w:val="22"/>
          <w:i w:val="1"/>
          <w:iCs w:val="1"/>
          <w:color w:val="auto"/>
        </w:rPr>
        <w:t>(To assign the foregoing Warrant, execute this form and supply required information. Do not use this form to purchase shares.)</w:t>
      </w:r>
    </w:p>
    <w:p>
      <w:pPr>
        <w:spacing w:after="0" w:line="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FOR VALUE RECEIVED, the foregoing Warrant and all rights evidenced thereby are hereby assigned to</w:t>
      </w:r>
    </w:p>
    <w:p>
      <w:pPr>
        <w:spacing w:after="0" w:line="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300" w:type="dxa"/>
            <w:vAlign w:val="bottom"/>
          </w:tcPr>
          <w:p>
            <w:pPr>
              <w:spacing w:after="0"/>
              <w:rPr>
                <w:sz w:val="24"/>
                <w:szCs w:val="24"/>
                <w:color w:val="auto"/>
              </w:rPr>
            </w:pPr>
          </w:p>
        </w:tc>
        <w:tc>
          <w:tcPr>
            <w:tcW w:w="69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(Please Print)</w:t>
            </w:r>
          </w:p>
        </w:tc>
        <w:tc>
          <w:tcPr>
            <w:tcW w:w="0" w:type="dxa"/>
            <w:vAlign w:val="bottom"/>
          </w:tcPr>
          <w:p>
            <w:pPr>
              <w:spacing w:after="0"/>
              <w:rPr>
                <w:sz w:val="1"/>
                <w:szCs w:val="1"/>
                <w:color w:val="auto"/>
              </w:rPr>
            </w:pPr>
          </w:p>
        </w:tc>
      </w:tr>
      <w:tr>
        <w:trPr>
          <w:trHeight w:val="435"/>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Address:</w:t>
            </w:r>
          </w:p>
        </w:tc>
        <w:tc>
          <w:tcPr>
            <w:tcW w:w="69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(Please Print)</w:t>
            </w: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1"/>
                <w:szCs w:val="21"/>
                <w:color w:val="auto"/>
              </w:rPr>
            </w:pPr>
          </w:p>
        </w:tc>
        <w:tc>
          <w:tcPr>
            <w:tcW w:w="6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Phone Number:</w:t>
            </w:r>
          </w:p>
        </w:tc>
        <w:tc>
          <w:tcPr>
            <w:tcW w:w="69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______________________________________</w:t>
            </w:r>
          </w:p>
        </w:tc>
        <w:tc>
          <w:tcPr>
            <w:tcW w:w="0" w:type="dxa"/>
            <w:vAlign w:val="bottom"/>
          </w:tcPr>
          <w:p>
            <w:pPr>
              <w:spacing w:after="0"/>
              <w:rPr>
                <w:sz w:val="1"/>
                <w:szCs w:val="1"/>
                <w:color w:val="auto"/>
              </w:rPr>
            </w:pPr>
          </w:p>
        </w:tc>
      </w:tr>
      <w:tr>
        <w:trPr>
          <w:trHeight w:val="459"/>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Email Address:</w:t>
            </w:r>
          </w:p>
        </w:tc>
        <w:tc>
          <w:tcPr>
            <w:tcW w:w="69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______________________________________</w:t>
            </w:r>
          </w:p>
        </w:tc>
        <w:tc>
          <w:tcPr>
            <w:tcW w:w="0" w:type="dxa"/>
            <w:vAlign w:val="bottom"/>
          </w:tcPr>
          <w:p>
            <w:pPr>
              <w:spacing w:after="0"/>
              <w:rPr>
                <w:sz w:val="1"/>
                <w:szCs w:val="1"/>
                <w:color w:val="auto"/>
              </w:rPr>
            </w:pPr>
          </w:p>
        </w:tc>
      </w:tr>
      <w:tr>
        <w:trPr>
          <w:trHeight w:val="459"/>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Dated: _______________ __, ______</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Holder’s Signature:</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Holder’s Address:</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0"/>
        </w:trPr>
        <w:tc>
          <w:tcPr>
            <w:tcW w:w="430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THIS DOCUMENT (AND THE INFORMATION CONTAINED HEREIN) DOES NOT CONTAIN OR CONSTITUTE AN OFFER OF SECURITIES FOR SALE, OR SOLICITATION OF AN OFFER TO PURCHASE SECURITIES, IN THE UNITED KINGDOM, THE EEA, AUSTRALIA, HONG KONG, CANADA, JAPAN OR THE REPUBLIC OF SOUTH AFRICA OR ANY OTHER JURISDICTION WHERE SUCH AN OFFER OR SOLICITATION WOULD BE UNLAWFUL.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PURCHASE AGREEMENT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Securities Purchase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dated as of December 19, 2024, between Rezolve AI Limited, a limited company registered under the laws of England and Wales with registration number 14573691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each purchaser identified on the signature pages hereto (each, including its successors and assigns, a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Purchasers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WHEREAS, for the purpose of the law of the United Kingdom, this document does not constitute an offer or any part of an offer of transferable securities to the public within the meaning of sections 85 and 102B of Financial Services and Markets Act 2000 of the United Kingdom, as amended ("</w:t>
      </w:r>
      <w:r>
        <w:rPr>
          <w:rFonts w:ascii="Times New Roman" w:cs="Times New Roman" w:eastAsia="Times New Roman" w:hAnsi="Times New Roman"/>
          <w:sz w:val="22"/>
          <w:szCs w:val="22"/>
          <w:u w:val="single" w:color="auto"/>
          <w:color w:val="auto"/>
        </w:rPr>
        <w:t>FSMA</w:t>
      </w:r>
      <w:r>
        <w:rPr>
          <w:rFonts w:ascii="Times New Roman" w:cs="Times New Roman" w:eastAsia="Times New Roman" w:hAnsi="Times New Roman"/>
          <w:sz w:val="22"/>
          <w:szCs w:val="22"/>
          <w:color w:val="auto"/>
        </w:rPr>
        <w:t xml:space="preserve"> "), the UK Companies Act 2006 or otherwise. Accordingly, this document does not constitute a prospectus within the meaning of section 85 of FSMA and has not been drawn up in accordance with the Prospectus Regulation Rules and has not been nor will it be approved by, or filed with, the UK Financial Conduct Authority (“</w:t>
      </w:r>
      <w:r>
        <w:rPr>
          <w:rFonts w:ascii="Times New Roman" w:cs="Times New Roman" w:eastAsia="Times New Roman" w:hAnsi="Times New Roman"/>
          <w:sz w:val="22"/>
          <w:szCs w:val="22"/>
          <w:u w:val="single" w:color="auto"/>
          <w:color w:val="auto"/>
        </w:rPr>
        <w:t>FCA</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18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1.1 Definitions</w:t>
      </w:r>
      <w:r>
        <w:rPr>
          <w:rFonts w:ascii="Times New Roman" w:cs="Times New Roman" w:eastAsia="Times New Roman" w:hAnsi="Times New Roman"/>
          <w:sz w:val="22"/>
          <w:szCs w:val="22"/>
          <w:color w:val="auto"/>
        </w:rPr>
        <w:t>. In addition to the terms defined elsewhere in this Agreement, for all purposes of this Agreement, the following terms have the meanings set forth in this Section 1.1:</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Acquiring Person</w:t>
      </w:r>
      <w:r>
        <w:rPr>
          <w:rFonts w:ascii="Times New Roman" w:cs="Times New Roman" w:eastAsia="Times New Roman" w:hAnsi="Times New Roman"/>
          <w:sz w:val="22"/>
          <w:szCs w:val="22"/>
          <w:color w:val="auto"/>
        </w:rPr>
        <w:t>” shall have the meaning ascribed to such term in Section 4.5.</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shall have the meaning ascribed to such term in Section 3.1(j).</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 w:name="page25"/>
    <w:bookmarkEnd w:id="24"/>
    <w:p>
      <w:pPr>
        <w:jc w:val="both"/>
        <w:ind w:left="760"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means the board of directors of the Company.</w:t>
      </w:r>
    </w:p>
    <w:p>
      <w:pPr>
        <w:spacing w:after="0" w:line="206" w:lineRule="exact"/>
        <w:rPr>
          <w:sz w:val="20"/>
          <w:szCs w:val="20"/>
          <w:color w:val="auto"/>
        </w:rPr>
      </w:pPr>
    </w:p>
    <w:p>
      <w:pPr>
        <w:jc w:val="both"/>
        <w:ind w:left="760"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means the closing of the purchase and sale of the Securities pursuant to Section 2.1.</w:t>
      </w:r>
    </w:p>
    <w:p>
      <w:pPr>
        <w:spacing w:after="0" w:line="206" w:lineRule="exact"/>
        <w:rPr>
          <w:sz w:val="20"/>
          <w:szCs w:val="20"/>
          <w:color w:val="auto"/>
        </w:rPr>
      </w:pPr>
    </w:p>
    <w:p>
      <w:pPr>
        <w:jc w:val="both"/>
        <w:ind w:left="760" w:firstLine="749"/>
        <w:spacing w:after="0" w:line="22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(1st) Trading Day following the date hereof (or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Trading Day following the date hereof if this Agreement is signed on a day that is not a Trading Day or after 4:00 p.m. (New York City time) and before midnight (New York City time) on a Trading Day).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means the United States Securities and Exchange Commission.</w:t>
      </w:r>
    </w:p>
    <w:p>
      <w:pPr>
        <w:spacing w:after="0" w:line="206" w:lineRule="exact"/>
        <w:rPr>
          <w:sz w:val="20"/>
          <w:szCs w:val="20"/>
          <w:color w:val="auto"/>
        </w:rPr>
      </w:pPr>
    </w:p>
    <w:p>
      <w:pPr>
        <w:jc w:val="both"/>
        <w:ind w:left="76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UK Counsel</w:t>
      </w:r>
      <w:r>
        <w:rPr>
          <w:rFonts w:ascii="Times New Roman" w:cs="Times New Roman" w:eastAsia="Times New Roman" w:hAnsi="Times New Roman"/>
          <w:sz w:val="22"/>
          <w:szCs w:val="22"/>
          <w:color w:val="auto"/>
        </w:rPr>
        <w:t>” means Taylor Wessing LLP, with offices located at Hill House, 1 Little New Street, London EC4A 3TR UK.</w:t>
      </w:r>
    </w:p>
    <w:p>
      <w:pPr>
        <w:spacing w:after="0" w:line="158" w:lineRule="exact"/>
        <w:rPr>
          <w:sz w:val="20"/>
          <w:szCs w:val="20"/>
          <w:color w:val="auto"/>
        </w:rPr>
      </w:pPr>
    </w:p>
    <w:p>
      <w:pPr>
        <w:jc w:val="both"/>
        <w:ind w:left="7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US Counsel</w:t>
      </w:r>
      <w:r>
        <w:rPr>
          <w:rFonts w:ascii="Times New Roman" w:cs="Times New Roman" w:eastAsia="Times New Roman" w:hAnsi="Times New Roman"/>
          <w:sz w:val="22"/>
          <w:szCs w:val="22"/>
          <w:color w:val="auto"/>
        </w:rPr>
        <w:t>” means DLA Piper LLP (US), with offices located at 1201 W Peachtree St NE #2800, Atlanta, GA 30309, USA.</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Schedules</w:t>
      </w:r>
      <w:r>
        <w:rPr>
          <w:rFonts w:ascii="Times New Roman" w:cs="Times New Roman" w:eastAsia="Times New Roman" w:hAnsi="Times New Roman"/>
          <w:sz w:val="22"/>
          <w:szCs w:val="22"/>
          <w:color w:val="auto"/>
        </w:rPr>
        <w:t>” means the Disclosure Schedules of the Company delivered concurrently herewith.</w:t>
      </w:r>
    </w:p>
    <w:p>
      <w:pPr>
        <w:spacing w:after="0" w:line="206" w:lineRule="exact"/>
        <w:rPr>
          <w:sz w:val="20"/>
          <w:szCs w:val="20"/>
          <w:color w:val="auto"/>
        </w:rPr>
      </w:pPr>
    </w:p>
    <w:p>
      <w:pPr>
        <w:jc w:val="both"/>
        <w:ind w:left="76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Time</w:t>
      </w:r>
      <w:r>
        <w:rPr>
          <w:rFonts w:ascii="Times New Roman" w:cs="Times New Roman" w:eastAsia="Times New Roman" w:hAnsi="Times New Roman"/>
          <w:sz w:val="22"/>
          <w:szCs w:val="22"/>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 w:name="page26"/>
    <w:bookmarkEnd w:id="25"/>
    <w:p>
      <w:pPr>
        <w:jc w:val="both"/>
        <w:ind w:left="7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EGS</w:t>
      </w:r>
      <w:r>
        <w:rPr>
          <w:rFonts w:ascii="Times New Roman" w:cs="Times New Roman" w:eastAsia="Times New Roman" w:hAnsi="Times New Roman"/>
          <w:sz w:val="22"/>
          <w:szCs w:val="22"/>
          <w:color w:val="auto"/>
        </w:rPr>
        <w:t>” means Ellenoff Grossman &amp; Schole LLP, with offices located at 1345 Avenue of the Americas, New York, New York 10105-0302.</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Evaluation Date</w:t>
      </w:r>
      <w:r>
        <w:rPr>
          <w:rFonts w:ascii="Times New Roman" w:cs="Times New Roman" w:eastAsia="Times New Roman" w:hAnsi="Times New Roman"/>
          <w:sz w:val="22"/>
          <w:szCs w:val="22"/>
          <w:color w:val="auto"/>
        </w:rPr>
        <w:t>” shall have the meaning ascribed to such term in Section 3.1(s).</w:t>
      </w:r>
    </w:p>
    <w:p>
      <w:pPr>
        <w:spacing w:after="0" w:line="206" w:lineRule="exact"/>
        <w:rPr>
          <w:sz w:val="20"/>
          <w:szCs w:val="20"/>
          <w:color w:val="auto"/>
        </w:rPr>
      </w:pPr>
    </w:p>
    <w:p>
      <w:pPr>
        <w:jc w:val="both"/>
        <w:ind w:left="7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85"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Exempt Issuance</w:t>
      </w:r>
      <w:r>
        <w:rPr>
          <w:rFonts w:ascii="Times New Roman" w:cs="Times New Roman" w:eastAsia="Times New Roman" w:hAnsi="Times New Roman"/>
          <w:sz w:val="21"/>
          <w:szCs w:val="21"/>
          <w:color w:val="auto"/>
        </w:rPr>
        <w:t>” means the issuance of (a) Ordinary Shares or options or other awards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Ordinary Shares upon the exercise or exchange of or conversion of any Securities issued hereunder and/or other securities issued and outstanding on the date of this Agreement exercisable or exchangeable for or convertible into Ordinary Shares,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4.12(a) herein, and provided that any such issuance shall only be to a Person (or to the equityholders of a Person) which is, itself or through its subsidiaries, an operating company or an owner of an asset in a business party to an acquisition or strategic transaction with the Company, but shall not include a transaction in which the Company is issuing securities primarily for the purpose of raising capital or to an entity whose primary business is investing in securities.</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means the Foreign Corrupt Practices Act of 1977, as amended.</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shall have the meaning ascribed to such term in Section 3.1(h).</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shall have the meaning ascribed to such term in Section 3.1(aa).</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shall have the meaning ascribed to such term in Section 3.1(p).</w:t>
      </w:r>
    </w:p>
    <w:p>
      <w:pPr>
        <w:spacing w:after="0" w:line="206" w:lineRule="exact"/>
        <w:rPr>
          <w:sz w:val="20"/>
          <w:szCs w:val="20"/>
          <w:color w:val="auto"/>
        </w:rPr>
      </w:pPr>
    </w:p>
    <w:p>
      <w:pPr>
        <w:jc w:val="both"/>
        <w:ind w:left="76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means a lien, charge, pledge, security interest, encumbrance, right of first refusal, preemptive right or other restriction.</w:t>
      </w:r>
    </w:p>
    <w:p>
      <w:pPr>
        <w:spacing w:after="0" w:line="158" w:lineRule="exact"/>
        <w:rPr>
          <w:sz w:val="20"/>
          <w:szCs w:val="20"/>
          <w:color w:val="auto"/>
        </w:rPr>
      </w:pPr>
    </w:p>
    <w:p>
      <w:pPr>
        <w:jc w:val="both"/>
        <w:ind w:left="7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Lock-Up Agreement</w:t>
      </w:r>
      <w:r>
        <w:rPr>
          <w:rFonts w:ascii="Times New Roman" w:cs="Times New Roman" w:eastAsia="Times New Roman" w:hAnsi="Times New Roman"/>
          <w:sz w:val="22"/>
          <w:szCs w:val="22"/>
          <w:color w:val="auto"/>
        </w:rPr>
        <w:t xml:space="preserve">” means the Lock-Up Agreement, dated as of the date hereof, by and among the Company and the directors and officers of the Company,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shall have the meaning assigned to such term in Section 3.1(b).</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 w:name="page27"/>
    <w:bookmarkEnd w:id="26"/>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Permits</w:t>
      </w:r>
      <w:r>
        <w:rPr>
          <w:rFonts w:ascii="Times New Roman" w:cs="Times New Roman" w:eastAsia="Times New Roman" w:hAnsi="Times New Roman"/>
          <w:sz w:val="22"/>
          <w:szCs w:val="22"/>
          <w:color w:val="auto"/>
        </w:rPr>
        <w:t>” shall have the meaning ascribed to such term in Section 3.1(n).</w:t>
      </w:r>
    </w:p>
    <w:p>
      <w:pPr>
        <w:spacing w:after="0" w:line="206" w:lineRule="exact"/>
        <w:rPr>
          <w:sz w:val="20"/>
          <w:szCs w:val="20"/>
          <w:color w:val="auto"/>
        </w:rPr>
      </w:pPr>
    </w:p>
    <w:p>
      <w:pPr>
        <w:jc w:val="both"/>
        <w:ind w:left="7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Shares</w:t>
      </w:r>
      <w:r>
        <w:rPr>
          <w:rFonts w:ascii="Times New Roman" w:cs="Times New Roman" w:eastAsia="Times New Roman" w:hAnsi="Times New Roman"/>
          <w:sz w:val="22"/>
          <w:szCs w:val="22"/>
          <w:color w:val="auto"/>
        </w:rPr>
        <w:t>” means the ordinary shares of the Company, par value £0.0001 per share, and any other class of securities into which such securities may hereafter be reclassified or changed.</w:t>
      </w:r>
    </w:p>
    <w:p>
      <w:pPr>
        <w:spacing w:after="0" w:line="158" w:lineRule="exact"/>
        <w:rPr>
          <w:sz w:val="20"/>
          <w:szCs w:val="20"/>
          <w:color w:val="auto"/>
        </w:rPr>
      </w:pPr>
    </w:p>
    <w:p>
      <w:pPr>
        <w:jc w:val="both"/>
        <w:ind w:left="76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Share Equivalents</w:t>
      </w:r>
      <w:r>
        <w:rPr>
          <w:rFonts w:ascii="Times New Roman" w:cs="Times New Roman" w:eastAsia="Times New Roman" w:hAnsi="Times New Roman"/>
          <w:sz w:val="22"/>
          <w:szCs w:val="22"/>
          <w:color w:val="auto"/>
        </w:rPr>
        <w:t xml:space="preserve">” means any securities of the Company or the Subsidiaries which would entitle the holder thereof to acquire at any time </w:t>
      </w:r>
      <w:r>
        <w:rPr>
          <w:rFonts w:ascii="Times New Roman" w:cs="Times New Roman" w:eastAsia="Times New Roman" w:hAnsi="Times New Roman"/>
          <w:sz w:val="22"/>
          <w:szCs w:val="22"/>
          <w:u w:val="single" w:color="auto"/>
          <w:color w:val="auto"/>
        </w:rPr>
        <w:t>Ordinary</w:t>
      </w:r>
      <w:r>
        <w:rPr>
          <w:rFonts w:ascii="Times New Roman" w:cs="Times New Roman" w:eastAsia="Times New Roman" w:hAnsi="Times New Roman"/>
          <w:sz w:val="22"/>
          <w:szCs w:val="22"/>
          <w:color w:val="auto"/>
        </w:rPr>
        <w:t xml:space="preserve"> Shares, including, without limitation, any debt, preferred stock, right, option, warrant or other instrument that is at any time convertible into or exercisable or exchangeable for, or otherwise entitles the holder thereof to receive, Ordinary Shares.</w:t>
      </w:r>
    </w:p>
    <w:p>
      <w:pPr>
        <w:spacing w:after="0" w:line="180"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Warrants</w:t>
      </w:r>
      <w:r>
        <w:rPr>
          <w:rFonts w:ascii="Times New Roman" w:cs="Times New Roman" w:eastAsia="Times New Roman" w:hAnsi="Times New Roman"/>
          <w:sz w:val="22"/>
          <w:szCs w:val="22"/>
          <w:color w:val="auto"/>
        </w:rPr>
        <w:t xml:space="preserve">” means, collectively, the Ordinary Share purchase warrants delivered to the Purchasers at the Closing in accordance with Section 2.2(a) hereof, which Ordinary Warrants shall be exercisable immediately and have a term of exercise equal to five (5) years, in the form of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attached hereto.</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Warrant Shares</w:t>
      </w:r>
      <w:r>
        <w:rPr>
          <w:rFonts w:ascii="Times New Roman" w:cs="Times New Roman" w:eastAsia="Times New Roman" w:hAnsi="Times New Roman"/>
          <w:sz w:val="22"/>
          <w:szCs w:val="22"/>
          <w:color w:val="auto"/>
        </w:rPr>
        <w:t>” means the Ordinary Shares issuable upon exercise of the Ordinary Warrants.</w:t>
      </w:r>
    </w:p>
    <w:p>
      <w:pPr>
        <w:spacing w:after="0" w:line="206" w:lineRule="exact"/>
        <w:rPr>
          <w:sz w:val="20"/>
          <w:szCs w:val="20"/>
          <w:color w:val="auto"/>
        </w:rPr>
      </w:pPr>
    </w:p>
    <w:p>
      <w:pPr>
        <w:jc w:val="both"/>
        <w:ind w:left="76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Purchase Price</w:t>
      </w:r>
      <w:r>
        <w:rPr>
          <w:rFonts w:ascii="Times New Roman" w:cs="Times New Roman" w:eastAsia="Times New Roman" w:hAnsi="Times New Roman"/>
          <w:sz w:val="22"/>
          <w:szCs w:val="22"/>
          <w:color w:val="auto"/>
        </w:rPr>
        <w:t>” equals $3.00, subject to adjustment for reverse and forward stock splits, stock dividends, stock combinations and other similar transactions of the Ordinary Shares that occur after the date of this Agreement, provided that the purchase price per Pre-Funded Warrant shall be the Per Share Purchase Price minus $0.001.</w:t>
      </w:r>
    </w:p>
    <w:p>
      <w:pPr>
        <w:spacing w:after="0" w:line="180"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Placement Agent</w:t>
      </w:r>
      <w:r>
        <w:rPr>
          <w:rFonts w:ascii="Times New Roman" w:cs="Times New Roman" w:eastAsia="Times New Roman" w:hAnsi="Times New Roman"/>
          <w:sz w:val="22"/>
          <w:szCs w:val="22"/>
          <w:color w:val="auto"/>
        </w:rPr>
        <w:t>” means H.C. Wainwright &amp; Co., LLC.</w:t>
      </w:r>
    </w:p>
    <w:p>
      <w:pPr>
        <w:spacing w:after="0" w:line="206"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Pre-Funded Warrants</w:t>
      </w:r>
      <w:r>
        <w:rPr>
          <w:rFonts w:ascii="Times New Roman" w:cs="Times New Roman" w:eastAsia="Times New Roman" w:hAnsi="Times New Roman"/>
          <w:sz w:val="22"/>
          <w:szCs w:val="22"/>
          <w:color w:val="auto"/>
        </w:rPr>
        <w:t xml:space="preserve">” means, collectively, the pre-funded Ordinary Share purchase warrants delivered to the Purchasers at the Closing in accordance with Section 2.2(a) hereof, which Pre-Funded Warrants shall be exercisable immediately and shall expire when exercised in full, in the form of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 xml:space="preserve"> attached hereto.</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Pre-Funded Warrant Shares</w:t>
      </w:r>
      <w:r>
        <w:rPr>
          <w:rFonts w:ascii="Times New Roman" w:cs="Times New Roman" w:eastAsia="Times New Roman" w:hAnsi="Times New Roman"/>
          <w:sz w:val="22"/>
          <w:szCs w:val="22"/>
          <w:color w:val="auto"/>
        </w:rPr>
        <w:t>” means the Ordinary Shares issuable upon exercise of the Pre-Funded Warrants.</w:t>
      </w:r>
    </w:p>
    <w:p>
      <w:pPr>
        <w:spacing w:after="0" w:line="206" w:lineRule="exact"/>
        <w:rPr>
          <w:sz w:val="20"/>
          <w:szCs w:val="20"/>
          <w:color w:val="auto"/>
        </w:rPr>
      </w:pPr>
    </w:p>
    <w:p>
      <w:pPr>
        <w:jc w:val="both"/>
        <w:ind w:left="7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 action, claim, suit, investigation or proceeding (including, without limitation, an informal investigation or partial proceeding, such as a deposition), whether commenced or threatened.</w:t>
      </w:r>
    </w:p>
    <w:p>
      <w:pPr>
        <w:spacing w:after="0" w:line="158" w:lineRule="exact"/>
        <w:rPr>
          <w:sz w:val="20"/>
          <w:szCs w:val="20"/>
          <w:color w:val="auto"/>
        </w:rPr>
      </w:pPr>
    </w:p>
    <w:p>
      <w:pPr>
        <w:jc w:val="both"/>
        <w:ind w:left="76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Preliminary Prospectus</w:t>
      </w:r>
      <w:r>
        <w:rPr>
          <w:rFonts w:ascii="Times New Roman" w:cs="Times New Roman" w:eastAsia="Times New Roman" w:hAnsi="Times New Roman"/>
          <w:sz w:val="22"/>
          <w:szCs w:val="22"/>
          <w:color w:val="auto"/>
        </w:rPr>
        <w:t>” means any preliminary prospectus included in the Registration Statement, as originally filed or as part of any amendment thereto, or filed with the Commission pursuant to Rule 424(a) of the rules and regulations of the Commission under the Securities Act, including all information, documents and exhibits filed with or incorporated by reference into such preliminary prospectus, including all</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 w:name="page28"/>
    <w:bookmarkEnd w:id="27"/>
    <w:p>
      <w:pPr>
        <w:ind w:left="760"/>
        <w:spacing w:after="0"/>
        <w:rPr>
          <w:sz w:val="20"/>
          <w:szCs w:val="20"/>
          <w:color w:val="auto"/>
        </w:rPr>
      </w:pPr>
      <w:r>
        <w:rPr>
          <w:rFonts w:ascii="Times New Roman" w:cs="Times New Roman" w:eastAsia="Times New Roman" w:hAnsi="Times New Roman"/>
          <w:sz w:val="22"/>
          <w:szCs w:val="22"/>
          <w:color w:val="auto"/>
        </w:rPr>
        <w:t>information, documents and exhibits filed with or incorporated by reference into such preliminary prospectus.</w:t>
      </w:r>
    </w:p>
    <w:p>
      <w:pPr>
        <w:spacing w:after="0" w:line="206"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Pricing Prospectus</w:t>
      </w:r>
      <w:r>
        <w:rPr>
          <w:rFonts w:ascii="Times New Roman" w:cs="Times New Roman" w:eastAsia="Times New Roman" w:hAnsi="Times New Roman"/>
          <w:sz w:val="22"/>
          <w:szCs w:val="22"/>
          <w:color w:val="auto"/>
        </w:rPr>
        <w:t xml:space="preserve">” means (i) the Preliminary Prospectus relating to the Securities that was included in the Registration Statement immediately prior to 5:55 p.m. (New York City time) on the date hereof and (ii) any free writing prospectus (as defined in the Securities Act) identified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 taken together.</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means the final prospectus filed for the Registration Statement.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Party</w:t>
      </w:r>
      <w:r>
        <w:rPr>
          <w:rFonts w:ascii="Times New Roman" w:cs="Times New Roman" w:eastAsia="Times New Roman" w:hAnsi="Times New Roman"/>
          <w:sz w:val="22"/>
          <w:szCs w:val="22"/>
          <w:color w:val="auto"/>
        </w:rPr>
        <w:t>” shall have the meaning ascribed to such term in Section 4.8.</w:t>
      </w:r>
    </w:p>
    <w:p>
      <w:pPr>
        <w:spacing w:after="0" w:line="206" w:lineRule="exact"/>
        <w:rPr>
          <w:sz w:val="20"/>
          <w:szCs w:val="20"/>
          <w:color w:val="auto"/>
        </w:rPr>
      </w:pPr>
    </w:p>
    <w:p>
      <w:pPr>
        <w:jc w:val="both"/>
        <w:ind w:left="7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the effective registration statement on Form F-1 (File No. 333-283622) which registers the sale of the Shares, the Warrants and the Warrant Shares to the Purchasers.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Approvals</w:t>
      </w:r>
      <w:r>
        <w:rPr>
          <w:rFonts w:ascii="Times New Roman" w:cs="Times New Roman" w:eastAsia="Times New Roman" w:hAnsi="Times New Roman"/>
          <w:sz w:val="22"/>
          <w:szCs w:val="22"/>
          <w:color w:val="auto"/>
        </w:rPr>
        <w:t>” shall have the meaning ascribed to such term in Section 3.1(e).</w:t>
      </w:r>
    </w:p>
    <w:p>
      <w:pPr>
        <w:spacing w:after="0" w:line="206"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3"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424</w:t>
      </w:r>
      <w:r>
        <w:rPr>
          <w:rFonts w:ascii="Times New Roman" w:cs="Times New Roman" w:eastAsia="Times New Roman" w:hAnsi="Times New Roman"/>
          <w:sz w:val="22"/>
          <w:szCs w:val="22"/>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 Reports</w:t>
      </w:r>
      <w:r>
        <w:rPr>
          <w:rFonts w:ascii="Times New Roman" w:cs="Times New Roman" w:eastAsia="Times New Roman" w:hAnsi="Times New Roman"/>
          <w:sz w:val="22"/>
          <w:szCs w:val="22"/>
          <w:color w:val="auto"/>
        </w:rPr>
        <w:t>” shall have the meaning ascribed to such term in Section 3.1(h).</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means the Shares, the Warrants and the Warrant Shares.</w:t>
      </w:r>
    </w:p>
    <w:p>
      <w:pPr>
        <w:spacing w:after="0" w:line="206" w:lineRule="exact"/>
        <w:rPr>
          <w:sz w:val="20"/>
          <w:szCs w:val="20"/>
          <w:color w:val="auto"/>
        </w:rPr>
      </w:pPr>
    </w:p>
    <w:p>
      <w:pPr>
        <w:jc w:val="both"/>
        <w:ind w:left="76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 thereunder.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means the Ordinary Shares issued or issuable to each Purchaser pursuant to this Agreement.</w:t>
      </w:r>
    </w:p>
    <w:p>
      <w:pPr>
        <w:spacing w:after="0" w:line="233" w:lineRule="exact"/>
        <w:rPr>
          <w:sz w:val="20"/>
          <w:szCs w:val="20"/>
          <w:color w:val="auto"/>
        </w:rPr>
      </w:pPr>
    </w:p>
    <w:p>
      <w:pPr>
        <w:jc w:val="both"/>
        <w:ind w:left="76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means all “short sales” as defined in Rule 200 of Regulation SHO under the Exchange Act (but shall not be deemed to include locating and/or borrowing Ordinary Shares).</w:t>
      </w:r>
    </w:p>
    <w:p>
      <w:pPr>
        <w:spacing w:after="0" w:line="158"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Subscription Amount</w:t>
      </w:r>
      <w:r>
        <w:rPr>
          <w:rFonts w:ascii="Times New Roman" w:cs="Times New Roman" w:eastAsia="Times New Roman" w:hAnsi="Times New Roman"/>
          <w:sz w:val="22"/>
          <w:szCs w:val="22"/>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 (minus, if applicable,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 w:name="page29"/>
    <w:bookmarkEnd w:id="28"/>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a Purchaser’s aggregate exercise price of the Pre-Funded Warrants, which amounts shall be paid as and when such Pre-Funded Warrants are exercised for cash).</w:t>
      </w:r>
    </w:p>
    <w:p>
      <w:pPr>
        <w:spacing w:after="0" w:line="158" w:lineRule="exact"/>
        <w:rPr>
          <w:sz w:val="20"/>
          <w:szCs w:val="20"/>
          <w:color w:val="auto"/>
        </w:rPr>
      </w:pPr>
    </w:p>
    <w:p>
      <w:pPr>
        <w:jc w:val="both"/>
        <w:ind w:left="76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xml:space="preserve">” means any subsidiary of the Company as set forth on </w:t>
      </w:r>
      <w:r>
        <w:rPr>
          <w:rFonts w:ascii="Times New Roman" w:cs="Times New Roman" w:eastAsia="Times New Roman" w:hAnsi="Times New Roman"/>
          <w:sz w:val="22"/>
          <w:szCs w:val="22"/>
          <w:u w:val="single" w:color="auto"/>
          <w:color w:val="auto"/>
        </w:rPr>
        <w:t>Schedule 3.1(a)</w:t>
      </w:r>
      <w:r>
        <w:rPr>
          <w:rFonts w:ascii="Times New Roman" w:cs="Times New Roman" w:eastAsia="Times New Roman" w:hAnsi="Times New Roman"/>
          <w:sz w:val="22"/>
          <w:szCs w:val="22"/>
          <w:color w:val="auto"/>
        </w:rPr>
        <w:t>, and shall, where applicable, also include any direct or indirect subsidiary of the Company formed or acquired after the date hereof.</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the principal Trading Market is open for trading.</w:t>
      </w:r>
    </w:p>
    <w:p>
      <w:pPr>
        <w:spacing w:after="0" w:line="206" w:lineRule="exact"/>
        <w:rPr>
          <w:sz w:val="20"/>
          <w:szCs w:val="20"/>
          <w:color w:val="auto"/>
        </w:rPr>
      </w:pPr>
    </w:p>
    <w:p>
      <w:pPr>
        <w:jc w:val="both"/>
        <w:ind w:left="760" w:firstLine="7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Trading Market</w:t>
      </w:r>
      <w:r>
        <w:rPr>
          <w:rFonts w:ascii="Times New Roman" w:cs="Times New Roman" w:eastAsia="Times New Roman" w:hAnsi="Times New Roman"/>
          <w:sz w:val="21"/>
          <w:szCs w:val="21"/>
          <w:color w:val="auto"/>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spacing w:after="0" w:line="157"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the Warrants, the Lock-Up Agreement, all exhibits and schedules thereto and hereto and any other documents or agreements executed in connection with the transactions contemplated hereunder.</w:t>
      </w:r>
    </w:p>
    <w:p>
      <w:pPr>
        <w:spacing w:after="0" w:line="173" w:lineRule="exact"/>
        <w:rPr>
          <w:sz w:val="20"/>
          <w:szCs w:val="20"/>
          <w:color w:val="auto"/>
        </w:rPr>
      </w:pPr>
    </w:p>
    <w:p>
      <w:pPr>
        <w:jc w:val="both"/>
        <w:ind w:left="7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Agent</w:t>
      </w:r>
      <w:r>
        <w:rPr>
          <w:rFonts w:ascii="Times New Roman" w:cs="Times New Roman" w:eastAsia="Times New Roman" w:hAnsi="Times New Roman"/>
          <w:sz w:val="22"/>
          <w:szCs w:val="22"/>
          <w:color w:val="auto"/>
        </w:rPr>
        <w:t>” means Computershare Inc., the current transfer agent of the Company, and any successor transfer agent of the Company.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Variable Rate Transaction</w:t>
      </w:r>
      <w:r>
        <w:rPr>
          <w:rFonts w:ascii="Times New Roman" w:cs="Times New Roman" w:eastAsia="Times New Roman" w:hAnsi="Times New Roman"/>
          <w:sz w:val="22"/>
          <w:szCs w:val="22"/>
          <w:color w:val="auto"/>
        </w:rPr>
        <w:t>” shall have the meaning ascribed to such term in Section 4.12(b).</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means, collectively, the Ordinary Warrants and the Pre-Funded Warrants.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means, collectively, the Ordinary Warrant Shares and the Pre-Funded Warrant Shares.</w:t>
      </w:r>
    </w:p>
    <w:p>
      <w:pPr>
        <w:spacing w:after="0" w:line="206" w:lineRule="exact"/>
        <w:rPr>
          <w:sz w:val="20"/>
          <w:szCs w:val="20"/>
          <w:color w:val="auto"/>
        </w:rPr>
      </w:pPr>
    </w:p>
    <w:p>
      <w:pPr>
        <w:jc w:val="both"/>
        <w:ind w:left="760" w:firstLine="74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Yorkville SEPA</w:t>
      </w:r>
      <w:r>
        <w:rPr>
          <w:rFonts w:ascii="Times New Roman" w:cs="Times New Roman" w:eastAsia="Times New Roman" w:hAnsi="Times New Roman"/>
          <w:sz w:val="21"/>
          <w:szCs w:val="21"/>
          <w:color w:val="auto"/>
        </w:rPr>
        <w:t>” means the standby equity purchase agreement entered into between the Company and YA II PN, Ltd dated 23 February 2023 as was amended and restated on 2 February 2024, and as amended from time to time;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PURCHASE AND SALE</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2.1 Closing</w:t>
      </w:r>
      <w:r>
        <w:rPr>
          <w:rFonts w:ascii="Times New Roman" w:cs="Times New Roman" w:eastAsia="Times New Roman" w:hAnsi="Times New Roman"/>
          <w:sz w:val="22"/>
          <w:szCs w:val="22"/>
          <w:color w:val="auto"/>
        </w:rPr>
        <w:t xml:space="preserve">. On the Closing Date, upon the terms and subject to the conditions set forth herein, the Company agrees to sell, and the Purchasers, severally and not jointly, agree to purchase, up to an aggregate of $15,000,000 of Shares and Ordinary Warrants;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that a Purchaser determines, in its sole discretion, that such Purchaser’s Subscription Amount (together with such Purchaser’s Affiliates, and any Person acting as a group together with such Purchaser or any of such Purchaser’s Affiliates) would cause such Purchaser’s beneficial ownership of the Ordinary Shares to exceed the Beneficial Ownership Limitation, or as such Purchaser may otherwise choose, in lieu of purchasing Shares, such Purchaser may elect, by so</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 w:name="page30"/>
    <w:bookmarkEnd w:id="29"/>
    <w:p>
      <w:pPr>
        <w:jc w:val="both"/>
        <w:ind w:firstLine="509"/>
        <w:spacing w:after="0" w:line="242" w:lineRule="auto"/>
        <w:rPr>
          <w:sz w:val="20"/>
          <w:szCs w:val="20"/>
          <w:color w:val="auto"/>
        </w:rPr>
      </w:pPr>
      <w:r>
        <w:rPr>
          <w:rFonts w:ascii="Times New Roman" w:cs="Times New Roman" w:eastAsia="Times New Roman" w:hAnsi="Times New Roman"/>
          <w:sz w:val="21"/>
          <w:szCs w:val="21"/>
          <w:color w:val="auto"/>
        </w:rPr>
        <w:t>indicating such election prior to their issuance, to purchase Pre-Funded Warrants in lieu of Shares in such manner to result in the same aggregate purchase price being paid by such Purchaser to the Company. The “</w:t>
      </w:r>
      <w:r>
        <w:rPr>
          <w:rFonts w:ascii="Times New Roman" w:cs="Times New Roman" w:eastAsia="Times New Roman" w:hAnsi="Times New Roman"/>
          <w:sz w:val="21"/>
          <w:szCs w:val="21"/>
          <w:u w:val="single" w:color="auto"/>
          <w:color w:val="auto"/>
        </w:rPr>
        <w:t>Beneficial Ownership Limitation</w:t>
      </w:r>
      <w:r>
        <w:rPr>
          <w:rFonts w:ascii="Times New Roman" w:cs="Times New Roman" w:eastAsia="Times New Roman" w:hAnsi="Times New Roman"/>
          <w:sz w:val="21"/>
          <w:szCs w:val="21"/>
          <w:color w:val="auto"/>
        </w:rPr>
        <w:t>” shall be 4.99% (or, with respect to each Purchaser, at the election of such Purchaser at Closing, 9.99%) of the number of the Ordinary Shares outstanding immediately after giving effect to the issuance of the Shares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Pre-Funded Warrants (if any) and Ordinary Warrants,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EGS or such other location (including remotely by electronic transmission). Unless otherwise directed by the Placement Agent, settlement of the Shares shall occur via “Delivery Versus Payment” (“</w:t>
      </w:r>
      <w:r>
        <w:rPr>
          <w:rFonts w:ascii="Times New Roman" w:cs="Times New Roman" w:eastAsia="Times New Roman" w:hAnsi="Times New Roman"/>
          <w:sz w:val="21"/>
          <w:szCs w:val="21"/>
          <w:u w:val="single" w:color="auto"/>
          <w:color w:val="auto"/>
        </w:rPr>
        <w:t>DVP</w:t>
      </w:r>
      <w:r>
        <w:rPr>
          <w:rFonts w:ascii="Times New Roman" w:cs="Times New Roman" w:eastAsia="Times New Roman" w:hAnsi="Times New Roman"/>
          <w:sz w:val="21"/>
          <w:szCs w:val="21"/>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21"/>
          <w:szCs w:val="21"/>
          <w:u w:val="single" w:color="auto"/>
          <w:color w:val="auto"/>
        </w:rPr>
        <w:t>Pre-Settlement Period</w:t>
      </w:r>
      <w:r>
        <w:rPr>
          <w:rFonts w:ascii="Times New Roman" w:cs="Times New Roman" w:eastAsia="Times New Roman" w:hAnsi="Times New Roman"/>
          <w:sz w:val="21"/>
          <w:szCs w:val="21"/>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21"/>
          <w:szCs w:val="21"/>
          <w:u w:val="single" w:color="auto"/>
          <w:color w:val="auto"/>
        </w:rPr>
        <w:t>Pre-Settlement Shares</w:t>
      </w:r>
      <w:r>
        <w:rPr>
          <w:rFonts w:ascii="Times New Roman" w:cs="Times New Roman" w:eastAsia="Times New Roman" w:hAnsi="Times New Roman"/>
          <w:sz w:val="21"/>
          <w:szCs w:val="21"/>
          <w:color w:val="auto"/>
        </w:rPr>
        <w:t>”),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Ordinary Shares to any Person and that any such decision to sell any Ordinary Shares by such Purchaser shall solely be made at the time such Purchaser elects to effect any such sale, if any. Notwithstanding the foregoing, with respect to any Notice(s) of Exercise (as defined in the Warrants) delivered on or prior to 12:00 p.m. (New York City time) on the Closing Date, which may be delivered at any time after the time of execution of this Agreement, the Company agrees to deliver the Warrant Shares subject to such notice(s) by 4:00 p.m. (New York City time) on the Closing Date and the Closing Date shall be the Warrant Share Delivery Date (as defined in the Warrants) for purposes thereunder.</w:t>
      </w:r>
    </w:p>
    <w:p>
      <w:pPr>
        <w:spacing w:after="0" w:line="200" w:lineRule="exact"/>
        <w:rPr>
          <w:sz w:val="20"/>
          <w:szCs w:val="20"/>
          <w:color w:val="auto"/>
        </w:rPr>
      </w:pPr>
    </w:p>
    <w:p>
      <w:pPr>
        <w:spacing w:after="0" w:line="24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u w:val="single" w:color="auto"/>
          <w:color w:val="auto"/>
        </w:rPr>
        <w:t>2.2</w:t>
      </w:r>
      <w:r>
        <w:rPr>
          <w:sz w:val="20"/>
          <w:szCs w:val="20"/>
          <w:color w:val="auto"/>
        </w:rPr>
        <w:tab/>
      </w:r>
      <w:r>
        <w:rPr>
          <w:rFonts w:ascii="Times New Roman" w:cs="Times New Roman" w:eastAsia="Times New Roman" w:hAnsi="Times New Roman"/>
          <w:sz w:val="21"/>
          <w:szCs w:val="21"/>
          <w:u w:val="single" w:color="auto"/>
          <w:color w:val="auto"/>
        </w:rPr>
        <w:t>Deliveries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right="20" w:firstLine="745"/>
        <w:spacing w:after="0" w:line="258" w:lineRule="auto"/>
        <w:tabs>
          <w:tab w:leader="none" w:pos="204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(except as indicated below), the Company shall deliver or cause to be delivered to each Purchaser the following:</w:t>
      </w:r>
    </w:p>
    <w:p>
      <w:pPr>
        <w:spacing w:after="0" w:line="158"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duly executed by the Company;</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 w:name="page31"/>
    <w:bookmarkEnd w:id="30"/>
    <w:p>
      <w:pPr>
        <w:ind w:left="1500" w:firstLine="754"/>
        <w:spacing w:after="0" w:line="258" w:lineRule="auto"/>
        <w:tabs>
          <w:tab w:leader="none" w:pos="254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legal opinions of Company US Counsel and Company UK Counsel, directed to the Placement Agent and the Purchasers, each in a form reasonably acceptable to the Placement Agent and the Purchasers;</w:t>
      </w:r>
    </w:p>
    <w:p>
      <w:pPr>
        <w:spacing w:after="0" w:line="158" w:lineRule="exact"/>
        <w:rPr>
          <w:sz w:val="20"/>
          <w:szCs w:val="20"/>
          <w:color w:val="auto"/>
        </w:rPr>
      </w:pPr>
    </w:p>
    <w:p>
      <w:pPr>
        <w:jc w:val="both"/>
        <w:ind w:left="1500" w:firstLine="749"/>
        <w:spacing w:after="0" w:line="258" w:lineRule="auto"/>
        <w:rPr>
          <w:sz w:val="20"/>
          <w:szCs w:val="20"/>
          <w:color w:val="auto"/>
        </w:rPr>
      </w:pPr>
      <w:r>
        <w:rPr>
          <w:rFonts w:ascii="Times New Roman" w:cs="Times New Roman" w:eastAsia="Times New Roman" w:hAnsi="Times New Roman"/>
          <w:sz w:val="22"/>
          <w:szCs w:val="22"/>
          <w:color w:val="auto"/>
        </w:rPr>
        <w:t>(iii)subject to Section 2.1, the Company shall have provided each Purchaser with the Company’s wire instructions, on Company letterhead and executed by the Chief Executive Officer or Chief Financial Officer;</w:t>
      </w:r>
    </w:p>
    <w:p>
      <w:pPr>
        <w:spacing w:after="0" w:line="158" w:lineRule="exact"/>
        <w:rPr>
          <w:sz w:val="20"/>
          <w:szCs w:val="20"/>
          <w:color w:val="auto"/>
        </w:rPr>
      </w:pPr>
    </w:p>
    <w:p>
      <w:pPr>
        <w:jc w:val="both"/>
        <w:ind w:left="1500" w:firstLine="749"/>
        <w:spacing w:after="0" w:line="239" w:lineRule="auto"/>
        <w:rPr>
          <w:sz w:val="20"/>
          <w:szCs w:val="20"/>
          <w:color w:val="auto"/>
        </w:rPr>
      </w:pPr>
      <w:r>
        <w:rPr>
          <w:rFonts w:ascii="Times New Roman" w:cs="Times New Roman" w:eastAsia="Times New Roman" w:hAnsi="Times New Roman"/>
          <w:sz w:val="22"/>
          <w:szCs w:val="22"/>
          <w:color w:val="auto"/>
        </w:rPr>
        <w:t>(iv)subject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22"/>
          <w:szCs w:val="22"/>
          <w:u w:val="single" w:color="auto"/>
          <w:color w:val="auto"/>
        </w:rPr>
        <w:t>DWAC</w:t>
      </w:r>
      <w:r>
        <w:rPr>
          <w:rFonts w:ascii="Times New Roman" w:cs="Times New Roman" w:eastAsia="Times New Roman" w:hAnsi="Times New Roman"/>
          <w:sz w:val="22"/>
          <w:szCs w:val="22"/>
          <w:color w:val="auto"/>
        </w:rPr>
        <w:t>”) Shares equal to such Purchaser’s Subscription Amount divided by the Per Share Purchase Price, registered in the name of such Purchaser;</w:t>
      </w:r>
    </w:p>
    <w:p>
      <w:pPr>
        <w:spacing w:after="0" w:line="180" w:lineRule="exact"/>
        <w:rPr>
          <w:sz w:val="20"/>
          <w:szCs w:val="20"/>
          <w:color w:val="auto"/>
        </w:rPr>
      </w:pPr>
    </w:p>
    <w:p>
      <w:pPr>
        <w:jc w:val="both"/>
        <w:ind w:left="1500" w:right="20" w:firstLine="754"/>
        <w:spacing w:after="0" w:line="244" w:lineRule="auto"/>
        <w:tabs>
          <w:tab w:leader="none" w:pos="254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Ordinary Warrant registered in the name of such Purchaser to purchase up to a number of Ordinary Shares equal to 100% of the sum of such Purchaser’s Shares and Pre-Funded Warrant Shares on the date hereof, with an exercise price equal to $3.00 per Ordinary Share, subject to adjustment therein;</w:t>
      </w:r>
    </w:p>
    <w:p>
      <w:pPr>
        <w:spacing w:after="0" w:line="173" w:lineRule="exact"/>
        <w:rPr>
          <w:sz w:val="20"/>
          <w:szCs w:val="20"/>
          <w:color w:val="auto"/>
        </w:rPr>
      </w:pPr>
    </w:p>
    <w:p>
      <w:pPr>
        <w:jc w:val="both"/>
        <w:ind w:left="1500" w:firstLine="749"/>
        <w:spacing w:after="0" w:line="238" w:lineRule="auto"/>
        <w:rPr>
          <w:sz w:val="20"/>
          <w:szCs w:val="20"/>
          <w:color w:val="auto"/>
        </w:rPr>
      </w:pPr>
      <w:r>
        <w:rPr>
          <w:rFonts w:ascii="Times New Roman" w:cs="Times New Roman" w:eastAsia="Times New Roman" w:hAnsi="Times New Roman"/>
          <w:sz w:val="22"/>
          <w:szCs w:val="22"/>
          <w:color w:val="auto"/>
        </w:rPr>
        <w:t>(vi)if applicable, for each Purchaser of Pre-Funded Warrants pursuant to Section 2.1, a Pre-Funded Warrant registered in the name of such Purchaser to purchase up to a number of Ordinary Shares equal to the portion of such Purchaser’s Subscription Amount applicable to Pre-Funded Warrants divided by the Per Share Purchase Price minus $0.001, with an exercise price equal to $0.001 per Ordinary Share, subject to adjustment therein;</w:t>
      </w:r>
    </w:p>
    <w:p>
      <w:pPr>
        <w:spacing w:after="0" w:line="17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(vii)on the date hereof, the duly executed Lock-Up Agreements; and</w:t>
      </w:r>
    </w:p>
    <w:p>
      <w:pPr>
        <w:spacing w:after="0" w:line="206" w:lineRule="exact"/>
        <w:rPr>
          <w:sz w:val="20"/>
          <w:szCs w:val="20"/>
          <w:color w:val="auto"/>
        </w:rPr>
      </w:pPr>
    </w:p>
    <w:p>
      <w:pPr>
        <w:jc w:val="both"/>
        <w:ind w:left="1500" w:firstLine="749"/>
        <w:spacing w:after="0" w:line="258" w:lineRule="auto"/>
        <w:rPr>
          <w:sz w:val="20"/>
          <w:szCs w:val="20"/>
          <w:color w:val="auto"/>
        </w:rPr>
      </w:pPr>
      <w:r>
        <w:rPr>
          <w:rFonts w:ascii="Times New Roman" w:cs="Times New Roman" w:eastAsia="Times New Roman" w:hAnsi="Times New Roman"/>
          <w:sz w:val="22"/>
          <w:szCs w:val="22"/>
          <w:color w:val="auto"/>
        </w:rPr>
        <w:t>(viii)the Preliminary Prospectus and the Prospectus (which may be delivered in accordance with Rule 172 under the Securities Act).</w:t>
      </w:r>
    </w:p>
    <w:p>
      <w:pPr>
        <w:spacing w:after="0" w:line="158"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On or prior to the Closing Date, each Purchaser shall deliver or cause to be delivered to the Company the following:</w:t>
      </w:r>
    </w:p>
    <w:p>
      <w:pPr>
        <w:spacing w:after="0" w:line="206" w:lineRule="exact"/>
        <w:rPr>
          <w:rFonts w:ascii="Times New Roman" w:cs="Times New Roman" w:eastAsia="Times New Roman" w:hAnsi="Times New Roman"/>
          <w:sz w:val="22"/>
          <w:szCs w:val="22"/>
          <w:u w:val="single" w:color="auto"/>
          <w:color w:val="auto"/>
        </w:rPr>
      </w:pPr>
    </w:p>
    <w:p>
      <w:pPr>
        <w:ind w:left="2560" w:hanging="306"/>
        <w:spacing w:after="0"/>
        <w:tabs>
          <w:tab w:leader="none" w:pos="256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duly executed by such Purchaser; and</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54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Purchaser’s Subscription Amount (less the aggregate exercise price of the Pre-Funded Warrants issuable to such Purchaser hereunder, if applicable), which shall be made available for “Delivery Versus Payment” settlement with the Company or its designee.</w:t>
      </w:r>
    </w:p>
    <w:p>
      <w:pPr>
        <w:spacing w:after="0" w:line="17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u w:val="single" w:color="auto"/>
          <w:color w:val="auto"/>
        </w:rPr>
        <w:t>2.3</w:t>
      </w:r>
      <w:r>
        <w:rPr>
          <w:sz w:val="20"/>
          <w:szCs w:val="20"/>
          <w:color w:val="auto"/>
        </w:rPr>
        <w:tab/>
      </w:r>
      <w:r>
        <w:rPr>
          <w:rFonts w:ascii="Times New Roman" w:cs="Times New Roman" w:eastAsia="Times New Roman" w:hAnsi="Times New Roman"/>
          <w:sz w:val="21"/>
          <w:szCs w:val="21"/>
          <w:u w:val="single" w:color="auto"/>
          <w:color w:val="auto"/>
        </w:rPr>
        <w:t>Closing Conditions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-13970</wp:posOffset>
            </wp:positionV>
            <wp:extent cx="342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6" w:lineRule="exact"/>
        <w:rPr>
          <w:sz w:val="20"/>
          <w:szCs w:val="20"/>
          <w:color w:val="auto"/>
        </w:rPr>
      </w:pPr>
    </w:p>
    <w:p>
      <w:pPr>
        <w:ind w:left="760" w:right="40" w:firstLine="745"/>
        <w:spacing w:after="0" w:line="258" w:lineRule="auto"/>
        <w:tabs>
          <w:tab w:leader="none" w:pos="194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hereunder in connection with the Closing are subject to the following conditions being met:</w:t>
      </w:r>
    </w:p>
    <w:p>
      <w:pPr>
        <w:spacing w:after="0" w:line="158" w:lineRule="exact"/>
        <w:rPr>
          <w:rFonts w:ascii="Times New Roman" w:cs="Times New Roman" w:eastAsia="Times New Roman" w:hAnsi="Times New Roman"/>
          <w:sz w:val="22"/>
          <w:szCs w:val="22"/>
          <w:color w:val="auto"/>
        </w:rPr>
      </w:pPr>
    </w:p>
    <w:p>
      <w:pPr>
        <w:ind w:left="1500" w:firstLine="754"/>
        <w:spacing w:after="0" w:line="258" w:lineRule="auto"/>
        <w:tabs>
          <w:tab w:leader="none" w:pos="254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accuracy in all material respects (or, to the extent representations or warranties are qualified by materiality or Material Adverse Effect, in all respects)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 w:name="page32"/>
    <w:bookmarkEnd w:id="31"/>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3" w:lineRule="exact"/>
        <w:rPr>
          <w:sz w:val="20"/>
          <w:szCs w:val="20"/>
          <w:color w:val="auto"/>
        </w:rPr>
      </w:pPr>
    </w:p>
    <w:p>
      <w:pPr>
        <w:ind w:left="1500" w:right="20" w:firstLine="754"/>
        <w:spacing w:after="0" w:line="258" w:lineRule="auto"/>
        <w:tabs>
          <w:tab w:leader="none" w:pos="254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covenants and agreements of each Purchaser required to be performed at or prior to the Closing Date shall have been performed; and</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(iii)the delivery by each Purchaser of the items set forth in Section 2.2(b) of this Agreement.</w:t>
      </w:r>
    </w:p>
    <w:p>
      <w:pPr>
        <w:spacing w:after="0" w:line="206" w:lineRule="exact"/>
        <w:rPr>
          <w:sz w:val="20"/>
          <w:szCs w:val="20"/>
          <w:color w:val="auto"/>
        </w:rPr>
      </w:pPr>
    </w:p>
    <w:p>
      <w:pPr>
        <w:ind w:right="20" w:firstLine="8"/>
        <w:spacing w:after="0" w:line="258" w:lineRule="auto"/>
        <w:tabs>
          <w:tab w:leader="none" w:pos="509" w:val="left"/>
        </w:tabs>
        <w:numPr>
          <w:ilvl w:val="0"/>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respective obligations of the Purchasers hereunder in connection with the Closing are subject to the following conditions being met:</w:t>
      </w:r>
    </w:p>
    <w:p>
      <w:pPr>
        <w:spacing w:after="0" w:line="158" w:lineRule="exact"/>
        <w:rPr>
          <w:rFonts w:ascii="Times New Roman" w:cs="Times New Roman" w:eastAsia="Times New Roman" w:hAnsi="Times New Roman"/>
          <w:sz w:val="22"/>
          <w:szCs w:val="22"/>
          <w:u w:val="single" w:color="auto"/>
          <w:color w:val="auto"/>
        </w:rPr>
      </w:pPr>
    </w:p>
    <w:p>
      <w:pPr>
        <w:jc w:val="both"/>
        <w:ind w:left="1500" w:firstLine="754"/>
        <w:spacing w:after="0" w:line="238" w:lineRule="auto"/>
        <w:tabs>
          <w:tab w:leader="none" w:pos="254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6" w:lineRule="exact"/>
        <w:rPr>
          <w:rFonts w:ascii="Times New Roman" w:cs="Times New Roman" w:eastAsia="Times New Roman" w:hAnsi="Times New Roman"/>
          <w:sz w:val="22"/>
          <w:szCs w:val="22"/>
          <w:color w:val="auto"/>
        </w:rPr>
      </w:pPr>
    </w:p>
    <w:p>
      <w:pPr>
        <w:ind w:left="1500" w:firstLine="754"/>
        <w:spacing w:after="0" w:line="258" w:lineRule="auto"/>
        <w:tabs>
          <w:tab w:leader="none" w:pos="254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covenants and agreements of the Company required to be performed at or prior to the Closing Date shall have been performed;</w:t>
      </w:r>
    </w:p>
    <w:p>
      <w:pPr>
        <w:spacing w:after="0" w:line="158" w:lineRule="exact"/>
        <w:rPr>
          <w:sz w:val="20"/>
          <w:szCs w:val="20"/>
          <w:color w:val="auto"/>
        </w:rPr>
      </w:pPr>
    </w:p>
    <w:p>
      <w:pPr>
        <w:ind w:left="2260" w:right="1160"/>
        <w:spacing w:after="0" w:line="456" w:lineRule="auto"/>
        <w:rPr>
          <w:sz w:val="20"/>
          <w:szCs w:val="20"/>
          <w:color w:val="auto"/>
        </w:rPr>
      </w:pPr>
      <w:r>
        <w:rPr>
          <w:rFonts w:ascii="Times New Roman" w:cs="Times New Roman" w:eastAsia="Times New Roman" w:hAnsi="Times New Roman"/>
          <w:sz w:val="21"/>
          <w:szCs w:val="21"/>
          <w:color w:val="auto"/>
        </w:rPr>
        <w:t>(iii)the delivery by the Company of the items set forth in Section 2.2(a) of this Agreement; (iv)there shall have been no Material Adverse Effect with respect to the Company; and</w:t>
      </w:r>
    </w:p>
    <w:p>
      <w:pPr>
        <w:jc w:val="both"/>
        <w:ind w:left="1500" w:firstLine="754"/>
        <w:spacing w:after="0" w:line="234" w:lineRule="auto"/>
        <w:tabs>
          <w:tab w:leader="none" w:pos="254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hereof to the Closing Date, trading in the Ordinary Shares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3.1 Representations and Warranties of the Company</w:t>
      </w:r>
      <w:r>
        <w:rPr>
          <w:rFonts w:ascii="Times New Roman" w:cs="Times New Roman" w:eastAsia="Times New Roman" w:hAnsi="Times New Roman"/>
          <w:sz w:val="22"/>
          <w:szCs w:val="22"/>
          <w:color w:val="auto"/>
        </w:rPr>
        <w:t>. Except as set forth in the Disclosure Schedules, which Disclosure Schedules shall be deemed a part hereof and shall qualify any representation made herein to the extent of the disclosure contained in the corresponding section of the Disclosure Schedules, the Company hereby makes the following representations and warranties to each Purchaser:</w:t>
      </w:r>
    </w:p>
    <w:p>
      <w:pPr>
        <w:spacing w:after="0" w:line="180" w:lineRule="exact"/>
        <w:rPr>
          <w:sz w:val="20"/>
          <w:szCs w:val="20"/>
          <w:color w:val="auto"/>
        </w:rPr>
      </w:pPr>
    </w:p>
    <w:p>
      <w:pPr>
        <w:jc w:val="both"/>
        <w:ind w:firstLine="8"/>
        <w:spacing w:after="0" w:line="238" w:lineRule="auto"/>
        <w:tabs>
          <w:tab w:leader="none" w:pos="509"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xml:space="preserve">. All of the direct and indirect subsidiaries of the Company are set forth on </w:t>
      </w:r>
      <w:r>
        <w:rPr>
          <w:rFonts w:ascii="Times New Roman" w:cs="Times New Roman" w:eastAsia="Times New Roman" w:hAnsi="Times New Roman"/>
          <w:sz w:val="22"/>
          <w:szCs w:val="22"/>
          <w:u w:val="single" w:color="auto"/>
          <w:color w:val="auto"/>
        </w:rPr>
        <w:t>Schedule 3.1(a)</w:t>
      </w:r>
      <w:r>
        <w:rPr>
          <w:rFonts w:ascii="Times New Roman" w:cs="Times New Roman" w:eastAsia="Times New Roman" w:hAnsi="Times New Roman"/>
          <w:sz w:val="22"/>
          <w:szCs w:val="22"/>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77" w:lineRule="exact"/>
        <w:rPr>
          <w:sz w:val="20"/>
          <w:szCs w:val="20"/>
          <w:color w:val="auto"/>
        </w:rPr>
      </w:pPr>
    </w:p>
    <w:p>
      <w:pPr>
        <w:jc w:val="both"/>
        <w:ind w:firstLine="8"/>
        <w:spacing w:after="0" w:line="244" w:lineRule="auto"/>
        <w:tabs>
          <w:tab w:leader="none" w:pos="509" w:val="left"/>
        </w:tabs>
        <w:numPr>
          <w:ilvl w:val="0"/>
          <w:numId w:val="2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Organization and Qualification</w:t>
      </w:r>
      <w:r>
        <w:rPr>
          <w:rFonts w:ascii="Times New Roman" w:cs="Times New Roman" w:eastAsia="Times New Roman" w:hAnsi="Times New Roman"/>
          <w:sz w:val="21"/>
          <w:szCs w:val="21"/>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and no Proceeding has been instituted in any such jurisdiction revoking, limiting or curtailing or seeking to revoke, limit or curtail such power and authority or qualification.</w:t>
      </w:r>
    </w:p>
    <w:p>
      <w:pPr>
        <w:spacing w:after="0" w:line="183" w:lineRule="exact"/>
        <w:rPr>
          <w:rFonts w:ascii="Times New Roman" w:cs="Times New Roman" w:eastAsia="Times New Roman" w:hAnsi="Times New Roman"/>
          <w:sz w:val="21"/>
          <w:szCs w:val="21"/>
          <w:u w:val="single" w:color="auto"/>
          <w:color w:val="auto"/>
        </w:rPr>
      </w:pPr>
    </w:p>
    <w:p>
      <w:pPr>
        <w:jc w:val="both"/>
        <w:ind w:firstLine="8"/>
        <w:spacing w:after="0" w:line="234" w:lineRule="auto"/>
        <w:tabs>
          <w:tab w:leader="none" w:pos="509" w:val="left"/>
        </w:tabs>
        <w:numPr>
          <w:ilvl w:val="0"/>
          <w:numId w:val="2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Authorization; Enforcement</w:t>
      </w:r>
      <w:r>
        <w:rPr>
          <w:rFonts w:ascii="Times New Roman" w:cs="Times New Roman" w:eastAsia="Times New Roman" w:hAnsi="Times New Roman"/>
          <w:sz w:val="22"/>
          <w:szCs w:val="22"/>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3" w:name="page34"/>
    <w:bookmarkEnd w:id="33"/>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0" w:lineRule="exact"/>
        <w:rPr>
          <w:sz w:val="20"/>
          <w:szCs w:val="20"/>
          <w:color w:val="auto"/>
        </w:rPr>
      </w:pPr>
    </w:p>
    <w:p>
      <w:pPr>
        <w:jc w:val="both"/>
        <w:ind w:firstLine="8"/>
        <w:spacing w:after="0" w:line="233" w:lineRule="auto"/>
        <w:tabs>
          <w:tab w:leader="none" w:pos="509" w:val="left"/>
        </w:tabs>
        <w:numPr>
          <w:ilvl w:val="0"/>
          <w:numId w:val="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79" w:lineRule="exact"/>
        <w:rPr>
          <w:rFonts w:ascii="Times New Roman" w:cs="Times New Roman" w:eastAsia="Times New Roman" w:hAnsi="Times New Roman"/>
          <w:sz w:val="22"/>
          <w:szCs w:val="22"/>
          <w:u w:val="single" w:color="auto"/>
          <w:color w:val="auto"/>
        </w:rPr>
      </w:pPr>
    </w:p>
    <w:p>
      <w:pPr>
        <w:jc w:val="both"/>
        <w:ind w:firstLine="8"/>
        <w:spacing w:after="0" w:line="235" w:lineRule="auto"/>
        <w:tabs>
          <w:tab w:leader="none" w:pos="509" w:val="left"/>
        </w:tabs>
        <w:numPr>
          <w:ilvl w:val="0"/>
          <w:numId w:val="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Filings, Consents and Approvals</w:t>
      </w:r>
      <w:r>
        <w:rPr>
          <w:rFonts w:ascii="Times New Roman" w:cs="Times New Roman" w:eastAsia="Times New Roman" w:hAnsi="Times New Roman"/>
          <w:sz w:val="22"/>
          <w:szCs w:val="22"/>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(iii) the notice and/or application(s) to each applicable Trading Market for the issuance and sale of the Securities and the listing of the Shares and Warrant Shares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22"/>
          <w:szCs w:val="22"/>
          <w:u w:val="single" w:color="auto"/>
          <w:color w:val="auto"/>
        </w:rPr>
        <w:t>Required Approvals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u w:val="single" w:color="auto"/>
          <w:color w:val="auto"/>
        </w:rPr>
      </w:pPr>
    </w:p>
    <w:p>
      <w:pPr>
        <w:jc w:val="both"/>
        <w:ind w:firstLine="8"/>
        <w:spacing w:after="0" w:line="246" w:lineRule="auto"/>
        <w:tabs>
          <w:tab w:leader="none" w:pos="509" w:val="left"/>
        </w:tabs>
        <w:numPr>
          <w:ilvl w:val="0"/>
          <w:numId w:val="3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Issuance of the Securities; Registration</w:t>
      </w:r>
      <w:r>
        <w:rPr>
          <w:rFonts w:ascii="Times New Roman" w:cs="Times New Roman" w:eastAsia="Times New Roman" w:hAnsi="Times New Roman"/>
          <w:sz w:val="21"/>
          <w:szCs w:val="21"/>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Ordinary Shares issuable pursuant to this Agreement and the Warrants. The Company has prepared and filed the Registration Statement in conformity with the requirements of the Securities Act, which became effective on December 19, 2024,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any Preliminary Prospectus or the Prospectus has been issued by the Commission and no proceedings for that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 w:name="page35"/>
    <w:bookmarkEnd w:id="34"/>
    <w:p>
      <w:pPr>
        <w:jc w:val="both"/>
        <w:ind w:firstLine="509"/>
        <w:spacing w:after="0" w:line="245" w:lineRule="auto"/>
        <w:rPr>
          <w:sz w:val="20"/>
          <w:szCs w:val="20"/>
          <w:color w:val="auto"/>
        </w:rPr>
      </w:pPr>
      <w:r>
        <w:rPr>
          <w:rFonts w:ascii="Times New Roman" w:cs="Times New Roman" w:eastAsia="Times New Roman" w:hAnsi="Times New Roman"/>
          <w:sz w:val="21"/>
          <w:szCs w:val="21"/>
          <w:color w:val="auto"/>
        </w:rPr>
        <w:t>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Pricing Prospectus and the Prospectus and any amendments or supplements thereto, at the time the Pricing Prospectus and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F-1.</w:t>
      </w:r>
    </w:p>
    <w:p>
      <w:pPr>
        <w:spacing w:after="0" w:line="177" w:lineRule="exact"/>
        <w:rPr>
          <w:sz w:val="20"/>
          <w:szCs w:val="20"/>
          <w:color w:val="auto"/>
        </w:rPr>
      </w:pPr>
    </w:p>
    <w:p>
      <w:pPr>
        <w:jc w:val="both"/>
        <w:ind w:firstLine="8"/>
        <w:spacing w:after="0" w:line="232" w:lineRule="auto"/>
        <w:tabs>
          <w:tab w:leader="none" w:pos="509"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Capitalization</w:t>
      </w:r>
      <w:r>
        <w:rPr>
          <w:rFonts w:ascii="Times New Roman" w:cs="Times New Roman" w:eastAsia="Times New Roman" w:hAnsi="Times New Roman"/>
          <w:sz w:val="22"/>
          <w:szCs w:val="22"/>
          <w:color w:val="auto"/>
        </w:rPr>
        <w:t xml:space="preserve">. The capitalization of the Company as of the date hereof is as set forth on </w:t>
      </w:r>
      <w:r>
        <w:rPr>
          <w:rFonts w:ascii="Times New Roman" w:cs="Times New Roman" w:eastAsia="Times New Roman" w:hAnsi="Times New Roman"/>
          <w:sz w:val="22"/>
          <w:szCs w:val="22"/>
          <w:u w:val="single" w:color="auto"/>
          <w:color w:val="auto"/>
        </w:rPr>
        <w:t>Schedule 3.1(g)</w:t>
      </w:r>
      <w:r>
        <w:rPr>
          <w:rFonts w:ascii="Times New Roman" w:cs="Times New Roman" w:eastAsia="Times New Roman" w:hAnsi="Times New Roman"/>
          <w:sz w:val="22"/>
          <w:szCs w:val="22"/>
          <w:color w:val="auto"/>
        </w:rPr>
        <w:t xml:space="preserve">, which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3.1(g)</w:t>
      </w:r>
      <w:r>
        <w:rPr>
          <w:rFonts w:ascii="Times New Roman" w:cs="Times New Roman" w:eastAsia="Times New Roman" w:hAnsi="Times New Roman"/>
          <w:sz w:val="22"/>
          <w:szCs w:val="22"/>
          <w:color w:val="auto"/>
        </w:rPr>
        <w:t xml:space="preserve"> shall also include the number of Ordinary Shares owned beneficially, and of record, by Affiliates of the Company as of the date hereof. The Company has not issued any capital stock since its most recently filed report under the Exchange Act, other than pursuant to the exercise of employee stock options under the Company’s stock option plans, the issuance of Ordinary Shares to employees pursuant to the Company’s employee stock purchase plans and pursuant to the conversion and/or exercise of Ordinary Share Equivalents outstanding as of the date of the most recently filed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on </w:t>
      </w:r>
      <w:r>
        <w:rPr>
          <w:rFonts w:ascii="Times New Roman" w:cs="Times New Roman" w:eastAsia="Times New Roman" w:hAnsi="Times New Roman"/>
          <w:sz w:val="22"/>
          <w:szCs w:val="22"/>
          <w:u w:val="single" w:color="auto"/>
          <w:color w:val="auto"/>
        </w:rPr>
        <w:t>Schedule 3.1(g)</w:t>
      </w:r>
      <w:r>
        <w:rPr>
          <w:rFonts w:ascii="Times New Roman" w:cs="Times New Roman" w:eastAsia="Times New Roman" w:hAnsi="Times New Roman"/>
          <w:sz w:val="22"/>
          <w:szCs w:val="22"/>
          <w:color w:val="auto"/>
        </w:rPr>
        <w:t xml:space="preserv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capital stock of any Subsidiary, or contracts, commitments, understandings or arrangements by which the Company or any Subsidiary is or may become bound to issue additional Ordinary Shares or Ordinary Share Equivalents or capital stock of any Subsidiary. The issuance and sale of the Securities will not obligate the Company or any Subsidiary to issue Ordinary Shares or other securities to any Person (other than the Purchasers). Except as set forth on as set forth on </w:t>
      </w:r>
      <w:r>
        <w:rPr>
          <w:rFonts w:ascii="Times New Roman" w:cs="Times New Roman" w:eastAsia="Times New Roman" w:hAnsi="Times New Roman"/>
          <w:sz w:val="22"/>
          <w:szCs w:val="22"/>
          <w:u w:val="single" w:color="auto"/>
          <w:color w:val="auto"/>
        </w:rPr>
        <w:t>Schedule 3.1(g)</w:t>
      </w:r>
      <w:r>
        <w:rPr>
          <w:rFonts w:ascii="Times New Roman" w:cs="Times New Roman" w:eastAsia="Times New Roman" w:hAnsi="Times New Roman"/>
          <w:sz w:val="22"/>
          <w:szCs w:val="22"/>
          <w:color w:val="auto"/>
        </w:rPr>
        <w:t xml:space="preserve">,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on as set forth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3.1(g)</w:t>
      </w:r>
      <w:r>
        <w:rPr>
          <w:rFonts w:ascii="Times New Roman" w:cs="Times New Roman" w:eastAsia="Times New Roman" w:hAnsi="Times New Roman"/>
          <w:sz w:val="22"/>
          <w:szCs w:val="22"/>
          <w:color w:val="auto"/>
        </w:rPr>
        <w:t>,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 w:name="page36"/>
    <w:bookmarkEnd w:id="35"/>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 xml:space="preserve">of any stockholder, the Board of Directors or others is required for the issuance and sale of the Securities. Except as set forth on as set forth on </w:t>
      </w:r>
      <w:r>
        <w:rPr>
          <w:rFonts w:ascii="Times New Roman" w:cs="Times New Roman" w:eastAsia="Times New Roman" w:hAnsi="Times New Roman"/>
          <w:sz w:val="22"/>
          <w:szCs w:val="22"/>
          <w:u w:val="single" w:color="auto"/>
          <w:color w:val="auto"/>
        </w:rPr>
        <w:t>Schedule 3.1(g)</w:t>
      </w:r>
      <w:r>
        <w:rPr>
          <w:rFonts w:ascii="Times New Roman" w:cs="Times New Roman" w:eastAsia="Times New Roman" w:hAnsi="Times New Roman"/>
          <w:sz w:val="22"/>
          <w:szCs w:val="22"/>
          <w:color w:val="auto"/>
        </w:rPr>
        <w:t>,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80" w:lineRule="exact"/>
        <w:rPr>
          <w:sz w:val="20"/>
          <w:szCs w:val="20"/>
          <w:color w:val="auto"/>
        </w:rPr>
      </w:pPr>
    </w:p>
    <w:p>
      <w:pPr>
        <w:jc w:val="both"/>
        <w:ind w:firstLine="8"/>
        <w:spacing w:after="0" w:line="244" w:lineRule="auto"/>
        <w:tabs>
          <w:tab w:leader="none" w:pos="509" w:val="left"/>
        </w:tabs>
        <w:numPr>
          <w:ilvl w:val="0"/>
          <w:numId w:val="32"/>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SEC Reports; Financial Statements</w:t>
      </w:r>
      <w:r>
        <w:rPr>
          <w:rFonts w:ascii="Times New Roman" w:cs="Times New Roman" w:eastAsia="Times New Roman" w:hAnsi="Times New Roman"/>
          <w:sz w:val="21"/>
          <w:szCs w:val="21"/>
          <w:color w:val="auto"/>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together with the Pricing Prospectus and the Prospectus, being collectively referred to herein as the “</w:t>
      </w:r>
      <w:r>
        <w:rPr>
          <w:rFonts w:ascii="Times New Roman" w:cs="Times New Roman" w:eastAsia="Times New Roman" w:hAnsi="Times New Roman"/>
          <w:sz w:val="21"/>
          <w:szCs w:val="21"/>
          <w:u w:val="single" w:color="auto"/>
          <w:color w:val="auto"/>
        </w:rPr>
        <w:t>SEC Reports</w:t>
      </w:r>
      <w:r>
        <w:rPr>
          <w:rFonts w:ascii="Times New Roman" w:cs="Times New Roman" w:eastAsia="Times New Roman" w:hAnsi="Times New Roman"/>
          <w:sz w:val="21"/>
          <w:szCs w:val="21"/>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Practices applied on a consistent basis during the periods involved (“</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73" w:lineRule="exact"/>
        <w:rPr>
          <w:rFonts w:ascii="Times New Roman" w:cs="Times New Roman" w:eastAsia="Times New Roman" w:hAnsi="Times New Roman"/>
          <w:sz w:val="21"/>
          <w:szCs w:val="21"/>
          <w:u w:val="single" w:color="auto"/>
          <w:color w:val="auto"/>
        </w:rPr>
      </w:pPr>
    </w:p>
    <w:p>
      <w:pPr>
        <w:jc w:val="both"/>
        <w:ind w:firstLine="8"/>
        <w:spacing w:after="0" w:line="233" w:lineRule="auto"/>
        <w:tabs>
          <w:tab w:leader="none" w:pos="509"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Material Changes; Undisclosed Events, Liabilities or Developments</w:t>
      </w:r>
      <w:r>
        <w:rPr>
          <w:rFonts w:ascii="Times New Roman" w:cs="Times New Roman" w:eastAsia="Times New Roman" w:hAnsi="Times New Roman"/>
          <w:sz w:val="22"/>
          <w:szCs w:val="22"/>
          <w:color w:val="auto"/>
        </w:rPr>
        <w:t xml:space="preserve">. Since the date of the latest audited financial statements included within the SEC Reports, except as set forth on </w:t>
      </w:r>
      <w:r>
        <w:rPr>
          <w:rFonts w:ascii="Times New Roman" w:cs="Times New Roman" w:eastAsia="Times New Roman" w:hAnsi="Times New Roman"/>
          <w:sz w:val="22"/>
          <w:szCs w:val="22"/>
          <w:u w:val="single" w:color="auto"/>
          <w:color w:val="auto"/>
        </w:rPr>
        <w:t>Schedule 3.1(i)</w:t>
      </w:r>
      <w:r>
        <w:rPr>
          <w:rFonts w:ascii="Times New Roman" w:cs="Times New Roman" w:eastAsia="Times New Roman" w:hAnsi="Times New Roman"/>
          <w:sz w:val="22"/>
          <w:szCs w:val="22"/>
          <w:color w:val="auto"/>
        </w:rPr>
        <w:t xml:space="preserve">,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Times New Roman" w:cs="Times New Roman" w:eastAsia="Times New Roman" w:hAnsi="Times New Roman"/>
          <w:sz w:val="22"/>
          <w:szCs w:val="22"/>
          <w:u w:val="single" w:color="auto"/>
          <w:color w:val="auto"/>
        </w:rPr>
        <w:t>Schedule 3.1(i)</w:t>
      </w:r>
      <w:r>
        <w:rPr>
          <w:rFonts w:ascii="Times New Roman" w:cs="Times New Roman" w:eastAsia="Times New Roman" w:hAnsi="Times New Roman"/>
          <w:sz w:val="22"/>
          <w:szCs w:val="22"/>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 w:name="page37"/>
    <w:bookmarkEnd w:id="36"/>
    <w:p>
      <w:pPr>
        <w:ind w:firstLine="509"/>
        <w:spacing w:after="0" w:line="258" w:lineRule="auto"/>
        <w:rPr>
          <w:sz w:val="20"/>
          <w:szCs w:val="20"/>
          <w:color w:val="auto"/>
        </w:rPr>
      </w:pPr>
      <w:r>
        <w:rPr>
          <w:rFonts w:ascii="Times New Roman" w:cs="Times New Roman" w:eastAsia="Times New Roman" w:hAnsi="Times New Roman"/>
          <w:sz w:val="22"/>
          <w:szCs w:val="22"/>
          <w:color w:val="auto"/>
        </w:rPr>
        <w:t>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158" w:lineRule="exact"/>
        <w:rPr>
          <w:sz w:val="20"/>
          <w:szCs w:val="20"/>
          <w:color w:val="auto"/>
        </w:rPr>
      </w:pPr>
    </w:p>
    <w:p>
      <w:pPr>
        <w:jc w:val="both"/>
        <w:ind w:firstLine="8"/>
        <w:spacing w:after="0" w:line="233" w:lineRule="auto"/>
        <w:tabs>
          <w:tab w:leader="none" w:pos="509"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3.1(j)</w:t>
      </w:r>
      <w:r>
        <w:rPr>
          <w:rFonts w:ascii="Times New Roman" w:cs="Times New Roman" w:eastAsia="Times New Roman" w:hAnsi="Times New Roman"/>
          <w:sz w:val="22"/>
          <w:szCs w:val="22"/>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xml:space="preserve">”). None of the Actions set forth on </w:t>
      </w:r>
      <w:r>
        <w:rPr>
          <w:rFonts w:ascii="Times New Roman" w:cs="Times New Roman" w:eastAsia="Times New Roman" w:hAnsi="Times New Roman"/>
          <w:sz w:val="22"/>
          <w:szCs w:val="22"/>
          <w:u w:val="single" w:color="auto"/>
          <w:color w:val="auto"/>
        </w:rPr>
        <w:t>Schedule 3.1(j)</w:t>
      </w:r>
      <w:r>
        <w:rPr>
          <w:rFonts w:ascii="Times New Roman" w:cs="Times New Roman" w:eastAsia="Times New Roman" w:hAnsi="Times New Roman"/>
          <w:sz w:val="22"/>
          <w:szCs w:val="22"/>
          <w:color w:val="auto"/>
        </w:rPr>
        <w:t>,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to the Company’s knowledge,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84" w:lineRule="exact"/>
        <w:rPr>
          <w:rFonts w:ascii="Times New Roman" w:cs="Times New Roman" w:eastAsia="Times New Roman" w:hAnsi="Times New Roman"/>
          <w:sz w:val="22"/>
          <w:szCs w:val="22"/>
          <w:u w:val="single" w:color="auto"/>
          <w:color w:val="auto"/>
        </w:rPr>
      </w:pPr>
    </w:p>
    <w:p>
      <w:pPr>
        <w:jc w:val="both"/>
        <w:ind w:firstLine="8"/>
        <w:spacing w:after="0" w:line="245" w:lineRule="auto"/>
        <w:tabs>
          <w:tab w:leader="none" w:pos="509" w:val="left"/>
        </w:tabs>
        <w:numPr>
          <w:ilvl w:val="0"/>
          <w:numId w:val="33"/>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Labor Relations</w:t>
      </w:r>
      <w:r>
        <w:rPr>
          <w:rFonts w:ascii="Times New Roman" w:cs="Times New Roman" w:eastAsia="Times New Roman" w:hAnsi="Times New Roman"/>
          <w:sz w:val="21"/>
          <w:szCs w:val="21"/>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73" w:lineRule="exact"/>
        <w:rPr>
          <w:rFonts w:ascii="Times New Roman" w:cs="Times New Roman" w:eastAsia="Times New Roman" w:hAnsi="Times New Roman"/>
          <w:sz w:val="21"/>
          <w:szCs w:val="21"/>
          <w:u w:val="single" w:color="auto"/>
          <w:color w:val="auto"/>
        </w:rPr>
      </w:pPr>
    </w:p>
    <w:p>
      <w:pPr>
        <w:jc w:val="both"/>
        <w:ind w:firstLine="8"/>
        <w:spacing w:after="0" w:line="235" w:lineRule="auto"/>
        <w:tabs>
          <w:tab w:leader="none" w:pos="509"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 w:name="page38"/>
    <w:bookmarkEnd w:id="37"/>
    <w:p>
      <w:pPr>
        <w:ind w:right="20" w:firstLine="509"/>
        <w:spacing w:after="0" w:line="258" w:lineRule="auto"/>
        <w:rPr>
          <w:sz w:val="20"/>
          <w:szCs w:val="20"/>
          <w:color w:val="auto"/>
        </w:rPr>
      </w:pPr>
      <w:r>
        <w:rPr>
          <w:rFonts w:ascii="Times New Roman" w:cs="Times New Roman" w:eastAsia="Times New Roman" w:hAnsi="Times New Roman"/>
          <w:sz w:val="22"/>
          <w:szCs w:val="22"/>
          <w:color w:val="auto"/>
        </w:rPr>
        <w:t>quality and safety and employment and labor matters, except in each case as could not have or reasonably be expected to result in a Material Adverse Effect.</w:t>
      </w:r>
    </w:p>
    <w:p>
      <w:pPr>
        <w:spacing w:after="0" w:line="158" w:lineRule="exact"/>
        <w:rPr>
          <w:sz w:val="20"/>
          <w:szCs w:val="20"/>
          <w:color w:val="auto"/>
        </w:rPr>
      </w:pPr>
    </w:p>
    <w:p>
      <w:pPr>
        <w:jc w:val="both"/>
        <w:ind w:firstLine="8"/>
        <w:spacing w:after="0" w:line="233" w:lineRule="auto"/>
        <w:tabs>
          <w:tab w:leader="none" w:pos="509"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87" w:lineRule="exact"/>
        <w:rPr>
          <w:rFonts w:ascii="Times New Roman" w:cs="Times New Roman" w:eastAsia="Times New Roman" w:hAnsi="Times New Roman"/>
          <w:sz w:val="22"/>
          <w:szCs w:val="22"/>
          <w:u w:val="single" w:color="auto"/>
          <w:color w:val="auto"/>
        </w:rPr>
      </w:pPr>
    </w:p>
    <w:p>
      <w:pPr>
        <w:jc w:val="both"/>
        <w:ind w:firstLine="8"/>
        <w:spacing w:after="0" w:line="238" w:lineRule="auto"/>
        <w:tabs>
          <w:tab w:leader="none" w:pos="509"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Regulatory Permits</w:t>
      </w:r>
      <w:r>
        <w:rPr>
          <w:rFonts w:ascii="Times New Roman" w:cs="Times New Roman" w:eastAsia="Times New Roman" w:hAnsi="Times New Roman"/>
          <w:sz w:val="22"/>
          <w:szCs w:val="22"/>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22"/>
          <w:szCs w:val="22"/>
          <w:u w:val="single" w:color="auto"/>
          <w:color w:val="auto"/>
        </w:rPr>
        <w:t>Material Permits</w:t>
      </w:r>
      <w:r>
        <w:rPr>
          <w:rFonts w:ascii="Times New Roman" w:cs="Times New Roman" w:eastAsia="Times New Roman" w:hAnsi="Times New Roman"/>
          <w:sz w:val="22"/>
          <w:szCs w:val="22"/>
          <w:color w:val="auto"/>
        </w:rPr>
        <w:t>”), and neither the Company nor any Subsidiary has received any notice of proceedings relating to the revocation or modification of any Material Permit.</w:t>
      </w:r>
    </w:p>
    <w:p>
      <w:pPr>
        <w:spacing w:after="0" w:line="176" w:lineRule="exact"/>
        <w:rPr>
          <w:rFonts w:ascii="Times New Roman" w:cs="Times New Roman" w:eastAsia="Times New Roman" w:hAnsi="Times New Roman"/>
          <w:sz w:val="22"/>
          <w:szCs w:val="22"/>
          <w:u w:val="single" w:color="auto"/>
          <w:color w:val="auto"/>
        </w:rPr>
      </w:pPr>
    </w:p>
    <w:p>
      <w:pPr>
        <w:jc w:val="both"/>
        <w:ind w:firstLine="8"/>
        <w:spacing w:after="0" w:line="235" w:lineRule="auto"/>
        <w:tabs>
          <w:tab w:leader="none" w:pos="509"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Title to Assets</w:t>
      </w:r>
      <w:r>
        <w:rPr>
          <w:rFonts w:ascii="Times New Roman" w:cs="Times New Roman" w:eastAsia="Times New Roman" w:hAnsi="Times New Roman"/>
          <w:sz w:val="22"/>
          <w:szCs w:val="22"/>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78" w:lineRule="exact"/>
        <w:rPr>
          <w:rFonts w:ascii="Times New Roman" w:cs="Times New Roman" w:eastAsia="Times New Roman" w:hAnsi="Times New Roman"/>
          <w:sz w:val="22"/>
          <w:szCs w:val="22"/>
          <w:u w:val="single" w:color="auto"/>
          <w:color w:val="auto"/>
        </w:rPr>
      </w:pPr>
    </w:p>
    <w:p>
      <w:pPr>
        <w:jc w:val="both"/>
        <w:ind w:firstLine="8"/>
        <w:spacing w:after="0" w:line="235" w:lineRule="auto"/>
        <w:tabs>
          <w:tab w:leader="none" w:pos="509"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None of, and neither the Company nor any Subsidiary has received a written notice that any of, the Intellectual Property Rights has expired, terminated or been abandoned, or, except as would not have a Material Adverse Effect, is expected to expire or terminate or be abandoned, within two (2) years from the date of this Agreement. Neither the Company nor any Subsidiary has received, since the date of the latest audited financial statements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 w:name="page39"/>
    <w:bookmarkEnd w:id="38"/>
    <w:p>
      <w:pPr>
        <w:jc w:val="both"/>
        <w:ind w:firstLine="509"/>
        <w:spacing w:after="0" w:line="249" w:lineRule="auto"/>
        <w:rPr>
          <w:sz w:val="20"/>
          <w:szCs w:val="20"/>
          <w:color w:val="auto"/>
        </w:rPr>
      </w:pPr>
      <w:r>
        <w:rPr>
          <w:rFonts w:ascii="Times New Roman" w:cs="Times New Roman" w:eastAsia="Times New Roman" w:hAnsi="Times New Roman"/>
          <w:sz w:val="21"/>
          <w:szCs w:val="21"/>
          <w:color w:val="auto"/>
        </w:rPr>
        <w:t>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71" w:lineRule="exact"/>
        <w:rPr>
          <w:sz w:val="20"/>
          <w:szCs w:val="20"/>
          <w:color w:val="auto"/>
        </w:rPr>
      </w:pPr>
    </w:p>
    <w:p>
      <w:pPr>
        <w:jc w:val="both"/>
        <w:ind w:firstLine="8"/>
        <w:spacing w:after="0" w:line="236" w:lineRule="auto"/>
        <w:tabs>
          <w:tab w:leader="none" w:pos="509" w:val="left"/>
        </w:tabs>
        <w:numPr>
          <w:ilvl w:val="0"/>
          <w:numId w:val="3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1" w:lineRule="exact"/>
        <w:rPr>
          <w:rFonts w:ascii="Times New Roman" w:cs="Times New Roman" w:eastAsia="Times New Roman" w:hAnsi="Times New Roman"/>
          <w:sz w:val="22"/>
          <w:szCs w:val="22"/>
          <w:u w:val="single" w:color="auto"/>
          <w:color w:val="auto"/>
        </w:rPr>
      </w:pPr>
    </w:p>
    <w:p>
      <w:pPr>
        <w:jc w:val="both"/>
        <w:ind w:firstLine="8"/>
        <w:spacing w:after="0" w:line="234" w:lineRule="auto"/>
        <w:tabs>
          <w:tab w:leader="none" w:pos="509" w:val="left"/>
        </w:tabs>
        <w:numPr>
          <w:ilvl w:val="0"/>
          <w:numId w:val="3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Transactions With Affiliates and Employees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3.1(r)</w:t>
      </w:r>
      <w:r>
        <w:rPr>
          <w:rFonts w:ascii="Times New Roman" w:cs="Times New Roman" w:eastAsia="Times New Roman" w:hAnsi="Times New Roman"/>
          <w:sz w:val="22"/>
          <w:szCs w:val="22"/>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79" w:lineRule="exact"/>
        <w:rPr>
          <w:rFonts w:ascii="Times New Roman" w:cs="Times New Roman" w:eastAsia="Times New Roman" w:hAnsi="Times New Roman"/>
          <w:sz w:val="22"/>
          <w:szCs w:val="22"/>
          <w:u w:val="single" w:color="auto"/>
          <w:color w:val="auto"/>
        </w:rPr>
      </w:pPr>
    </w:p>
    <w:p>
      <w:pPr>
        <w:jc w:val="both"/>
        <w:ind w:firstLine="8"/>
        <w:spacing w:after="0" w:line="233" w:lineRule="auto"/>
        <w:tabs>
          <w:tab w:leader="none" w:pos="509" w:val="left"/>
        </w:tabs>
        <w:numPr>
          <w:ilvl w:val="0"/>
          <w:numId w:val="3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Sarbanes-Oxley; Internal Accounting Controls</w:t>
      </w:r>
      <w:r>
        <w:rPr>
          <w:rFonts w:ascii="Times New Roman" w:cs="Times New Roman" w:eastAsia="Times New Roman" w:hAnsi="Times New Roman"/>
          <w:sz w:val="22"/>
          <w:szCs w:val="22"/>
          <w:color w:val="auto"/>
        </w:rPr>
        <w:t>. The Company and the Subsidiaries are in compliance with any and all applicable requirements of the Sarbanes-Oxley Act of 2002, as amended, that are effective as of the date hereof ,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 w:name="page40"/>
    <w:bookmarkEnd w:id="39"/>
    <w:p>
      <w:pPr>
        <w:jc w:val="both"/>
        <w:ind w:firstLine="509"/>
        <w:spacing w:after="0" w:line="247" w:lineRule="auto"/>
        <w:rPr>
          <w:sz w:val="20"/>
          <w:szCs w:val="20"/>
          <w:color w:val="auto"/>
        </w:rPr>
      </w:pPr>
      <w:r>
        <w:rPr>
          <w:rFonts w:ascii="Times New Roman" w:cs="Times New Roman" w:eastAsia="Times New Roman" w:hAnsi="Times New Roman"/>
          <w:sz w:val="21"/>
          <w:szCs w:val="21"/>
          <w:color w:val="auto"/>
        </w:rPr>
        <w:t>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21"/>
          <w:szCs w:val="21"/>
          <w:u w:val="single" w:color="auto"/>
          <w:color w:val="auto"/>
        </w:rPr>
        <w:t>Evaluation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72" w:lineRule="exact"/>
        <w:rPr>
          <w:sz w:val="20"/>
          <w:szCs w:val="20"/>
          <w:color w:val="auto"/>
        </w:rPr>
      </w:pPr>
    </w:p>
    <w:p>
      <w:pPr>
        <w:jc w:val="both"/>
        <w:ind w:firstLine="8"/>
        <w:spacing w:after="0" w:line="236" w:lineRule="auto"/>
        <w:tabs>
          <w:tab w:leader="none" w:pos="509" w:val="left"/>
        </w:tabs>
        <w:numPr>
          <w:ilvl w:val="0"/>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 Except for compensation payable by the Company to the Placement Agent as set forth in the Pricing Prospectus and Prospectus,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1" w:lineRule="exact"/>
        <w:rPr>
          <w:rFonts w:ascii="Times New Roman" w:cs="Times New Roman" w:eastAsia="Times New Roman" w:hAnsi="Times New Roman"/>
          <w:sz w:val="22"/>
          <w:szCs w:val="22"/>
          <w:u w:val="single" w:color="auto"/>
          <w:color w:val="auto"/>
        </w:rPr>
      </w:pPr>
    </w:p>
    <w:p>
      <w:pPr>
        <w:jc w:val="both"/>
        <w:ind w:firstLine="8"/>
        <w:spacing w:after="0" w:line="239" w:lineRule="auto"/>
        <w:tabs>
          <w:tab w:leader="none" w:pos="509" w:val="left"/>
        </w:tabs>
        <w:numPr>
          <w:ilvl w:val="0"/>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Investment Company</w:t>
      </w:r>
      <w:r>
        <w:rPr>
          <w:rFonts w:ascii="Times New Roman" w:cs="Times New Roman" w:eastAsia="Times New Roman" w:hAnsi="Times New Roman"/>
          <w:sz w:val="22"/>
          <w:szCs w:val="22"/>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0" w:lineRule="exact"/>
        <w:rPr>
          <w:rFonts w:ascii="Times New Roman" w:cs="Times New Roman" w:eastAsia="Times New Roman" w:hAnsi="Times New Roman"/>
          <w:sz w:val="22"/>
          <w:szCs w:val="22"/>
          <w:u w:val="single" w:color="auto"/>
          <w:color w:val="auto"/>
        </w:rPr>
      </w:pPr>
    </w:p>
    <w:p>
      <w:pPr>
        <w:ind w:firstLine="8"/>
        <w:spacing w:after="0" w:line="258" w:lineRule="auto"/>
        <w:tabs>
          <w:tab w:leader="none" w:pos="509" w:val="left"/>
        </w:tabs>
        <w:numPr>
          <w:ilvl w:val="0"/>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Registration Rights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3.1(g)</w:t>
      </w:r>
      <w:r>
        <w:rPr>
          <w:rFonts w:ascii="Times New Roman" w:cs="Times New Roman" w:eastAsia="Times New Roman" w:hAnsi="Times New Roman"/>
          <w:sz w:val="22"/>
          <w:szCs w:val="22"/>
          <w:color w:val="auto"/>
        </w:rPr>
        <w:t>, no Person has any right to cause the Company or any Subsidiary to effect the registration under the Securities Act of any securities of the Company or any Subsidiary.</w:t>
      </w:r>
    </w:p>
    <w:p>
      <w:pPr>
        <w:spacing w:after="0" w:line="158" w:lineRule="exact"/>
        <w:rPr>
          <w:rFonts w:ascii="Times New Roman" w:cs="Times New Roman" w:eastAsia="Times New Roman" w:hAnsi="Times New Roman"/>
          <w:sz w:val="22"/>
          <w:szCs w:val="22"/>
          <w:u w:val="single" w:color="auto"/>
          <w:color w:val="auto"/>
        </w:rPr>
      </w:pPr>
    </w:p>
    <w:p>
      <w:pPr>
        <w:jc w:val="both"/>
        <w:ind w:firstLine="8"/>
        <w:spacing w:after="0" w:line="233" w:lineRule="auto"/>
        <w:tabs>
          <w:tab w:leader="none" w:pos="509" w:val="left"/>
        </w:tabs>
        <w:numPr>
          <w:ilvl w:val="0"/>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Listing and Maintenance Requirements</w:t>
      </w:r>
      <w:r>
        <w:rPr>
          <w:rFonts w:ascii="Times New Roman" w:cs="Times New Roman" w:eastAsia="Times New Roman" w:hAnsi="Times New Roman"/>
          <w:sz w:val="22"/>
          <w:szCs w:val="22"/>
          <w:color w:val="auto"/>
        </w:rPr>
        <w: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The Company has not, in the 12 months preceding the date hereof (or such shorter period as the Company’s Ordinary Shares have been listed or quoted on any Trading Market), received notice from any Trading Market on which the Ordinary Shares are or have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Ordinary Shares are as of the date of this Agreement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 w:name="page41"/>
    <w:bookmarkEnd w:id="40"/>
    <w:p>
      <w:pPr>
        <w:jc w:val="both"/>
        <w:ind w:firstLine="8"/>
        <w:spacing w:after="0" w:line="251" w:lineRule="exact"/>
        <w:tabs>
          <w:tab w:leader="none" w:pos="509" w:val="left"/>
        </w:tabs>
        <w:numPr>
          <w:ilvl w:val="0"/>
          <w:numId w:val="3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Application of Takeover Protections</w:t>
      </w:r>
      <w:r>
        <w:rPr>
          <w:rFonts w:ascii="Times New Roman" w:cs="Times New Roman" w:eastAsia="Times New Roman" w:hAnsi="Times New Roman"/>
          <w:sz w:val="22"/>
          <w:szCs w:val="22"/>
          <w:color w:val="auto"/>
        </w:rPr>
        <w:t>. The Company and the Board of Directors have taken all necessary action, if any, in order to render inapplicable any control share acquisition, business combination, poison pill (including any distribution under a rights agreement) or other similar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takeover provision under the Company’s certificate of incorporation (or similar charter documents) or the laws of its jurisdiction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2" w:lineRule="exact"/>
        <w:rPr>
          <w:rFonts w:ascii="Times New Roman" w:cs="Times New Roman" w:eastAsia="Times New Roman" w:hAnsi="Times New Roman"/>
          <w:sz w:val="22"/>
          <w:szCs w:val="22"/>
          <w:u w:val="single" w:color="auto"/>
          <w:color w:val="auto"/>
        </w:rPr>
      </w:pPr>
    </w:p>
    <w:p>
      <w:pPr>
        <w:jc w:val="both"/>
        <w:ind w:firstLine="8"/>
        <w:spacing w:after="0" w:line="233" w:lineRule="auto"/>
        <w:tabs>
          <w:tab w:leader="none" w:pos="509" w:val="left"/>
        </w:tabs>
        <w:numPr>
          <w:ilvl w:val="0"/>
          <w:numId w:val="3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Pricing Prospectus and the Prospectus.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79" w:lineRule="exact"/>
        <w:rPr>
          <w:rFonts w:ascii="Times New Roman" w:cs="Times New Roman" w:eastAsia="Times New Roman" w:hAnsi="Times New Roman"/>
          <w:sz w:val="22"/>
          <w:szCs w:val="22"/>
          <w:u w:val="single" w:color="auto"/>
          <w:color w:val="auto"/>
        </w:rPr>
      </w:pPr>
    </w:p>
    <w:p>
      <w:pPr>
        <w:jc w:val="both"/>
        <w:ind w:firstLine="8"/>
        <w:spacing w:after="0" w:line="238" w:lineRule="auto"/>
        <w:tabs>
          <w:tab w:leader="none" w:pos="509" w:val="left"/>
        </w:tabs>
        <w:numPr>
          <w:ilvl w:val="0"/>
          <w:numId w:val="3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Integrated Offering</w:t>
      </w:r>
      <w:r>
        <w:rPr>
          <w:rFonts w:ascii="Times New Roman" w:cs="Times New Roman" w:eastAsia="Times New Roman" w:hAnsi="Times New Roman"/>
          <w:sz w:val="22"/>
          <w:szCs w:val="22"/>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176" w:lineRule="exact"/>
        <w:rPr>
          <w:rFonts w:ascii="Times New Roman" w:cs="Times New Roman" w:eastAsia="Times New Roman" w:hAnsi="Times New Roman"/>
          <w:sz w:val="22"/>
          <w:szCs w:val="22"/>
          <w:u w:val="single" w:color="auto"/>
          <w:color w:val="auto"/>
        </w:rPr>
      </w:pPr>
    </w:p>
    <w:p>
      <w:pPr>
        <w:jc w:val="both"/>
        <w:ind w:firstLine="8"/>
        <w:spacing w:after="0" w:line="234" w:lineRule="auto"/>
        <w:tabs>
          <w:tab w:leader="none" w:pos="509" w:val="left"/>
        </w:tabs>
        <w:numPr>
          <w:ilvl w:val="0"/>
          <w:numId w:val="3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 w:name="page42"/>
    <w:bookmarkEnd w:id="41"/>
    <w:p>
      <w:pPr>
        <w:jc w:val="both"/>
        <w:ind w:firstLine="509"/>
        <w:spacing w:after="0" w:line="233" w:lineRule="auto"/>
        <w:rPr>
          <w:sz w:val="20"/>
          <w:szCs w:val="20"/>
          <w:color w:val="auto"/>
        </w:rPr>
      </w:pPr>
      <w:r>
        <w:rPr>
          <w:rFonts w:ascii="Times New Roman" w:cs="Times New Roman" w:eastAsia="Times New Roman" w:hAnsi="Times New Roman"/>
          <w:sz w:val="22"/>
          <w:szCs w:val="22"/>
          <w:color w:val="auto"/>
        </w:rPr>
        <w:t xml:space="preserve">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 w:cs="Times New Roman" w:eastAsia="Times New Roman" w:hAnsi="Times New Roman"/>
          <w:sz w:val="22"/>
          <w:szCs w:val="22"/>
          <w:u w:val="single" w:color="auto"/>
          <w:color w:val="auto"/>
        </w:rPr>
        <w:t>Schedule 3.1(aa)</w:t>
      </w:r>
      <w:r>
        <w:rPr>
          <w:rFonts w:ascii="Times New Roman" w:cs="Times New Roman" w:eastAsia="Times New Roman" w:hAnsi="Times New Roman"/>
          <w:sz w:val="22"/>
          <w:szCs w:val="22"/>
          <w:color w:val="auto"/>
        </w:rPr>
        <w:t xml:space="preserve"> sets forth as of the date hereof all outstanding secured and unsecured Indebtedness of the Company or any Subsidiary, or for which the Company or any Subsidiary has commitments (other than trade accounts payable incurred in the ordinary course of business). For the purposes of this Agreement,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82" w:lineRule="exact"/>
        <w:rPr>
          <w:sz w:val="20"/>
          <w:szCs w:val="20"/>
          <w:color w:val="auto"/>
        </w:rPr>
      </w:pPr>
    </w:p>
    <w:p>
      <w:pPr>
        <w:jc w:val="both"/>
        <w:ind w:firstLine="8"/>
        <w:spacing w:after="0" w:line="235" w:lineRule="auto"/>
        <w:tabs>
          <w:tab w:leader="none" w:pos="509" w:val="left"/>
        </w:tabs>
        <w:numPr>
          <w:ilvl w:val="0"/>
          <w:numId w:val="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Tax Status</w:t>
      </w:r>
      <w:r>
        <w:rPr>
          <w:rFonts w:ascii="Times New Roman" w:cs="Times New Roman" w:eastAsia="Times New Roman" w:hAnsi="Times New Roman"/>
          <w:sz w:val="22"/>
          <w:szCs w:val="22"/>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78" w:lineRule="exact"/>
        <w:rPr>
          <w:rFonts w:ascii="Times New Roman" w:cs="Times New Roman" w:eastAsia="Times New Roman" w:hAnsi="Times New Roman"/>
          <w:sz w:val="22"/>
          <w:szCs w:val="22"/>
          <w:u w:val="single" w:color="auto"/>
          <w:color w:val="auto"/>
        </w:rPr>
      </w:pPr>
    </w:p>
    <w:p>
      <w:pPr>
        <w:jc w:val="both"/>
        <w:ind w:firstLine="8"/>
        <w:spacing w:after="0" w:line="249" w:lineRule="auto"/>
        <w:tabs>
          <w:tab w:leader="none" w:pos="509" w:val="left"/>
        </w:tabs>
        <w:numPr>
          <w:ilvl w:val="0"/>
          <w:numId w:val="3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Foreign Corrupt Practices</w:t>
      </w:r>
      <w:r>
        <w:rPr>
          <w:rFonts w:ascii="Times New Roman" w:cs="Times New Roman" w:eastAsia="Times New Roman" w:hAnsi="Times New Roman"/>
          <w:sz w:val="21"/>
          <w:szCs w:val="21"/>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w:t>
      </w:r>
    </w:p>
    <w:p>
      <w:pPr>
        <w:spacing w:after="0" w:line="1" w:lineRule="exact"/>
        <w:rPr>
          <w:rFonts w:ascii="Times New Roman" w:cs="Times New Roman" w:eastAsia="Times New Roman" w:hAnsi="Times New Roman"/>
          <w:sz w:val="21"/>
          <w:szCs w:val="21"/>
          <w:u w:val="single" w:color="auto"/>
          <w:color w:val="auto"/>
        </w:rPr>
      </w:pPr>
    </w:p>
    <w:p>
      <w:pPr>
        <w:jc w:val="both"/>
        <w:ind w:firstLine="8"/>
        <w:spacing w:after="0" w:line="234" w:lineRule="auto"/>
        <w:tabs>
          <w:tab w:leader="none" w:pos="32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77" w:lineRule="exact"/>
        <w:rPr>
          <w:rFonts w:ascii="Times New Roman" w:cs="Times New Roman" w:eastAsia="Times New Roman" w:hAnsi="Times New Roman"/>
          <w:sz w:val="22"/>
          <w:szCs w:val="22"/>
          <w:color w:val="auto"/>
        </w:rPr>
      </w:pPr>
    </w:p>
    <w:p>
      <w:pPr>
        <w:jc w:val="both"/>
        <w:ind w:firstLine="8"/>
        <w:spacing w:after="0" w:line="239" w:lineRule="auto"/>
        <w:tabs>
          <w:tab w:leader="none" w:pos="509"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Accountants</w:t>
      </w:r>
      <w:r>
        <w:rPr>
          <w:rFonts w:ascii="Times New Roman" w:cs="Times New Roman" w:eastAsia="Times New Roman" w:hAnsi="Times New Roman"/>
          <w:sz w:val="22"/>
          <w:szCs w:val="22"/>
          <w:color w:val="auto"/>
        </w:rPr>
        <w:t xml:space="preserve">. The Company’s independent registered public accounting firm is set forth on </w:t>
      </w:r>
      <w:r>
        <w:rPr>
          <w:rFonts w:ascii="Times New Roman" w:cs="Times New Roman" w:eastAsia="Times New Roman" w:hAnsi="Times New Roman"/>
          <w:sz w:val="22"/>
          <w:szCs w:val="22"/>
          <w:u w:val="single" w:color="auto"/>
          <w:color w:val="auto"/>
        </w:rPr>
        <w:t>Schedule 3.1(dd)</w:t>
      </w:r>
      <w:r>
        <w:rPr>
          <w:rFonts w:ascii="Times New Roman" w:cs="Times New Roman" w:eastAsia="Times New Roman" w:hAnsi="Times New Roman"/>
          <w:sz w:val="22"/>
          <w:szCs w:val="22"/>
          <w:color w:val="auto"/>
        </w:rPr>
        <w:t xml:space="preserve"> of the Disclosure Schedules.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2024.</w:t>
      </w:r>
    </w:p>
    <w:p>
      <w:pPr>
        <w:spacing w:after="0" w:line="180" w:lineRule="exact"/>
        <w:rPr>
          <w:rFonts w:ascii="Times New Roman" w:cs="Times New Roman" w:eastAsia="Times New Roman" w:hAnsi="Times New Roman"/>
          <w:sz w:val="22"/>
          <w:szCs w:val="22"/>
          <w:u w:val="single" w:color="auto"/>
          <w:color w:val="auto"/>
        </w:rPr>
      </w:pPr>
    </w:p>
    <w:p>
      <w:pPr>
        <w:ind w:firstLine="8"/>
        <w:spacing w:after="0" w:line="258" w:lineRule="auto"/>
        <w:tabs>
          <w:tab w:leader="none" w:pos="509"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Acknowledgment Regarding Purchasers’ Purchase of Securities</w:t>
      </w:r>
      <w:r>
        <w:rPr>
          <w:rFonts w:ascii="Times New Roman" w:cs="Times New Roman" w:eastAsia="Times New Roman" w:hAnsi="Times New Roman"/>
          <w:sz w:val="22"/>
          <w:szCs w:val="22"/>
          <w:color w:val="auto"/>
        </w:rPr>
        <w:t>. The Company acknowledges and agrees that each of the Purchasers is acting solely in the capacity of an arm’s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 w:name="page43"/>
    <w:bookmarkEnd w:id="42"/>
    <w:p>
      <w:pPr>
        <w:jc w:val="both"/>
        <w:ind w:firstLine="509"/>
        <w:spacing w:after="0" w:line="235" w:lineRule="auto"/>
        <w:rPr>
          <w:sz w:val="20"/>
          <w:szCs w:val="20"/>
          <w:color w:val="auto"/>
        </w:rPr>
      </w:pPr>
      <w:r>
        <w:rPr>
          <w:rFonts w:ascii="Times New Roman" w:cs="Times New Roman" w:eastAsia="Times New Roman" w:hAnsi="Times New Roman"/>
          <w:sz w:val="22"/>
          <w:szCs w:val="22"/>
          <w:color w:val="auto"/>
        </w:rPr>
        <w:t>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3" w:lineRule="exact"/>
        <w:rPr>
          <w:sz w:val="20"/>
          <w:szCs w:val="20"/>
          <w:color w:val="auto"/>
        </w:rPr>
      </w:pPr>
    </w:p>
    <w:p>
      <w:pPr>
        <w:jc w:val="both"/>
        <w:ind w:firstLine="8"/>
        <w:spacing w:after="0" w:line="244" w:lineRule="auto"/>
        <w:tabs>
          <w:tab w:leader="none" w:pos="509" w:val="left"/>
        </w:tabs>
        <w:numPr>
          <w:ilvl w:val="0"/>
          <w:numId w:val="4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Acknowledgment Regarding Purchaser’s Trading Activity</w:t>
      </w:r>
      <w:r>
        <w:rPr>
          <w:rFonts w:ascii="Times New Roman" w:cs="Times New Roman" w:eastAsia="Times New Roman" w:hAnsi="Times New Roman"/>
          <w:sz w:val="21"/>
          <w:szCs w:val="21"/>
          <w:color w:val="auto"/>
        </w:rPr>
        <w:t>. Anything in this Agreement or elsewhere herein to the contrary notwithstanding (except for Sections 3.2(f)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78" w:lineRule="exact"/>
        <w:rPr>
          <w:rFonts w:ascii="Times New Roman" w:cs="Times New Roman" w:eastAsia="Times New Roman" w:hAnsi="Times New Roman"/>
          <w:sz w:val="21"/>
          <w:szCs w:val="21"/>
          <w:u w:val="single" w:color="auto"/>
          <w:color w:val="auto"/>
        </w:rPr>
      </w:pPr>
    </w:p>
    <w:p>
      <w:pPr>
        <w:jc w:val="both"/>
        <w:ind w:firstLine="8"/>
        <w:spacing w:after="0" w:line="236" w:lineRule="auto"/>
        <w:tabs>
          <w:tab w:leader="none" w:pos="509" w:val="left"/>
        </w:tabs>
        <w:numPr>
          <w:ilvl w:val="0"/>
          <w:numId w:val="4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Regulation M Compliance</w:t>
      </w:r>
      <w:r>
        <w:rPr>
          <w:rFonts w:ascii="Times New Roman" w:cs="Times New Roman" w:eastAsia="Times New Roman" w:hAnsi="Times New Roman"/>
          <w:sz w:val="22"/>
          <w:szCs w:val="22"/>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1" w:lineRule="exact"/>
        <w:rPr>
          <w:rFonts w:ascii="Times New Roman" w:cs="Times New Roman" w:eastAsia="Times New Roman" w:hAnsi="Times New Roman"/>
          <w:sz w:val="22"/>
          <w:szCs w:val="22"/>
          <w:u w:val="single" w:color="auto"/>
          <w:color w:val="auto"/>
        </w:rPr>
      </w:pPr>
    </w:p>
    <w:p>
      <w:pPr>
        <w:jc w:val="both"/>
        <w:ind w:firstLine="8"/>
        <w:spacing w:after="0" w:line="238" w:lineRule="auto"/>
        <w:tabs>
          <w:tab w:leader="none" w:pos="509" w:val="left"/>
        </w:tabs>
        <w:numPr>
          <w:ilvl w:val="0"/>
          <w:numId w:val="4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Stock Option Plans</w:t>
      </w:r>
      <w:r>
        <w:rPr>
          <w:rFonts w:ascii="Times New Roman" w:cs="Times New Roman" w:eastAsia="Times New Roman" w:hAnsi="Times New Roman"/>
          <w:sz w:val="22"/>
          <w:szCs w:val="22"/>
          <w:color w:val="auto"/>
        </w:rPr>
        <w:t>. Each stock option granted by the Company under the Company’s stock option plan was granted (i) in accordance with the terms of the Company’s stock option plan and (ii) with an exercise price at least equal to the fair market value of the Ordinary Shares on the date such stock option would be considered granted under GAAP and applicable law. No stock option granted under the Company’s stock option plan has been backdated. The Company has not knowingly granted, and there is no and has been no Company policy or practice to knowingly</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 w:name="page44"/>
    <w:bookmarkEnd w:id="43"/>
    <w:p>
      <w:pPr>
        <w:ind w:firstLine="509"/>
        <w:spacing w:after="0" w:line="258" w:lineRule="auto"/>
        <w:rPr>
          <w:sz w:val="20"/>
          <w:szCs w:val="20"/>
          <w:color w:val="auto"/>
        </w:rPr>
      </w:pPr>
      <w:r>
        <w:rPr>
          <w:rFonts w:ascii="Times New Roman" w:cs="Times New Roman" w:eastAsia="Times New Roman" w:hAnsi="Times New Roman"/>
          <w:sz w:val="22"/>
          <w:szCs w:val="22"/>
          <w:color w:val="auto"/>
        </w:rPr>
        <w:t>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58" w:lineRule="exact"/>
        <w:rPr>
          <w:sz w:val="20"/>
          <w:szCs w:val="20"/>
          <w:color w:val="auto"/>
        </w:rPr>
      </w:pPr>
    </w:p>
    <w:p>
      <w:pPr>
        <w:jc w:val="both"/>
        <w:ind w:firstLine="8"/>
        <w:spacing w:after="0" w:line="233" w:lineRule="auto"/>
        <w:tabs>
          <w:tab w:leader="none" w:pos="509" w:val="left"/>
        </w:tabs>
        <w:numPr>
          <w:ilvl w:val="0"/>
          <w:numId w:val="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Cybersecurity</w:t>
      </w:r>
      <w:r>
        <w:rPr>
          <w:rFonts w:ascii="Times New Roman" w:cs="Times New Roman" w:eastAsia="Times New Roman" w:hAnsi="Times New Roman"/>
          <w:sz w:val="22"/>
          <w:szCs w:val="22"/>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22"/>
          <w:szCs w:val="22"/>
          <w:u w:val="single" w:color="auto"/>
          <w:color w:val="auto"/>
        </w:rPr>
        <w:t>IT Systems and Data</w:t>
      </w:r>
      <w:r>
        <w:rPr>
          <w:rFonts w:ascii="Times New Roman" w:cs="Times New Roman" w:eastAsia="Times New Roman" w:hAnsi="Times New Roman"/>
          <w:sz w:val="22"/>
          <w:szCs w:val="22"/>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82" w:lineRule="exact"/>
        <w:rPr>
          <w:rFonts w:ascii="Times New Roman" w:cs="Times New Roman" w:eastAsia="Times New Roman" w:hAnsi="Times New Roman"/>
          <w:sz w:val="22"/>
          <w:szCs w:val="22"/>
          <w:u w:val="single" w:color="auto"/>
          <w:color w:val="auto"/>
        </w:rPr>
      </w:pPr>
    </w:p>
    <w:p>
      <w:pPr>
        <w:jc w:val="both"/>
        <w:ind w:firstLine="8"/>
        <w:spacing w:after="0" w:line="232" w:lineRule="auto"/>
        <w:tabs>
          <w:tab w:leader="none" w:pos="509" w:val="left"/>
        </w:tabs>
        <w:numPr>
          <w:ilvl w:val="0"/>
          <w:numId w:val="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Compliance with Data Privacy Laws</w:t>
      </w:r>
      <w:r>
        <w:rPr>
          <w:rFonts w:ascii="Times New Roman" w:cs="Times New Roman" w:eastAsia="Times New Roman" w:hAnsi="Times New Roman"/>
          <w:sz w:val="22"/>
          <w:szCs w:val="22"/>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22"/>
          <w:szCs w:val="22"/>
          <w:u w:val="single" w:color="auto"/>
          <w:color w:val="auto"/>
        </w:rPr>
        <w:t>GDPR</w:t>
      </w:r>
      <w:r>
        <w:rPr>
          <w:rFonts w:ascii="Times New Roman" w:cs="Times New Roman" w:eastAsia="Times New Roman" w:hAnsi="Times New Roman"/>
          <w:sz w:val="22"/>
          <w:szCs w:val="22"/>
          <w:color w:val="auto"/>
        </w:rPr>
        <w:t>”) (EU 2016/679) (collectively, “</w:t>
      </w:r>
      <w:r>
        <w:rPr>
          <w:rFonts w:ascii="Times New Roman" w:cs="Times New Roman" w:eastAsia="Times New Roman" w:hAnsi="Times New Roman"/>
          <w:sz w:val="22"/>
          <w:szCs w:val="22"/>
          <w:u w:val="single" w:color="auto"/>
          <w:color w:val="auto"/>
        </w:rPr>
        <w:t>Privacy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22"/>
          <w:szCs w:val="22"/>
          <w:u w:val="single" w:color="auto"/>
          <w:color w:val="auto"/>
        </w:rPr>
        <w:t>Policies</w:t>
      </w:r>
      <w:r>
        <w:rPr>
          <w:rFonts w:ascii="Times New Roman" w:cs="Times New Roman" w:eastAsia="Times New Roman" w:hAnsi="Times New Roman"/>
          <w:sz w:val="22"/>
          <w:szCs w:val="22"/>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22"/>
          <w:szCs w:val="22"/>
          <w:u w:val="single" w:color="auto"/>
          <w:color w:val="auto"/>
        </w:rPr>
        <w:t>Personal Data</w:t>
      </w:r>
      <w:r>
        <w:rPr>
          <w:rFonts w:ascii="Times New Roman" w:cs="Times New Roman" w:eastAsia="Times New Roman" w:hAnsi="Times New Roman"/>
          <w:sz w:val="22"/>
          <w:szCs w:val="22"/>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 w:name="page45"/>
    <w:bookmarkEnd w:id="44"/>
    <w:p>
      <w:pPr>
        <w:jc w:val="both"/>
        <w:ind w:firstLine="509"/>
        <w:spacing w:after="0" w:line="244" w:lineRule="auto"/>
        <w:rPr>
          <w:sz w:val="20"/>
          <w:szCs w:val="20"/>
          <w:color w:val="auto"/>
        </w:rPr>
      </w:pPr>
      <w:r>
        <w:rPr>
          <w:rFonts w:ascii="Times New Roman" w:cs="Times New Roman" w:eastAsia="Times New Roman" w:hAnsi="Times New Roman"/>
          <w:sz w:val="22"/>
          <w:szCs w:val="22"/>
          <w:color w:val="auto"/>
        </w:rPr>
        <w:t>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73" w:lineRule="exact"/>
        <w:rPr>
          <w:sz w:val="20"/>
          <w:szCs w:val="20"/>
          <w:color w:val="auto"/>
        </w:rPr>
      </w:pPr>
    </w:p>
    <w:p>
      <w:pPr>
        <w:jc w:val="both"/>
        <w:ind w:right="20" w:firstLine="8"/>
        <w:spacing w:after="0" w:line="244" w:lineRule="auto"/>
        <w:tabs>
          <w:tab w:leader="none" w:pos="509" w:val="left"/>
        </w:tabs>
        <w:numPr>
          <w:ilvl w:val="0"/>
          <w:numId w:val="4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Office of Foreign Assets Control</w:t>
      </w:r>
      <w:r>
        <w:rPr>
          <w:rFonts w:ascii="Times New Roman" w:cs="Times New Roman" w:eastAsia="Times New Roman" w:hAnsi="Times New Roman"/>
          <w:sz w:val="22"/>
          <w:szCs w:val="22"/>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u w:val="single" w:color="auto"/>
          <w:color w:val="auto"/>
        </w:rPr>
      </w:pPr>
    </w:p>
    <w:p>
      <w:pPr>
        <w:jc w:val="both"/>
        <w:ind w:firstLine="8"/>
        <w:spacing w:after="0" w:line="244" w:lineRule="auto"/>
        <w:tabs>
          <w:tab w:leader="none" w:pos="509" w:val="left"/>
        </w:tabs>
        <w:numPr>
          <w:ilvl w:val="0"/>
          <w:numId w:val="4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U.S. Real Property Holding Corporation</w:t>
      </w:r>
      <w:r>
        <w:rPr>
          <w:rFonts w:ascii="Times New Roman" w:cs="Times New Roman" w:eastAsia="Times New Roman" w:hAnsi="Times New Roman"/>
          <w:sz w:val="22"/>
          <w:szCs w:val="22"/>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73" w:lineRule="exact"/>
        <w:rPr>
          <w:rFonts w:ascii="Times New Roman" w:cs="Times New Roman" w:eastAsia="Times New Roman" w:hAnsi="Times New Roman"/>
          <w:sz w:val="22"/>
          <w:szCs w:val="22"/>
          <w:u w:val="single" w:color="auto"/>
          <w:color w:val="auto"/>
        </w:rPr>
      </w:pPr>
    </w:p>
    <w:p>
      <w:pPr>
        <w:jc w:val="both"/>
        <w:ind w:firstLine="8"/>
        <w:spacing w:after="0" w:line="235" w:lineRule="auto"/>
        <w:tabs>
          <w:tab w:leader="none" w:pos="509" w:val="left"/>
        </w:tabs>
        <w:numPr>
          <w:ilvl w:val="0"/>
          <w:numId w:val="4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Bank Holding Company Act</w:t>
      </w:r>
      <w:r>
        <w:rPr>
          <w:rFonts w:ascii="Times New Roman" w:cs="Times New Roman" w:eastAsia="Times New Roman" w:hAnsi="Times New Roman"/>
          <w:sz w:val="22"/>
          <w:szCs w:val="22"/>
          <w:color w:val="auto"/>
        </w:rPr>
        <w:t>. Neither the Company nor any of its Subsidiaries or Affiliates is subject to the Bank Holding Company Act of 1956, as amended (the “</w:t>
      </w:r>
      <w:r>
        <w:rPr>
          <w:rFonts w:ascii="Times New Roman" w:cs="Times New Roman" w:eastAsia="Times New Roman" w:hAnsi="Times New Roman"/>
          <w:sz w:val="22"/>
          <w:szCs w:val="22"/>
          <w:u w:val="single" w:color="auto"/>
          <w:color w:val="auto"/>
        </w:rPr>
        <w:t>BHCA</w:t>
      </w:r>
      <w:r>
        <w:rPr>
          <w:rFonts w:ascii="Times New Roman" w:cs="Times New Roman" w:eastAsia="Times New Roman" w:hAnsi="Times New Roman"/>
          <w:sz w:val="22"/>
          <w:szCs w:val="22"/>
          <w:color w:val="auto"/>
        </w:rPr>
        <w:t>”) and to regulation by the Board of Governors of the Federal Reserve System (the “</w:t>
      </w:r>
      <w:r>
        <w:rPr>
          <w:rFonts w:ascii="Times New Roman" w:cs="Times New Roman" w:eastAsia="Times New Roman" w:hAnsi="Times New Roman"/>
          <w:sz w:val="22"/>
          <w:szCs w:val="22"/>
          <w:u w:val="single" w:color="auto"/>
          <w:color w:val="auto"/>
        </w:rPr>
        <w:t>Federal Reserve</w:t>
      </w:r>
      <w:r>
        <w:rPr>
          <w:rFonts w:ascii="Times New Roman" w:cs="Times New Roman" w:eastAsia="Times New Roman" w:hAnsi="Times New Roman"/>
          <w:sz w:val="22"/>
          <w:szCs w:val="22"/>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3" w:lineRule="exact"/>
        <w:rPr>
          <w:rFonts w:ascii="Times New Roman" w:cs="Times New Roman" w:eastAsia="Times New Roman" w:hAnsi="Times New Roman"/>
          <w:sz w:val="22"/>
          <w:szCs w:val="22"/>
          <w:u w:val="single" w:color="auto"/>
          <w:color w:val="auto"/>
        </w:rPr>
      </w:pPr>
    </w:p>
    <w:p>
      <w:pPr>
        <w:jc w:val="both"/>
        <w:ind w:firstLine="8"/>
        <w:spacing w:after="0" w:line="236" w:lineRule="auto"/>
        <w:tabs>
          <w:tab w:leader="none" w:pos="509" w:val="left"/>
        </w:tabs>
        <w:numPr>
          <w:ilvl w:val="0"/>
          <w:numId w:val="4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Money Laundering</w:t>
      </w:r>
      <w:r>
        <w:rPr>
          <w:rFonts w:ascii="Times New Roman" w:cs="Times New Roman" w:eastAsia="Times New Roman" w:hAnsi="Times New Roman"/>
          <w:sz w:val="22"/>
          <w:szCs w:val="22"/>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22"/>
          <w:szCs w:val="22"/>
          <w:u w:val="single" w:color="auto"/>
          <w:color w:val="auto"/>
        </w:rPr>
        <w:t>Money Laundering Laws</w:t>
      </w:r>
      <w:r>
        <w:rPr>
          <w:rFonts w:ascii="Times New Roman" w:cs="Times New Roman" w:eastAsia="Times New Roman" w:hAnsi="Times New Roman"/>
          <w:sz w:val="22"/>
          <w:szCs w:val="22"/>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3.2 Representations and Warranties of the Purchasers</w:t>
      </w:r>
      <w:r>
        <w:rPr>
          <w:rFonts w:ascii="Times New Roman" w:cs="Times New Roman" w:eastAsia="Times New Roman" w:hAnsi="Times New Roman"/>
          <w:sz w:val="22"/>
          <w:szCs w:val="22"/>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3" w:lineRule="exact"/>
        <w:rPr>
          <w:sz w:val="20"/>
          <w:szCs w:val="20"/>
          <w:color w:val="auto"/>
        </w:rPr>
      </w:pPr>
    </w:p>
    <w:p>
      <w:pPr>
        <w:jc w:val="both"/>
        <w:ind w:left="440" w:firstLine="1066"/>
        <w:spacing w:after="0" w:line="235" w:lineRule="auto"/>
        <w:tabs>
          <w:tab w:leader="none" w:pos="2042" w:val="left"/>
        </w:tabs>
        <w:numPr>
          <w:ilvl w:val="0"/>
          <w:numId w:val="4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Organization; Authority</w:t>
      </w:r>
      <w:r>
        <w:rPr>
          <w:rFonts w:ascii="Times New Roman" w:cs="Times New Roman" w:eastAsia="Times New Roman" w:hAnsi="Times New Roman"/>
          <w:sz w:val="22"/>
          <w:szCs w:val="22"/>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jc w:val="both"/>
        <w:ind w:left="440"/>
        <w:spacing w:after="0" w:line="236" w:lineRule="auto"/>
        <w:rPr>
          <w:sz w:val="20"/>
          <w:szCs w:val="20"/>
          <w:color w:val="auto"/>
        </w:rPr>
      </w:pPr>
      <w:r>
        <w:rPr>
          <w:rFonts w:ascii="Times New Roman" w:cs="Times New Roman" w:eastAsia="Times New Roman" w:hAnsi="Times New Roman"/>
          <w:sz w:val="22"/>
          <w:szCs w:val="22"/>
          <w:color w:val="auto"/>
        </w:rPr>
        <w:t>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1" w:lineRule="exact"/>
        <w:rPr>
          <w:sz w:val="20"/>
          <w:szCs w:val="20"/>
          <w:color w:val="auto"/>
        </w:rPr>
      </w:pPr>
    </w:p>
    <w:p>
      <w:pPr>
        <w:jc w:val="both"/>
        <w:ind w:left="440" w:firstLine="1066"/>
        <w:spacing w:after="0" w:line="236" w:lineRule="auto"/>
        <w:tabs>
          <w:tab w:leader="none" w:pos="2042" w:val="left"/>
        </w:tabs>
        <w:numPr>
          <w:ilvl w:val="1"/>
          <w:numId w:val="4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Understandings or Arrangements</w:t>
      </w:r>
      <w:r>
        <w:rPr>
          <w:rFonts w:ascii="Times New Roman" w:cs="Times New Roman" w:eastAsia="Times New Roman" w:hAnsi="Times New Roman"/>
          <w:sz w:val="22"/>
          <w:szCs w:val="22"/>
          <w:color w:val="auto"/>
        </w:rPr>
        <w:t>. Such Purchaser is acquiring the Securities as principal for its own account and not with a view to or for distributing or reselling such Securities or any part thereof,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81" w:lineRule="exact"/>
        <w:rPr>
          <w:rFonts w:ascii="Times New Roman" w:cs="Times New Roman" w:eastAsia="Times New Roman" w:hAnsi="Times New Roman"/>
          <w:sz w:val="22"/>
          <w:szCs w:val="22"/>
          <w:u w:val="single" w:color="auto"/>
          <w:color w:val="auto"/>
        </w:rPr>
      </w:pPr>
    </w:p>
    <w:p>
      <w:pPr>
        <w:jc w:val="both"/>
        <w:ind w:left="440" w:firstLine="1066"/>
        <w:spacing w:after="0" w:line="239" w:lineRule="auto"/>
        <w:tabs>
          <w:tab w:leader="none" w:pos="2042" w:val="left"/>
        </w:tabs>
        <w:numPr>
          <w:ilvl w:val="1"/>
          <w:numId w:val="4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Purchaser Status</w:t>
      </w:r>
      <w:r>
        <w:rPr>
          <w:rFonts w:ascii="Times New Roman" w:cs="Times New Roman" w:eastAsia="Times New Roman" w:hAnsi="Times New Roman"/>
          <w:sz w:val="22"/>
          <w:szCs w:val="22"/>
          <w:color w:val="auto"/>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 (collectively a “</w:t>
      </w:r>
      <w:r>
        <w:rPr>
          <w:rFonts w:ascii="Times New Roman" w:cs="Times New Roman" w:eastAsia="Times New Roman" w:hAnsi="Times New Roman"/>
          <w:sz w:val="22"/>
          <w:szCs w:val="22"/>
          <w:u w:val="single" w:color="auto"/>
          <w:color w:val="auto"/>
        </w:rPr>
        <w:t>Qualifying Investor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u w:val="single" w:color="auto"/>
          <w:color w:val="auto"/>
        </w:rPr>
      </w:pPr>
    </w:p>
    <w:p>
      <w:pPr>
        <w:jc w:val="both"/>
        <w:ind w:left="760" w:firstLine="745"/>
        <w:spacing w:after="0" w:line="235" w:lineRule="auto"/>
        <w:tabs>
          <w:tab w:leader="none" w:pos="2048"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Qualifying Investor is in the UK, they must also qualify as a "qualified investor" within the meaning of Article 2(1)(e) of the Prospectus Regulation, which forms part of retained EU law in the United Kingdom by virtue of the European Union (Withdrawal) Act 2018 (“</w:t>
      </w:r>
      <w:r>
        <w:rPr>
          <w:rFonts w:ascii="Times New Roman" w:cs="Times New Roman" w:eastAsia="Times New Roman" w:hAnsi="Times New Roman"/>
          <w:sz w:val="22"/>
          <w:szCs w:val="22"/>
          <w:u w:val="single" w:color="auto"/>
          <w:color w:val="auto"/>
        </w:rPr>
        <w:t>UK Prospectus Regulation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UK Qualified Investors</w:t>
      </w:r>
      <w:r>
        <w:rPr>
          <w:rFonts w:ascii="Times New Roman" w:cs="Times New Roman" w:eastAsia="Times New Roman" w:hAnsi="Times New Roman"/>
          <w:sz w:val="22"/>
          <w:szCs w:val="22"/>
          <w:color w:val="auto"/>
        </w:rPr>
        <w:t>”). In addition, in the United Kingdom, this document is addressed to, and directed only at, UK Qualified Investors who (i) are persons who have professional experience in matters relating to investments falling within article 19(5) of the Financial Services and Markets Act 2000 (Financial Promotion) Order 2005 (the “</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(ii) are persons who are high net worth entities falling within article 49(2)(a) to (d) of the Order, or (iii) are other persons to whom it may otherwise lawfully be communicated; and</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Qualifying Investor is in the European Economic Area (the “</w:t>
      </w:r>
      <w:r>
        <w:rPr>
          <w:rFonts w:ascii="Times New Roman" w:cs="Times New Roman" w:eastAsia="Times New Roman" w:hAnsi="Times New Roman"/>
          <w:sz w:val="22"/>
          <w:szCs w:val="22"/>
          <w:u w:val="single" w:color="auto"/>
          <w:color w:val="auto"/>
        </w:rPr>
        <w:t>EEA</w:t>
      </w:r>
      <w:r>
        <w:rPr>
          <w:rFonts w:ascii="Times New Roman" w:cs="Times New Roman" w:eastAsia="Times New Roman" w:hAnsi="Times New Roman"/>
          <w:sz w:val="22"/>
          <w:szCs w:val="22"/>
          <w:color w:val="auto"/>
        </w:rPr>
        <w:t>”), they must also qualify as a "qualified investor" within the meaning of Article 2(1)(e) of the Prospectus Regulation (Regulation EU 2017/1129 and amendments thereto).</w:t>
      </w:r>
    </w:p>
    <w:p>
      <w:pPr>
        <w:spacing w:after="0" w:line="173" w:lineRule="exact"/>
        <w:rPr>
          <w:rFonts w:ascii="Times New Roman" w:cs="Times New Roman" w:eastAsia="Times New Roman" w:hAnsi="Times New Roman"/>
          <w:sz w:val="22"/>
          <w:szCs w:val="22"/>
          <w:color w:val="auto"/>
        </w:rPr>
      </w:pPr>
    </w:p>
    <w:p>
      <w:pPr>
        <w:jc w:val="both"/>
        <w:ind w:left="440" w:firstLine="1066"/>
        <w:spacing w:after="0" w:line="238" w:lineRule="auto"/>
        <w:tabs>
          <w:tab w:leader="none" w:pos="2042" w:val="left"/>
        </w:tabs>
        <w:numPr>
          <w:ilvl w:val="1"/>
          <w:numId w:val="4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Experience of Such Purchaser</w:t>
      </w:r>
      <w:r>
        <w:rPr>
          <w:rFonts w:ascii="Times New Roman" w:cs="Times New Roman" w:eastAsia="Times New Roman" w:hAnsi="Times New Roman"/>
          <w:sz w:val="22"/>
          <w:szCs w:val="22"/>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jc w:val="both"/>
        <w:ind w:left="440" w:firstLine="1066"/>
        <w:spacing w:after="0" w:line="244" w:lineRule="auto"/>
        <w:tabs>
          <w:tab w:leader="none" w:pos="2042" w:val="left"/>
        </w:tabs>
        <w:numPr>
          <w:ilvl w:val="0"/>
          <w:numId w:val="4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Access to Information</w:t>
      </w:r>
      <w:r>
        <w:rPr>
          <w:rFonts w:ascii="Times New Roman" w:cs="Times New Roman" w:eastAsia="Times New Roman" w:hAnsi="Times New Roman"/>
          <w:sz w:val="21"/>
          <w:szCs w:val="21"/>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80" w:lineRule="exact"/>
        <w:rPr>
          <w:rFonts w:ascii="Times New Roman" w:cs="Times New Roman" w:eastAsia="Times New Roman" w:hAnsi="Times New Roman"/>
          <w:sz w:val="21"/>
          <w:szCs w:val="21"/>
          <w:u w:val="single" w:color="auto"/>
          <w:color w:val="auto"/>
        </w:rPr>
      </w:pPr>
    </w:p>
    <w:p>
      <w:pPr>
        <w:jc w:val="both"/>
        <w:ind w:left="440" w:firstLine="1066"/>
        <w:spacing w:after="0" w:line="232" w:lineRule="auto"/>
        <w:tabs>
          <w:tab w:leader="none" w:pos="2042" w:val="left"/>
        </w:tabs>
        <w:numPr>
          <w:ilvl w:val="0"/>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Certain Transactions and Confidentiality</w:t>
      </w:r>
      <w:r>
        <w:rPr>
          <w:rFonts w:ascii="Times New Roman" w:cs="Times New Roman" w:eastAsia="Times New Roman" w:hAnsi="Times New Roman"/>
          <w:sz w:val="22"/>
          <w:szCs w:val="22"/>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 w:name="page48"/>
    <w:bookmarkEnd w:id="47"/>
    <w:p>
      <w:pPr>
        <w:jc w:val="both"/>
        <w:spacing w:after="0" w:line="244" w:lineRule="auto"/>
        <w:rPr>
          <w:sz w:val="20"/>
          <w:szCs w:val="20"/>
          <w:color w:val="auto"/>
        </w:rPr>
      </w:pPr>
      <w:r>
        <w:rPr>
          <w:rFonts w:ascii="Times New Roman" w:cs="Times New Roman" w:eastAsia="Times New Roman" w:hAnsi="Times New Roman"/>
          <w:sz w:val="22"/>
          <w:szCs w:val="22"/>
          <w:color w:val="auto"/>
        </w:rPr>
        <w:t>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OTHER AGREEMENTS OF THE PARTIES</w:t>
      </w:r>
    </w:p>
    <w:p>
      <w:pPr>
        <w:spacing w:after="0" w:line="18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4.1Warrant Shares</w:t>
      </w:r>
      <w:r>
        <w:rPr>
          <w:rFonts w:ascii="Times New Roman" w:cs="Times New Roman" w:eastAsia="Times New Roman" w:hAnsi="Times New Roman"/>
          <w:sz w:val="22"/>
          <w:szCs w:val="22"/>
          <w:color w:val="auto"/>
        </w:rPr>
        <w:t>. If all or any portion of a Warrant is exercised at a time when there is an effective registration statement to cover the issuance or resale of the Warrant Shares,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reasonable best efforts to keep a registration statement (including the Registration Statement) registering the issuance or resale of the Warrant Shares effective during the term of the Warrants.</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4.2Furnishing of Information</w:t>
      </w:r>
      <w:r>
        <w:rPr>
          <w:rFonts w:ascii="Times New Roman" w:cs="Times New Roman" w:eastAsia="Times New Roman" w:hAnsi="Times New Roman"/>
          <w:sz w:val="22"/>
          <w:szCs w:val="22"/>
          <w:color w:val="auto"/>
        </w:rPr>
        <w:t>. Until the earlier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4.3Integration</w:t>
      </w:r>
      <w:r>
        <w:rPr>
          <w:rFonts w:ascii="Times New Roman" w:cs="Times New Roman" w:eastAsia="Times New Roman" w:hAnsi="Times New Roman"/>
          <w:sz w:val="22"/>
          <w:szCs w:val="22"/>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u w:val="single" w:color="auto"/>
          <w:color w:val="auto"/>
        </w:rPr>
        <w:t>4.4 Securities Laws Disclosure; Publicity</w:t>
      </w:r>
      <w:r>
        <w:rPr>
          <w:rFonts w:ascii="Times New Roman" w:cs="Times New Roman" w:eastAsia="Times New Roman" w:hAnsi="Times New Roman"/>
          <w:sz w:val="22"/>
          <w:szCs w:val="22"/>
          <w:color w:val="auto"/>
        </w:rPr>
        <w:t>. The Company shall (a) by the Disclosure Time, issue a press release disclosing the material terms of the transactions contemplated hereby, and (b) file a Report on Form 6-K,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 w:name="page49"/>
    <w:bookmarkEnd w:id="48"/>
    <w:p>
      <w:pPr>
        <w:jc w:val="both"/>
        <w:ind w:firstLine="509"/>
        <w:spacing w:after="0" w:line="244" w:lineRule="auto"/>
        <w:rPr>
          <w:sz w:val="20"/>
          <w:szCs w:val="20"/>
          <w:color w:val="auto"/>
        </w:rPr>
      </w:pPr>
      <w:r>
        <w:rPr>
          <w:rFonts w:ascii="Times New Roman" w:cs="Times New Roman" w:eastAsia="Times New Roman" w:hAnsi="Times New Roman"/>
          <w:sz w:val="21"/>
          <w:szCs w:val="21"/>
          <w:color w:val="auto"/>
        </w:rPr>
        <w:t>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u w:val="single" w:color="auto"/>
          <w:color w:val="auto"/>
        </w:rPr>
        <w:t>4.5 Shareholder Rights Plan</w:t>
      </w:r>
      <w:r>
        <w:rPr>
          <w:rFonts w:ascii="Times New Roman" w:cs="Times New Roman" w:eastAsia="Times New Roman" w:hAnsi="Times New Roman"/>
          <w:sz w:val="21"/>
          <w:szCs w:val="21"/>
          <w:color w:val="auto"/>
        </w:rPr>
        <w:t>. No claim will be made or enforced by the Company or, with the consent of the Company, any other Person, that any Purchaser is an “</w:t>
      </w:r>
      <w:r>
        <w:rPr>
          <w:rFonts w:ascii="Times New Roman" w:cs="Times New Roman" w:eastAsia="Times New Roman" w:hAnsi="Times New Roman"/>
          <w:sz w:val="21"/>
          <w:szCs w:val="21"/>
          <w:u w:val="single" w:color="auto"/>
          <w:color w:val="auto"/>
        </w:rPr>
        <w:t>Acquiring Person</w:t>
      </w:r>
      <w:r>
        <w:rPr>
          <w:rFonts w:ascii="Times New Roman" w:cs="Times New Roman" w:eastAsia="Times New Roman" w:hAnsi="Times New Roman"/>
          <w:sz w:val="21"/>
          <w:szCs w:val="21"/>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u w:val="single" w:color="auto"/>
          <w:color w:val="auto"/>
        </w:rPr>
        <w:t>4.6 Non-Public Information</w:t>
      </w:r>
      <w:r>
        <w:rPr>
          <w:rFonts w:ascii="Times New Roman" w:cs="Times New Roman" w:eastAsia="Times New Roman" w:hAnsi="Times New Roman"/>
          <w:sz w:val="21"/>
          <w:szCs w:val="21"/>
          <w:color w:val="auto"/>
        </w:rPr>
        <w:t>. Except with respect to the material pricing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 w:name="page50"/>
    <w:bookmarkEnd w:id="49"/>
    <w:p>
      <w:pPr>
        <w:jc w:val="both"/>
        <w:ind w:right="20" w:firstLine="509"/>
        <w:spacing w:after="0" w:line="258" w:lineRule="auto"/>
        <w:rPr>
          <w:sz w:val="20"/>
          <w:szCs w:val="20"/>
          <w:color w:val="auto"/>
        </w:rPr>
      </w:pPr>
      <w:r>
        <w:rPr>
          <w:rFonts w:ascii="Times New Roman" w:cs="Times New Roman" w:eastAsia="Times New Roman" w:hAnsi="Times New Roman"/>
          <w:sz w:val="22"/>
          <w:szCs w:val="22"/>
          <w:color w:val="auto"/>
        </w:rPr>
        <w:t>notice with the Commission pursuant to a Report on Form 6-K. The Company understands and confirms that each Purchaser shall be relying on the foregoing covenant in effecting transactions in securities of the Company.</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u w:val="single" w:color="auto"/>
          <w:color w:val="auto"/>
        </w:rPr>
        <w:t>4.7 Use of Proceeds</w:t>
      </w:r>
      <w:r>
        <w:rPr>
          <w:rFonts w:ascii="Times New Roman" w:cs="Times New Roman" w:eastAsia="Times New Roman" w:hAnsi="Times New Roman"/>
          <w:sz w:val="21"/>
          <w:szCs w:val="21"/>
          <w:color w:val="auto"/>
        </w:rPr>
        <w:t xml:space="preserve">. Except as set forth on </w:t>
      </w:r>
      <w:r>
        <w:rPr>
          <w:rFonts w:ascii="Times New Roman" w:cs="Times New Roman" w:eastAsia="Times New Roman" w:hAnsi="Times New Roman"/>
          <w:sz w:val="21"/>
          <w:szCs w:val="21"/>
          <w:u w:val="single" w:color="auto"/>
          <w:color w:val="auto"/>
        </w:rPr>
        <w:t>Schedule 4.7</w:t>
      </w:r>
      <w:r>
        <w:rPr>
          <w:rFonts w:ascii="Times New Roman" w:cs="Times New Roman" w:eastAsia="Times New Roman" w:hAnsi="Times New Roman"/>
          <w:sz w:val="21"/>
          <w:szCs w:val="21"/>
          <w:color w:val="auto"/>
        </w:rPr>
        <w:t xml:space="preserve"> 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w:t>
      </w:r>
    </w:p>
    <w:p>
      <w:pPr>
        <w:spacing w:after="0" w:line="1" w:lineRule="exact"/>
        <w:rPr>
          <w:sz w:val="20"/>
          <w:szCs w:val="20"/>
          <w:color w:val="auto"/>
        </w:rPr>
      </w:pPr>
    </w:p>
    <w:p>
      <w:pPr>
        <w:ind w:right="20" w:firstLine="8"/>
        <w:spacing w:after="0" w:line="237" w:lineRule="auto"/>
        <w:tabs>
          <w:tab w:leader="none" w:pos="31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redemption of any Ordinary Shares or Ordinary Share Equivalents, (c) for the settlement of any outstanding litigation or (d) in violation of FCPA or OFAC regulations.</w:t>
      </w:r>
    </w:p>
    <w:p>
      <w:pPr>
        <w:spacing w:after="0" w:line="17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u w:val="single" w:color="auto"/>
          <w:color w:val="auto"/>
        </w:rPr>
        <w:t>4.8 Indemnification of Purchasers.</w:t>
      </w:r>
      <w:r>
        <w:rPr>
          <w:rFonts w:ascii="Times New Roman" w:cs="Times New Roman" w:eastAsia="Times New Roman" w:hAnsi="Times New Roman"/>
          <w:sz w:val="22"/>
          <w:szCs w:val="22"/>
          <w:color w:val="auto"/>
        </w:rPr>
        <w:t xml:space="preserve">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the Company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 w:name="page51"/>
    <w:bookmarkEnd w:id="50"/>
    <w:p>
      <w:pPr>
        <w:jc w:val="both"/>
        <w:ind w:firstLine="509"/>
        <w:spacing w:after="0" w:line="238" w:lineRule="auto"/>
        <w:rPr>
          <w:sz w:val="20"/>
          <w:szCs w:val="20"/>
          <w:color w:val="auto"/>
        </w:rPr>
      </w:pPr>
      <w:r>
        <w:rPr>
          <w:rFonts w:ascii="Times New Roman" w:cs="Times New Roman" w:eastAsia="Times New Roman" w:hAnsi="Times New Roman"/>
          <w:sz w:val="22"/>
          <w:szCs w:val="22"/>
          <w:color w:val="auto"/>
        </w:rPr>
        <w:t>Purchaser Party’s breach of any of the representations and warranties of such Purchaser Party in this Agreement.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7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u w:val="single" w:color="auto"/>
          <w:color w:val="auto"/>
        </w:rPr>
        <w:t>4.9</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4.10 Listing of Ordinary Shares</w:t>
      </w:r>
      <w:r>
        <w:rPr>
          <w:rFonts w:ascii="Times New Roman" w:cs="Times New Roman" w:eastAsia="Times New Roman" w:hAnsi="Times New Roman"/>
          <w:sz w:val="22"/>
          <w:szCs w:val="22"/>
          <w:color w:val="auto"/>
        </w:rPr>
        <w:t>. The Company hereby agrees to use reasonable best efforts to maintain the listing or quotation of the Ordinary Shares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Ordinary Shares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Ordinary Shares on a Trading Market and will comply in all respects with the Company’s reporting, filing and other obligations under the bylaws or rules of the Trading Market. The Company agrees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4.11</w:t>
      </w:r>
      <w:r>
        <w:rPr>
          <w:rFonts w:ascii="Times New Roman" w:cs="Times New Roman" w:eastAsia="Times New Roman" w:hAnsi="Times New Roman"/>
          <w:sz w:val="22"/>
          <w:szCs w:val="22"/>
          <w:color w:val="auto"/>
        </w:rPr>
        <w:t xml:space="preserve">  [RESERVED]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4.12 Subsequent Equity Sales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From the date hereof until forty-five (45) days following the Closing Date, neither the Company nor any Subsidiary shall</w:t>
      </w:r>
    </w:p>
    <w:p>
      <w:pPr>
        <w:spacing w:after="0" w:line="14" w:lineRule="exact"/>
        <w:rPr>
          <w:rFonts w:ascii="Times New Roman" w:cs="Times New Roman" w:eastAsia="Times New Roman" w:hAnsi="Times New Roman"/>
          <w:sz w:val="22"/>
          <w:szCs w:val="22"/>
          <w:u w:val="single" w:color="auto"/>
          <w:color w:val="auto"/>
        </w:rPr>
      </w:pPr>
    </w:p>
    <w:p>
      <w:pPr>
        <w:jc w:val="both"/>
        <w:ind w:firstLine="8"/>
        <w:spacing w:after="0" w:line="231" w:lineRule="auto"/>
        <w:tabs>
          <w:tab w:leader="none" w:pos="27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issue, enter into any agreement to issue or announce the issuance or proposed issuance of any Ordinary Shares or Ordinary Share Equivalents, other than the issuance of Ordinary Shares pursuant to such an agreement already in existence at the date of this Agreement and described on </w:t>
      </w:r>
      <w:r>
        <w:rPr>
          <w:rFonts w:ascii="Times New Roman" w:cs="Times New Roman" w:eastAsia="Times New Roman" w:hAnsi="Times New Roman"/>
          <w:sz w:val="22"/>
          <w:szCs w:val="22"/>
          <w:u w:val="single" w:color="auto"/>
          <w:color w:val="auto"/>
        </w:rPr>
        <w:t>Schedule 3.1(g)</w:t>
      </w:r>
      <w:r>
        <w:rPr>
          <w:rFonts w:ascii="Times New Roman" w:cs="Times New Roman" w:eastAsia="Times New Roman" w:hAnsi="Times New Roman"/>
          <w:sz w:val="22"/>
          <w:szCs w:val="22"/>
          <w:color w:val="auto"/>
        </w:rPr>
        <w:t xml:space="preserve"> (not including the Yorkville SEPA) (provided that such agreements have not been amended since the date of this Agreement to increase the number of Ordinary Shares or Ordinary Share Equivalents or to decrease the exercise price, exchange price or conversion price of such agreements (other than in connection with stock splits or combinations) or to extend the term of such securities, but the number of Ordinary Shares or Ordinary Share Equivalents or exercise price, exchange price or conversion price may be adjusted in accordance with their terms), or (ii) file any registration statement or any amendment or supplement thereto, other than the Prospectus, the filing of a registration statement on Form S-8 in connection with any employee benefit plan, or the filing of a resale registration statement on Form F-1 (or any pre-effective or post-effective amendment thereto) to register up to an aggregate of 58,019,651 additional Ordinary Shares for resale in respect of the conversion of the convertible notes issued pursuant to the secured convertible loan note instrument dated December 16, 2021, as amended and restated on November 21, 2022 and May 23, 2023 and further amended on and</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 w:name="page52"/>
    <w:bookmarkEnd w:id="51"/>
    <w:p>
      <w:pPr>
        <w:ind w:firstLine="509"/>
        <w:spacing w:after="0" w:line="258" w:lineRule="auto"/>
        <w:rPr>
          <w:sz w:val="20"/>
          <w:szCs w:val="20"/>
          <w:color w:val="auto"/>
        </w:rPr>
      </w:pPr>
      <w:r>
        <w:rPr>
          <w:rFonts w:ascii="Times New Roman" w:cs="Times New Roman" w:eastAsia="Times New Roman" w:hAnsi="Times New Roman"/>
          <w:sz w:val="22"/>
          <w:szCs w:val="22"/>
          <w:color w:val="auto"/>
        </w:rPr>
        <w:t>on December 18, 2023, December 29, 2023, January 26, 2024 and on or about December 18, 2024, and the Yorkville SEPA.</w:t>
      </w:r>
    </w:p>
    <w:p>
      <w:pPr>
        <w:spacing w:after="0" w:line="158" w:lineRule="exact"/>
        <w:rPr>
          <w:sz w:val="20"/>
          <w:szCs w:val="20"/>
          <w:color w:val="auto"/>
        </w:rPr>
      </w:pPr>
    </w:p>
    <w:p>
      <w:pPr>
        <w:jc w:val="both"/>
        <w:ind w:firstLine="8"/>
        <w:spacing w:after="0" w:line="232" w:lineRule="auto"/>
        <w:tabs>
          <w:tab w:leader="none" w:pos="509" w:val="left"/>
        </w:tabs>
        <w:numPr>
          <w:ilvl w:val="0"/>
          <w:numId w:val="5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 From the date hereof until six (6) months following the Closing Date, the Company shall be prohibited from effecting any issuance by the Company or any of its Subsidiaries of Ordinary Shares or Ordinary Share Equivalents (or a combination of units thereof) involving a Variable Rate Transaction and (ii) from the date hereof until forty-five days following the Closing Date, the Company shall be prohibited from entering into an agreement to effect any issuance by the Company or any of its Subsidiaries of Ordinary Shares or Ordinary Share Equivalents (or a combination of units thereof) involving a Variable Rate Transaction. “</w:t>
      </w:r>
      <w:r>
        <w:rPr>
          <w:rFonts w:ascii="Times New Roman" w:cs="Times New Roman" w:eastAsia="Times New Roman" w:hAnsi="Times New Roman"/>
          <w:sz w:val="22"/>
          <w:szCs w:val="22"/>
          <w:u w:val="single" w:color="auto"/>
          <w:color w:val="auto"/>
        </w:rPr>
        <w:t>Variable Rate Transaction</w:t>
      </w:r>
      <w:r>
        <w:rPr>
          <w:rFonts w:ascii="Times New Roman" w:cs="Times New Roman" w:eastAsia="Times New Roman" w:hAnsi="Times New Roman"/>
          <w:sz w:val="22"/>
          <w:szCs w:val="22"/>
          <w:color w:val="auto"/>
        </w:rPr>
        <w:t xml:space="preserve">” means a transaction (other than pursuant to an agreement already in existence at the date of this Agreement and described on </w:t>
      </w:r>
      <w:r>
        <w:rPr>
          <w:rFonts w:ascii="Times New Roman" w:cs="Times New Roman" w:eastAsia="Times New Roman" w:hAnsi="Times New Roman"/>
          <w:sz w:val="22"/>
          <w:szCs w:val="22"/>
          <w:u w:val="single" w:color="auto"/>
          <w:color w:val="auto"/>
        </w:rPr>
        <w:t>Schedule 3.1(g)</w:t>
      </w:r>
      <w:r>
        <w:rPr>
          <w:rFonts w:ascii="Times New Roman" w:cs="Times New Roman" w:eastAsia="Times New Roman" w:hAnsi="Times New Roman"/>
          <w:sz w:val="22"/>
          <w:szCs w:val="22"/>
          <w:color w:val="auto"/>
        </w:rPr>
        <w:t xml:space="preserve"> (not including the Yorkville SEPA) (provided that such agreements have not been amended since the date of this Agreement to increase the number of Ordinary Shares or Ordinary Share Equivalents or to decrease the exercise price, exchange price or conversion price of such agreements (other than in connection with stock splits or combinations) or to extend the term of such securities, but the number of Ordinary Shares or Ordinary Share Equivalents or exercise price, exchange price or conversion price may be adjusted in accordance with their terms)) in which the Company (i) issues or sells any debt or equity securities that are convertible into, exchangeable or exercisable for, or include the right to receive additional Ordinary Shares either (A) at a conversion price, exercise price or exchange rate or other price that is based upon and/or varies with the trading prices of or quotations for the Ordinary Shares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Ordinary Shares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after the prohibition period in Section 4.12(a) herein, (x) the entry into and/or issuance of Ordinary Shares in an “at-the-market” offering with the Placement Agent as sales agent shall not be deemed a Variable Rate Transaction, and (y) the sale of any Ordinary Shares by the Company pursuant to the Yorkville SEPA shall not be deemed a Variable Rate Transaction. Any Purchaser shall be entitled to obtain injunctive relief against the Company to preclude any such issuance, which remedy shall be in addition to any right to collect damages.</w:t>
      </w:r>
    </w:p>
    <w:p>
      <w:pPr>
        <w:spacing w:after="0" w:line="177" w:lineRule="exact"/>
        <w:rPr>
          <w:rFonts w:ascii="Times New Roman" w:cs="Times New Roman" w:eastAsia="Times New Roman" w:hAnsi="Times New Roman"/>
          <w:sz w:val="22"/>
          <w:szCs w:val="22"/>
          <w:u w:val="single" w:color="auto"/>
          <w:color w:val="auto"/>
        </w:rPr>
      </w:pPr>
    </w:p>
    <w:p>
      <w:pPr>
        <w:ind w:firstLine="8"/>
        <w:spacing w:after="0" w:line="258" w:lineRule="auto"/>
        <w:tabs>
          <w:tab w:leader="none" w:pos="509" w:val="left"/>
        </w:tabs>
        <w:numPr>
          <w:ilvl w:val="0"/>
          <w:numId w:val="5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Notwithstanding the foregoing, this Section 4.12 shall not apply in respect of an Exempt Issuance, except that no Variable Rate Transaction shall be an Exempt Issuance.</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4.13 Equal Treatment of Purchasers</w:t>
      </w:r>
      <w:r>
        <w:rPr>
          <w:rFonts w:ascii="Times New Roman" w:cs="Times New Roman" w:eastAsia="Times New Roman" w:hAnsi="Times New Roman"/>
          <w:sz w:val="22"/>
          <w:szCs w:val="22"/>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2" w:name="page53"/>
    <w:bookmarkEnd w:id="52"/>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auto"/>
        </w:rPr>
        <w:t>4.14 Certain Transactions and Confidentiality</w:t>
      </w:r>
      <w:r>
        <w:rPr>
          <w:rFonts w:ascii="Times New Roman" w:cs="Times New Roman" w:eastAsia="Times New Roman" w:hAnsi="Times New Roman"/>
          <w:sz w:val="22"/>
          <w:szCs w:val="22"/>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4.15 Exercise Procedures</w:t>
      </w:r>
      <w:r>
        <w:rPr>
          <w:rFonts w:ascii="Times New Roman" w:cs="Times New Roman" w:eastAsia="Times New Roman" w:hAnsi="Times New Roman"/>
          <w:sz w:val="22"/>
          <w:szCs w:val="22"/>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4.16 Lock-Up Agreements</w:t>
      </w:r>
      <w:r>
        <w:rPr>
          <w:rFonts w:ascii="Times New Roman" w:cs="Times New Roman" w:eastAsia="Times New Roman" w:hAnsi="Times New Roman"/>
          <w:sz w:val="22"/>
          <w:szCs w:val="22"/>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5.1 Termination</w:t>
      </w:r>
      <w:r>
        <w:rPr>
          <w:rFonts w:ascii="Times New Roman" w:cs="Times New Roman" w:eastAsia="Times New Roman" w:hAnsi="Times New Roman"/>
          <w:sz w:val="22"/>
          <w:szCs w:val="22"/>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Trading Day following the date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termination will affect the right of any party to sue for any breach by any other party (or parties).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5.2 Fees and Expenses</w:t>
      </w:r>
      <w:r>
        <w:rPr>
          <w:rFonts w:ascii="Times New Roman" w:cs="Times New Roman" w:eastAsia="Times New Roman" w:hAnsi="Times New Roman"/>
          <w:sz w:val="22"/>
          <w:szCs w:val="22"/>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5.3 Entire Agreement</w:t>
      </w:r>
      <w:r>
        <w:rPr>
          <w:rFonts w:ascii="Times New Roman" w:cs="Times New Roman" w:eastAsia="Times New Roman" w:hAnsi="Times New Roman"/>
          <w:sz w:val="22"/>
          <w:szCs w:val="22"/>
          <w:color w:val="auto"/>
        </w:rPr>
        <w:t>. The Transaction Documents, together with the exhibits and schedules thereto, the Pricing Prospectus and Prospectus,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u w:val="single" w:color="auto"/>
          <w:color w:val="auto"/>
        </w:rPr>
        <w:t>5.4 Notices</w:t>
      </w:r>
      <w:r>
        <w:rPr>
          <w:rFonts w:ascii="Times New Roman" w:cs="Times New Roman" w:eastAsia="Times New Roman" w:hAnsi="Times New Roman"/>
          <w:sz w:val="22"/>
          <w:szCs w:val="22"/>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5.5 Amendments; Waivers</w:t>
      </w:r>
      <w:r>
        <w:rPr>
          <w:rFonts w:ascii="Times New Roman" w:cs="Times New Roman" w:eastAsia="Times New Roman" w:hAnsi="Times New Roman"/>
          <w:sz w:val="22"/>
          <w:szCs w:val="22"/>
          <w:color w:val="auto"/>
        </w:rPr>
        <w:t>. No provision of this Agreement may be waived, modified, supplemented or amended except in a written instrument signed, in the case of an amendment, by the Company and Purchasers which purchased at least 50.1% in interest of the Shares and the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4" w:name="page55"/>
    <w:bookmarkEnd w:id="54"/>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each Purchaser and holder of Securities and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5.6 Headings</w:t>
      </w:r>
      <w:r>
        <w:rPr>
          <w:rFonts w:ascii="Times New Roman" w:cs="Times New Roman" w:eastAsia="Times New Roman" w:hAnsi="Times New Roman"/>
          <w:sz w:val="22"/>
          <w:szCs w:val="22"/>
          <w:color w:val="auto"/>
        </w:rPr>
        <w:t>. The headings herein are for convenience only, do not constitute a part of this Agreement and shall not be deemed to limit or affect any of the provisions hereof.</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u w:val="single" w:color="auto"/>
          <w:color w:val="auto"/>
        </w:rPr>
        <w:t>5.7 Successors and Assigns</w:t>
      </w:r>
      <w:r>
        <w:rPr>
          <w:rFonts w:ascii="Times New Roman" w:cs="Times New Roman" w:eastAsia="Times New Roman" w:hAnsi="Times New Roman"/>
          <w:sz w:val="21"/>
          <w:szCs w:val="21"/>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5.8 No Third-Party Beneficiaries</w:t>
      </w:r>
      <w:r>
        <w:rPr>
          <w:rFonts w:ascii="Times New Roman" w:cs="Times New Roman" w:eastAsia="Times New Roman" w:hAnsi="Times New Roman"/>
          <w:sz w:val="22"/>
          <w:szCs w:val="22"/>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7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auto"/>
        </w:rPr>
        <w:t>5.9 Governing Law</w:t>
      </w:r>
      <w:r>
        <w:rPr>
          <w:rFonts w:ascii="Times New Roman" w:cs="Times New Roman" w:eastAsia="Times New Roman" w:hAnsi="Times New Roman"/>
          <w:sz w:val="22"/>
          <w:szCs w:val="22"/>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5" w:name="page56"/>
    <w:bookmarkEnd w:id="55"/>
    <w:p>
      <w:pPr>
        <w:jc w:val="both"/>
        <w:ind w:firstLine="509"/>
        <w:spacing w:after="0" w:line="258" w:lineRule="auto"/>
        <w:rPr>
          <w:sz w:val="20"/>
          <w:szCs w:val="20"/>
          <w:color w:val="auto"/>
        </w:rPr>
      </w:pPr>
      <w:r>
        <w:rPr>
          <w:rFonts w:ascii="Times New Roman" w:cs="Times New Roman" w:eastAsia="Times New Roman" w:hAnsi="Times New Roman"/>
          <w:sz w:val="22"/>
          <w:szCs w:val="22"/>
          <w:color w:val="auto"/>
        </w:rPr>
        <w:t>its reasonable attorneys’ fees and other costs and expenses incurred with the investigation, preparation and prosecution of such Action or Proceeding.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5.10 Survival</w:t>
      </w:r>
      <w:r>
        <w:rPr>
          <w:rFonts w:ascii="Times New Roman" w:cs="Times New Roman" w:eastAsia="Times New Roman" w:hAnsi="Times New Roman"/>
          <w:sz w:val="22"/>
          <w:szCs w:val="22"/>
          <w:color w:val="auto"/>
        </w:rPr>
        <w:t>. The representations and warranties contained herein shall survive the Closing and the delivery of the Securities.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5.11 Execution</w:t>
      </w:r>
      <w:r>
        <w:rPr>
          <w:rFonts w:ascii="Times New Roman" w:cs="Times New Roman" w:eastAsia="Times New Roman" w:hAnsi="Times New Roman"/>
          <w:sz w:val="22"/>
          <w:szCs w:val="22"/>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spacing w:after="0" w:line="17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5.12 Severability</w:t>
      </w:r>
      <w:r>
        <w:rPr>
          <w:rFonts w:ascii="Times New Roman" w:cs="Times New Roman" w:eastAsia="Times New Roman" w:hAnsi="Times New Roman"/>
          <w:sz w:val="22"/>
          <w:szCs w:val="22"/>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u w:val="single" w:color="auto"/>
          <w:color w:val="auto"/>
        </w:rPr>
        <w:t>5.13 Rescission and Withdrawal Right</w:t>
      </w:r>
      <w:r>
        <w:rPr>
          <w:rFonts w:ascii="Times New Roman" w:cs="Times New Roman" w:eastAsia="Times New Roman" w:hAnsi="Times New Roman"/>
          <w:sz w:val="21"/>
          <w:szCs w:val="21"/>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case of a rescission of an exercise of a Warrant, the applicable Purchaser shall be required to return any Ordinary Shares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5.14 Replacement of Securities</w:t>
      </w:r>
      <w:r>
        <w:rPr>
          <w:rFonts w:ascii="Times New Roman" w:cs="Times New Roman" w:eastAsia="Times New Roman" w:hAnsi="Times New Roman"/>
          <w:sz w:val="22"/>
          <w:szCs w:val="22"/>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6" w:name="page57"/>
    <w:bookmarkEnd w:id="56"/>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5.15 Remedies</w:t>
      </w:r>
      <w:r>
        <w:rPr>
          <w:rFonts w:ascii="Times New Roman" w:cs="Times New Roman" w:eastAsia="Times New Roman" w:hAnsi="Times New Roman"/>
          <w:sz w:val="22"/>
          <w:szCs w:val="22"/>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5.16 Payment Set Aside</w:t>
      </w:r>
      <w:r>
        <w:rPr>
          <w:rFonts w:ascii="Times New Roman" w:cs="Times New Roman" w:eastAsia="Times New Roman" w:hAnsi="Times New Roman"/>
          <w:sz w:val="22"/>
          <w:szCs w:val="22"/>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u w:val="single" w:color="auto"/>
          <w:color w:val="auto"/>
        </w:rPr>
        <w:t>5.17 Independent Nature of Purchasers’ Obligations and Rights</w:t>
      </w:r>
      <w:r>
        <w:rPr>
          <w:rFonts w:ascii="Times New Roman" w:cs="Times New Roman" w:eastAsia="Times New Roman" w:hAnsi="Times New Roman"/>
          <w:sz w:val="21"/>
          <w:szCs w:val="21"/>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5.18 Liquidated Damages</w:t>
      </w:r>
      <w:r>
        <w:rPr>
          <w:rFonts w:ascii="Times New Roman" w:cs="Times New Roman" w:eastAsia="Times New Roman" w:hAnsi="Times New Roman"/>
          <w:sz w:val="22"/>
          <w:szCs w:val="22"/>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7" w:name="page58"/>
    <w:bookmarkEnd w:id="57"/>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5.19 Saturdays, Sundays, Holidays, etc.</w:t>
      </w:r>
      <w:r>
        <w:rPr>
          <w:rFonts w:ascii="Times New Roman" w:cs="Times New Roman" w:eastAsia="Times New Roman" w:hAnsi="Times New Roman"/>
          <w:sz w:val="22"/>
          <w:szCs w:val="22"/>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5.20 Construction</w:t>
      </w:r>
      <w:r>
        <w:rPr>
          <w:rFonts w:ascii="Times New Roman" w:cs="Times New Roman" w:eastAsia="Times New Roman" w:hAnsi="Times New Roman"/>
          <w:sz w:val="22"/>
          <w:szCs w:val="22"/>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stock splits, stock dividends, stock combinations and other similar transactions of the Ordinary Shares that occur after the date of this Agreement.</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u w:val="single" w:color="auto"/>
          <w:color w:val="auto"/>
        </w:rPr>
        <w:t>5.21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IN ANY ACTION, SUIT, OR PROCEEDING IN ANY JURISDICTION BROUGHT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BY ANY PARTY AGAINST ANY OTHER PARTY, THE PARTIES EACH KNOWINGLY AND INTENTIONALLY, TO THE GREATEST EXTENT PERMITTED BY APPLICABLE LAW, HEREBY ABSOLUTELY, UNCONDITIONALLY, IRREVOCABLY AND EXPRESSLY WAIVES FOREVER TRIAL BY JURY.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0"/>
        <w:spacing w:after="0" w:line="262" w:lineRule="auto"/>
        <w:rPr>
          <w:sz w:val="20"/>
          <w:szCs w:val="20"/>
          <w:color w:val="auto"/>
        </w:rPr>
      </w:pP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IN WITNESS WHEREOF, the parties hereto have caused this Securities Purchase Agreement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duly executed by their respective authorized signatories as of the date first indicated above.</w:t>
      </w:r>
    </w:p>
    <w:p>
      <w:pPr>
        <w:spacing w:after="0" w:line="374"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5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REZOLVE AI LIMITED</w:t>
            </w:r>
          </w:p>
        </w:tc>
        <w:tc>
          <w:tcPr>
            <w:tcW w:w="2720" w:type="dxa"/>
            <w:vAlign w:val="bottom"/>
            <w:gridSpan w:val="2"/>
          </w:tcPr>
          <w:p>
            <w:pPr>
              <w:ind w:left="1020"/>
              <w:spacing w:after="0"/>
              <w:rPr>
                <w:sz w:val="20"/>
                <w:szCs w:val="20"/>
                <w:color w:val="auto"/>
              </w:rPr>
            </w:pPr>
            <w:r>
              <w:rPr>
                <w:rFonts w:ascii="Times New Roman" w:cs="Times New Roman" w:eastAsia="Times New Roman" w:hAnsi="Times New Roman"/>
                <w:sz w:val="22"/>
                <w:szCs w:val="22"/>
                <w:color w:val="auto"/>
                <w:w w:val="96"/>
              </w:rPr>
              <w:t>Address for Notice:</w:t>
            </w:r>
          </w:p>
        </w:tc>
      </w:tr>
      <w:tr>
        <w:trPr>
          <w:trHeight w:val="722"/>
        </w:trPr>
        <w:tc>
          <w:tcPr>
            <w:tcW w:w="5880" w:type="dxa"/>
            <w:vAlign w:val="bottom"/>
          </w:tcPr>
          <w:p>
            <w:pPr>
              <w:spacing w:after="0"/>
              <w:rPr>
                <w:sz w:val="20"/>
                <w:szCs w:val="20"/>
                <w:color w:val="auto"/>
              </w:rPr>
            </w:pPr>
            <w:r>
              <w:rPr>
                <w:rFonts w:ascii="Times New Roman" w:cs="Times New Roman" w:eastAsia="Times New Roman" w:hAnsi="Times New Roman"/>
                <w:sz w:val="22"/>
                <w:szCs w:val="22"/>
                <w:color w:val="auto"/>
              </w:rPr>
              <w:t>By:__________________________________________</w:t>
            </w:r>
          </w:p>
        </w:tc>
        <w:tc>
          <w:tcPr>
            <w:tcW w:w="102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r>
      <w:tr>
        <w:trPr>
          <w:trHeight w:val="243"/>
        </w:trPr>
        <w:tc>
          <w:tcPr>
            <w:tcW w:w="58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Name:</w:t>
            </w:r>
          </w:p>
        </w:tc>
        <w:tc>
          <w:tcPr>
            <w:tcW w:w="2720" w:type="dxa"/>
            <w:vAlign w:val="bottom"/>
            <w:gridSpan w:val="2"/>
          </w:tcPr>
          <w:p>
            <w:pPr>
              <w:ind w:left="1020"/>
              <w:spacing w:after="0" w:line="243" w:lineRule="exact"/>
              <w:rPr>
                <w:sz w:val="20"/>
                <w:szCs w:val="20"/>
                <w:color w:val="auto"/>
              </w:rPr>
            </w:pPr>
            <w:r>
              <w:rPr>
                <w:rFonts w:ascii="Times New Roman" w:cs="Times New Roman" w:eastAsia="Times New Roman" w:hAnsi="Times New Roman"/>
                <w:sz w:val="22"/>
                <w:szCs w:val="22"/>
                <w:color w:val="auto"/>
              </w:rPr>
              <w:t>E-Mail:</w:t>
            </w:r>
          </w:p>
        </w:tc>
      </w:tr>
      <w:tr>
        <w:trPr>
          <w:trHeight w:val="282"/>
        </w:trPr>
        <w:tc>
          <w:tcPr>
            <w:tcW w:w="58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Title:</w:t>
            </w:r>
          </w:p>
        </w:tc>
        <w:tc>
          <w:tcPr>
            <w:tcW w:w="10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729"/>
        </w:trPr>
        <w:tc>
          <w:tcPr>
            <w:tcW w:w="5880" w:type="dxa"/>
            <w:vAlign w:val="bottom"/>
          </w:tcPr>
          <w:p>
            <w:pPr>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tc>
        <w:tc>
          <w:tcPr>
            <w:tcW w:w="10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FOR PURCHASER FOLLOWS]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22"/>
          <w:szCs w:val="22"/>
          <w:color w:val="auto"/>
        </w:rPr>
        <w:t>[PURCHASER SIGNATURE PAGES TO RZLV SECURITIES PURCHASE AGREEMENT]</w:t>
      </w:r>
    </w:p>
    <w:p>
      <w:pPr>
        <w:spacing w:after="0" w:line="23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have caused this Securities Purchase Agreement to be duly executed by their respective authorized signatories as of the date first indicated above.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Purchaser: ________________________________________________________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Authorized Signatory of Purchaser</w:t>
      </w:r>
      <w:r>
        <w:rPr>
          <w:rFonts w:ascii="Times New Roman" w:cs="Times New Roman" w:eastAsia="Times New Roman" w:hAnsi="Times New Roman"/>
          <w:sz w:val="22"/>
          <w:szCs w:val="22"/>
          <w:color w:val="auto"/>
        </w:rPr>
        <w:t>: _________________________________</w:t>
      </w:r>
    </w:p>
    <w:p>
      <w:pPr>
        <w:spacing w:after="0" w:line="230" w:lineRule="auto"/>
        <w:rPr>
          <w:sz w:val="20"/>
          <w:szCs w:val="20"/>
          <w:color w:val="auto"/>
        </w:rPr>
      </w:pPr>
      <w:r>
        <w:rPr>
          <w:rFonts w:ascii="Times New Roman" w:cs="Times New Roman" w:eastAsia="Times New Roman" w:hAnsi="Times New Roman"/>
          <w:sz w:val="22"/>
          <w:szCs w:val="22"/>
          <w:color w:val="auto"/>
        </w:rPr>
        <w:t>Name of Authorized Signatory: _______________________________________________</w:t>
      </w:r>
    </w:p>
    <w:p>
      <w:pPr>
        <w:spacing w:after="0" w:line="231" w:lineRule="auto"/>
        <w:rPr>
          <w:sz w:val="20"/>
          <w:szCs w:val="20"/>
          <w:color w:val="auto"/>
        </w:rPr>
      </w:pPr>
      <w:r>
        <w:rPr>
          <w:rFonts w:ascii="Times New Roman" w:cs="Times New Roman" w:eastAsia="Times New Roman" w:hAnsi="Times New Roman"/>
          <w:sz w:val="22"/>
          <w:szCs w:val="22"/>
          <w:color w:val="auto"/>
        </w:rPr>
        <w:t>Title of Authorized Signatory: ________________________________________________</w:t>
      </w:r>
    </w:p>
    <w:p>
      <w:pPr>
        <w:spacing w:after="0" w:line="230" w:lineRule="auto"/>
        <w:rPr>
          <w:sz w:val="20"/>
          <w:szCs w:val="20"/>
          <w:color w:val="auto"/>
        </w:rPr>
      </w:pPr>
      <w:r>
        <w:rPr>
          <w:rFonts w:ascii="Times New Roman" w:cs="Times New Roman" w:eastAsia="Times New Roman" w:hAnsi="Times New Roman"/>
          <w:sz w:val="22"/>
          <w:szCs w:val="22"/>
          <w:color w:val="auto"/>
        </w:rPr>
        <w:t>Email Address of Authorized Signatory:_________________________________________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Notice to Purchaser: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Delivery of Warrants to Purchaser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Subscription Amount: $_________________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 _________________</w:t>
      </w:r>
    </w:p>
    <w:p>
      <w:pPr>
        <w:sectPr>
          <w:pgSz w:w="11900" w:h="16838" w:orient="portrait"/>
          <w:cols w:equalWidth="0" w:num="1">
            <w:col w:w="11240"/>
          </w:cols>
          <w:pgMar w:left="320" w:top="1408" w:right="339" w:bottom="1440" w:gutter="0" w:footer="0" w:header="0"/>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Pre-Funded Warrants: _______________</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Beneficial Ownership Blocker </w:t>
      </w:r>
      <w:r>
        <w:rPr>
          <w:rFonts w:ascii="Wingdings" w:cs="Wingdings" w:eastAsia="Wingdings" w:hAnsi="Wingdings"/>
          <w:sz w:val="21"/>
          <w:szCs w:val="21"/>
          <w:b w:val="1"/>
          <w:bCs w:val="1"/>
          <w:color w:val="auto"/>
        </w:rPr>
        <w:t></w:t>
      </w:r>
      <w:r>
        <w:rPr>
          <w:rFonts w:ascii="Times New Roman" w:cs="Times New Roman" w:eastAsia="Times New Roman" w:hAnsi="Times New Roman"/>
          <w:sz w:val="21"/>
          <w:szCs w:val="21"/>
          <w:color w:val="auto"/>
        </w:rPr>
        <w:t xml:space="preserve"> 4.99% or </w:t>
      </w:r>
      <w:r>
        <w:rPr>
          <w:rFonts w:ascii="Wingdings" w:cs="Wingdings" w:eastAsia="Wingdings" w:hAnsi="Wingdings"/>
          <w:sz w:val="21"/>
          <w:szCs w:val="21"/>
          <w:b w:val="1"/>
          <w:bCs w:val="1"/>
          <w:color w:val="auto"/>
        </w:rPr>
        <w:t></w:t>
      </w:r>
      <w:r>
        <w:rPr>
          <w:rFonts w:ascii="Times New Roman" w:cs="Times New Roman" w:eastAsia="Times New Roman" w:hAnsi="Times New Roman"/>
          <w:sz w:val="21"/>
          <w:szCs w:val="21"/>
          <w:color w:val="auto"/>
        </w:rPr>
        <w:t xml:space="preserve"> 9.99%</w:t>
      </w:r>
    </w:p>
    <w:p>
      <w:pPr>
        <w:spacing w:after="0" w:line="200" w:lineRule="exact"/>
        <w:rPr>
          <w:sz w:val="20"/>
          <w:szCs w:val="20"/>
          <w:color w:val="auto"/>
        </w:rPr>
      </w:pPr>
    </w:p>
    <w:p>
      <w:pPr>
        <w:sectPr>
          <w:pgSz w:w="11900" w:h="16838" w:orient="portrait"/>
          <w:cols w:equalWidth="0" w:num="2">
            <w:col w:w="3580" w:space="220"/>
            <w:col w:w="7440"/>
          </w:cols>
          <w:pgMar w:left="320" w:top="1408" w:right="3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Ordinary Warrant Shares: _____________</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Beneficial Ownership Blocker </w:t>
      </w:r>
      <w:r>
        <w:rPr>
          <w:rFonts w:ascii="Wingdings" w:cs="Wingdings" w:eastAsia="Wingdings" w:hAnsi="Wingdings"/>
          <w:sz w:val="21"/>
          <w:szCs w:val="21"/>
          <w:b w:val="1"/>
          <w:bCs w:val="1"/>
          <w:color w:val="auto"/>
        </w:rPr>
        <w:t></w:t>
      </w:r>
      <w:r>
        <w:rPr>
          <w:rFonts w:ascii="Times New Roman" w:cs="Times New Roman" w:eastAsia="Times New Roman" w:hAnsi="Times New Roman"/>
          <w:sz w:val="21"/>
          <w:szCs w:val="21"/>
          <w:color w:val="auto"/>
        </w:rPr>
        <w:t xml:space="preserve"> 4.99% or </w:t>
      </w:r>
      <w:r>
        <w:rPr>
          <w:rFonts w:ascii="Wingdings" w:cs="Wingdings" w:eastAsia="Wingdings" w:hAnsi="Wingdings"/>
          <w:sz w:val="21"/>
          <w:szCs w:val="21"/>
          <w:b w:val="1"/>
          <w:bCs w:val="1"/>
          <w:color w:val="auto"/>
        </w:rPr>
        <w:t></w:t>
      </w:r>
      <w:r>
        <w:rPr>
          <w:rFonts w:ascii="Times New Roman" w:cs="Times New Roman" w:eastAsia="Times New Roman" w:hAnsi="Times New Roman"/>
          <w:sz w:val="21"/>
          <w:szCs w:val="21"/>
          <w:color w:val="auto"/>
        </w:rPr>
        <w:t xml:space="preserve"> 9.99%</w:t>
      </w:r>
    </w:p>
    <w:p>
      <w:pPr>
        <w:spacing w:after="0" w:line="200" w:lineRule="exact"/>
        <w:rPr>
          <w:sz w:val="20"/>
          <w:szCs w:val="20"/>
          <w:color w:val="auto"/>
        </w:rPr>
      </w:pPr>
    </w:p>
    <w:p>
      <w:pPr>
        <w:sectPr>
          <w:pgSz w:w="11900" w:h="16838" w:orient="portrait"/>
          <w:cols w:equalWidth="0" w:num="2">
            <w:col w:w="3680" w:space="220"/>
            <w:col w:w="7340"/>
          </w:cols>
          <w:pgMar w:left="320" w:top="1408" w:right="3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EIN Number: _______________________</w:t>
      </w:r>
    </w:p>
    <w:p>
      <w:pPr>
        <w:sectPr>
          <w:pgSz w:w="11900" w:h="16838" w:orient="portrait"/>
          <w:cols w:equalWidth="0" w:num="1">
            <w:col w:w="11240"/>
          </w:cols>
          <w:pgMar w:left="320" w:top="1408" w:right="339" w:bottom="1440" w:gutter="0" w:footer="0" w:header="0"/>
          <w:type w:val="continuous"/>
        </w:sectPr>
      </w:pPr>
    </w:p>
    <w:p>
      <w:pPr>
        <w:spacing w:after="0" w:line="254" w:lineRule="exact"/>
        <w:rPr>
          <w:sz w:val="20"/>
          <w:szCs w:val="20"/>
          <w:color w:val="auto"/>
        </w:rPr>
      </w:pPr>
    </w:p>
    <w:p>
      <w:pPr>
        <w:jc w:val="both"/>
        <w:ind w:firstLine="8"/>
        <w:spacing w:after="0" w:line="246" w:lineRule="auto"/>
        <w:tabs>
          <w:tab w:leader="none" w:pos="288" w:val="left"/>
        </w:tabs>
        <w:numPr>
          <w:ilvl w:val="0"/>
          <w:numId w:val="5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Trading Day following the date of this Agreement (or the second (2nd) Trading Day following the date of this Agreement if this Agreement is signed on a day that is not a Trading Day or after 4:00 p.m. (New York City time) and before midnight (New York City time) on a Trading Day)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CONTINUE]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59" w:name="page60"/>
    <w:bookmarkEnd w:id="59"/>
    <w:p>
      <w:pPr>
        <w:jc w:val="center"/>
        <w:ind w:right="-1100"/>
        <w:spacing w:after="0"/>
        <w:rPr>
          <w:sz w:val="20"/>
          <w:szCs w:val="20"/>
          <w:color w:val="auto"/>
        </w:rPr>
      </w:pPr>
      <w:r>
        <w:rPr>
          <w:rFonts w:ascii="Times New Roman" w:cs="Times New Roman" w:eastAsia="Times New Roman" w:hAnsi="Times New Roman"/>
          <w:sz w:val="22"/>
          <w:szCs w:val="22"/>
          <w:color w:val="auto"/>
        </w:rPr>
        <w:t>Schedule I</w:t>
      </w:r>
    </w:p>
    <w:p>
      <w:pPr>
        <w:spacing w:after="0" w:line="233" w:lineRule="exact"/>
        <w:rPr>
          <w:sz w:val="20"/>
          <w:szCs w:val="20"/>
          <w:color w:val="auto"/>
        </w:rPr>
      </w:pPr>
    </w:p>
    <w:p>
      <w:pPr>
        <w:jc w:val="right"/>
        <w:ind w:right="3479"/>
        <w:spacing w:after="0"/>
        <w:rPr>
          <w:sz w:val="20"/>
          <w:szCs w:val="20"/>
          <w:color w:val="auto"/>
        </w:rPr>
      </w:pPr>
      <w:r>
        <w:rPr>
          <w:rFonts w:ascii="Times New Roman" w:cs="Times New Roman" w:eastAsia="Times New Roman" w:hAnsi="Times New Roman"/>
          <w:sz w:val="22"/>
          <w:szCs w:val="22"/>
          <w:color w:val="auto"/>
        </w:rPr>
        <w:t>Free Writing Prospectus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60" w:name="page61"/>
    <w:bookmarkEnd w:id="60"/>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Rezolve Ai Announces Pricing of $15 Million Registered Offering</w:t>
      </w:r>
    </w:p>
    <w:p>
      <w:pPr>
        <w:spacing w:after="0" w:line="22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New York, December 19, 2024 </w:t>
      </w:r>
      <w:r>
        <w:rPr>
          <w:rFonts w:ascii="Arial" w:cs="Arial" w:eastAsia="Arial" w:hAnsi="Arial"/>
          <w:sz w:val="20"/>
          <w:szCs w:val="20"/>
          <w:color w:val="auto"/>
        </w:rPr>
        <w:t>-- Rezolve Ai (NASDAQ: RZLV) (the “Company), a global leader in AI-driven retail innovation,</w:t>
      </w:r>
      <w:r>
        <w:rPr>
          <w:rFonts w:ascii="Arial" w:cs="Arial" w:eastAsia="Arial" w:hAnsi="Arial"/>
          <w:sz w:val="20"/>
          <w:szCs w:val="20"/>
          <w:b w:val="1"/>
          <w:bCs w:val="1"/>
          <w:color w:val="auto"/>
        </w:rPr>
        <w:t xml:space="preserve"> </w:t>
      </w:r>
      <w:r>
        <w:rPr>
          <w:rFonts w:ascii="Arial" w:cs="Arial" w:eastAsia="Arial" w:hAnsi="Arial"/>
          <w:sz w:val="20"/>
          <w:szCs w:val="20"/>
          <w:color w:val="auto"/>
        </w:rPr>
        <w:t>today announced that it has entered into definitive agreements for the purchase and sale of 5,000,000 of the Company’s ordinary shares (or pre-funded warrants in lieu thereof) and warrants to purchase up to 5,000,000 ordinary shares at a purchase price of $3.00 per share (or per pre-funded warrant in lieu thereof) and accompanying warrant in a registered offering. The warrants will have an exercise price of $3.00 per share, will be exercisable immediately upon issuance and will expire on the earlier of (i) thirty days after the volume weighted average price of the ordinary shares is at or above $6.00 for five consecutive trading days and (ii) five years from the date of issuance. The closing of the offering is expected to occur on or about December 23, 2024, subject to the satisfaction of customary closing conditions.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H.C. Wainwright &amp; Co. is acting as the exclusive placement agent for the offering.</w:t>
      </w:r>
    </w:p>
    <w:p>
      <w:pPr>
        <w:spacing w:after="0" w:line="202"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gross proceeds from the offering, before deducting the placement agent’s fees and other offering expenses, are expected to be $15 million.</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securities described above are being offered pursuant to a registration statement on Form F-1 (File No. 333-283622), which was declared effective by the Securities and Exchange Commission (the “SEC”) on December 19, 2024. The offering is being made only by means of a prospectus forming part of the effective registration statement relating to the offering. A preliminary prospectus relating to the offering has been filed with the SEC. Electronic copies of the final prospectus, when available, may be obtained on the SEC’s website at http://www.sec.gov and may also be obtained by contacting H.C. Wainwright &amp; Co., LLC at 430 Park Avenue, 3rd Floor, New York, NY 10022, by phone at (212) 856-5711 or e-mail at placements@hcwco.com.</w:t>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press release shall not constitute an offer to sell or a solicitation of an offer to buy any of the securities described herein,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Rezolve Ai</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Rezolve Ai (NASDAQ: RZLV) is a leader in AI-powered solutions for commerce and retail, focused on transforming customer engagement, streamlining transactions, and driving revenue growth. The company’s Brain Suite of products - Brain Commerce, Brain Checkout, and Brain Assistant - harness the power of AI to provide personalized, frictionless shopping experiences and improve business outcomes for retailers and brands worldwide. Partnering with industry giants like Tether, Microsoft, and Google, Rezolve is pioneering the future of commerce. For more information, visit www.rezolve.com.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Rezolve Ai</w:t>
      </w:r>
    </w:p>
    <w:p>
      <w:pPr>
        <w:spacing w:after="0" w:line="231" w:lineRule="auto"/>
        <w:rPr>
          <w:sz w:val="20"/>
          <w:szCs w:val="20"/>
          <w:color w:val="auto"/>
        </w:rPr>
      </w:pPr>
      <w:r>
        <w:rPr>
          <w:rFonts w:ascii="Arial" w:cs="Arial" w:eastAsia="Arial" w:hAnsi="Arial"/>
          <w:sz w:val="20"/>
          <w:szCs w:val="20"/>
          <w:color w:val="auto"/>
        </w:rPr>
        <w:t>Urmee Khan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Global Head of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rPr>
          <w:sz w:val="20"/>
          <w:szCs w:val="20"/>
          <w:color w:val="auto"/>
        </w:rPr>
      </w:pPr>
      <w:r>
        <w:rPr>
          <w:rFonts w:ascii="Arial" w:cs="Arial" w:eastAsia="Arial" w:hAnsi="Arial"/>
          <w:sz w:val="20"/>
          <w:szCs w:val="20"/>
          <w:color w:val="auto"/>
        </w:rPr>
        <w:t>urmeekhan@rezolve.com</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+44 7576 094 040</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31" w:lineRule="auto"/>
        <w:rPr>
          <w:sz w:val="20"/>
          <w:szCs w:val="20"/>
          <w:color w:val="auto"/>
        </w:rPr>
      </w:pPr>
      <w:r>
        <w:rPr>
          <w:rFonts w:ascii="Arial" w:cs="Arial" w:eastAsia="Arial" w:hAnsi="Arial"/>
          <w:sz w:val="20"/>
          <w:szCs w:val="20"/>
          <w:color w:val="auto"/>
        </w:rPr>
        <w:t>CORE IR</w:t>
      </w:r>
    </w:p>
    <w:p>
      <w:pPr>
        <w:spacing w:after="0" w:line="226" w:lineRule="auto"/>
        <w:rPr>
          <w:sz w:val="20"/>
          <w:szCs w:val="20"/>
          <w:color w:val="auto"/>
        </w:rPr>
      </w:pPr>
      <w:r>
        <w:rPr>
          <w:rFonts w:ascii="Arial" w:cs="Arial" w:eastAsia="Arial" w:hAnsi="Arial"/>
          <w:sz w:val="20"/>
          <w:szCs w:val="20"/>
          <w:color w:val="auto"/>
        </w:rPr>
        <w:t>+15162222560</w:t>
      </w:r>
    </w:p>
    <w:p>
      <w:pPr>
        <w:spacing w:after="0"/>
        <w:rPr>
          <w:sz w:val="20"/>
          <w:szCs w:val="20"/>
          <w:color w:val="auto"/>
        </w:rPr>
      </w:pPr>
      <w:r>
        <w:rPr>
          <w:rFonts w:ascii="Arial" w:cs="Arial" w:eastAsia="Arial" w:hAnsi="Arial"/>
          <w:sz w:val="20"/>
          <w:szCs w:val="20"/>
          <w:color w:val="auto"/>
        </w:rPr>
        <w:t>investors@rezolve.com</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Certain statements in this press release may be forward looking in nature within the meaning of Section 27A of the Securities Act of 1933, as amended (the “Securities Act”), Section 21E of the Securities Exchange Act of 1934, as amended (the “Exchange Act”) and the safe harbor provisions of the U.S. Private Securities Litigation Reform Act of 1995.Words such as “expect”, “estimate”, “project”, “budget”, “forecast”, “anticipate”, “intend”, “plan”, “may”, “will”, “could”, “should”, “believes”, “predicts”, “potential”, “continue”, and similar expressions are intended to identify such forward-looking statements. These statements include, without limitation, statements regarding the offering and closing of the offering. The matters discussed in these forward-looking statements are subject to a number of risks, trends and uncertainties that could cause actual results to differ materially from those projected, anticipated or implied in the forward-looking statements. You are cautioned not place undue reliance on these forward-looking statements. None of Rezolve nor any other person is responsible for updating or revising any forward-looking statements, whether as a result of new information, future events or otherwise, except as required by law.</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lowerLetter"/>
      <w:start w:val="1"/>
    </w:lvl>
  </w:abstractNum>
  <w:abstractNum w:abstractNumId="1">
    <w:nsid w:val="2CA88611"/>
    <w:multiLevelType w:val="hybridMultilevel"/>
    <w:lvl w:ilvl="0">
      <w:lvlJc w:val="left"/>
      <w:lvlText w:val="%1)"/>
      <w:numFmt w:val="lowerLetter"/>
      <w:start w:val="2"/>
    </w:lvl>
    <w:lvl w:ilvl="1">
      <w:lvlJc w:val="left"/>
      <w:lvlText w:val="%2."/>
      <w:numFmt w:val="lowerRoman"/>
      <w:start w:val="1"/>
    </w:lvl>
  </w:abstractNum>
  <w:abstractNum w:abstractNumId="2">
    <w:nsid w:val="836C40E"/>
    <w:multiLevelType w:val="hybridMultilevel"/>
    <w:lvl w:ilvl="0">
      <w:lvlJc w:val="left"/>
      <w:lvlText w:val="%1."/>
      <w:numFmt w:val="lowerRoman"/>
      <w:start w:val="2"/>
    </w:lvl>
    <w:lvl w:ilvl="1">
      <w:lvlJc w:val="left"/>
      <w:lvlText w:val="%2."/>
      <w:numFmt w:val="lowerRoman"/>
      <w:start w:val="3"/>
    </w:lvl>
  </w:abstractNum>
  <w:abstractNum w:abstractNumId="3">
    <w:nsid w:val="2901D82"/>
    <w:multiLevelType w:val="hybridMultilevel"/>
    <w:lvl w:ilvl="0">
      <w:lvlJc w:val="left"/>
      <w:lvlText w:val="%1"/>
      <w:numFmt w:val="lowerLetter"/>
      <w:start w:val="1"/>
    </w:lvl>
    <w:lvl w:ilvl="1">
      <w:lvlJc w:val="left"/>
      <w:lvlText w:val="%2."/>
      <w:numFmt w:val="lowerRoman"/>
      <w:start w:val="6"/>
    </w:lvl>
  </w:abstractNum>
  <w:abstractNum w:abstractNumId="4">
    <w:nsid w:val="3A95F874"/>
    <w:multiLevelType w:val="hybridMultilevel"/>
    <w:lvl w:ilvl="0">
      <w:lvlJc w:val="left"/>
      <w:lvlText w:val="%1)"/>
      <w:numFmt w:val="lowerLetter"/>
      <w:start w:val="5"/>
    </w:lvl>
    <w:lvl w:ilvl="1">
      <w:lvlJc w:val="left"/>
      <w:lvlText w:val="%2"/>
      <w:numFmt w:val="lowerRoman"/>
      <w:start w:val="1"/>
    </w:lvl>
  </w:abstractNum>
  <w:abstractNum w:abstractNumId="5">
    <w:nsid w:val="8138641"/>
    <w:multiLevelType w:val="hybridMultilevel"/>
    <w:lvl w:ilvl="0">
      <w:lvlJc w:val="left"/>
      <w:lvlText w:val="(%1)"/>
      <w:numFmt w:val="upperLetter"/>
      <w:start w:val="1"/>
    </w:lvl>
  </w:abstractNum>
  <w:abstractNum w:abstractNumId="6">
    <w:nsid w:val="1E7FF521"/>
    <w:multiLevelType w:val="hybridMultilevel"/>
    <w:lvl w:ilvl="0">
      <w:lvlJc w:val="left"/>
      <w:lvlText w:val="%1)"/>
      <w:numFmt w:val="lowerLetter"/>
      <w:start w:val="1"/>
    </w:lvl>
  </w:abstractNum>
  <w:abstractNum w:abstractNumId="7">
    <w:nsid w:val="7C3DBD3D"/>
    <w:multiLevelType w:val="hybridMultilevel"/>
    <w:lvl w:ilvl="0">
      <w:lvlJc w:val="left"/>
      <w:lvlText w:val="%1)"/>
      <w:numFmt w:val="lowerLetter"/>
      <w:start w:val="4"/>
    </w:lvl>
  </w:abstractNum>
  <w:abstractNum w:abstractNumId="8">
    <w:nsid w:val="737B8DDC"/>
    <w:multiLevelType w:val="hybridMultilevel"/>
    <w:lvl w:ilvl="0">
      <w:lvlJc w:val="left"/>
      <w:lvlText w:val="%1)"/>
      <w:numFmt w:val="lowerLetter"/>
      <w:start w:val="5"/>
    </w:lvl>
    <w:lvl w:ilvl="1">
      <w:lvlJc w:val="left"/>
      <w:lvlText w:val="%2."/>
      <w:numFmt w:val="lowerRoman"/>
      <w:start w:val="1"/>
    </w:lvl>
  </w:abstractNum>
  <w:abstractNum w:abstractNumId="9">
    <w:nsid w:val="6CEAF087"/>
    <w:multiLevelType w:val="hybridMultilevel"/>
    <w:lvl w:ilvl="0">
      <w:lvlJc w:val="left"/>
      <w:lvlText w:val="%1)"/>
      <w:numFmt w:val="lowerLetter"/>
      <w:start w:val="7"/>
    </w:lvl>
  </w:abstractNum>
  <w:abstractNum w:abstractNumId="10">
    <w:nsid w:val="22221A70"/>
    <w:multiLevelType w:val="hybridMultilevel"/>
    <w:lvl w:ilvl="0">
      <w:lvlJc w:val="left"/>
      <w:lvlText w:val="%1)"/>
      <w:numFmt w:val="lowerLetter"/>
      <w:start w:val="1"/>
    </w:lvl>
  </w:abstractNum>
  <w:abstractNum w:abstractNumId="11">
    <w:nsid w:val="4516DDE9"/>
    <w:multiLevelType w:val="hybridMultilevel"/>
    <w:lvl w:ilvl="0">
      <w:lvlJc w:val="left"/>
      <w:lvlText w:val="%1)"/>
      <w:numFmt w:val="lowerLetter"/>
      <w:start w:val="2"/>
    </w:lvl>
  </w:abstractNum>
  <w:abstractNum w:abstractNumId="12">
    <w:nsid w:val="3006C83E"/>
    <w:multiLevelType w:val="hybridMultilevel"/>
    <w:lvl w:ilvl="0">
      <w:lvlJc w:val="left"/>
      <w:lvlText w:val="%1)"/>
      <w:numFmt w:val="lowerLetter"/>
      <w:start w:val="1"/>
    </w:lvl>
  </w:abstractNum>
  <w:abstractNum w:abstractNumId="13">
    <w:nsid w:val="614FD4A1"/>
    <w:multiLevelType w:val="hybridMultilevel"/>
    <w:lvl w:ilvl="0">
      <w:lvlJc w:val="left"/>
      <w:lvlText w:val="%1)"/>
      <w:numFmt w:val="lowerLetter"/>
      <w:start w:val="4"/>
    </w:lvl>
  </w:abstractNum>
  <w:abstractNum w:abstractNumId="14">
    <w:nsid w:val="419AC241"/>
    <w:multiLevelType w:val="hybridMultilevel"/>
    <w:lvl w:ilvl="0">
      <w:lvlJc w:val="left"/>
      <w:lvlText w:val="%1)"/>
      <w:numFmt w:val="lowerLetter"/>
      <w:start w:val="5"/>
    </w:lvl>
  </w:abstractNum>
  <w:abstractNum w:abstractNumId="15">
    <w:nsid w:val="5577F8E1"/>
    <w:multiLevelType w:val="hybridMultilevel"/>
    <w:lvl w:ilvl="0">
      <w:lvlJc w:val="left"/>
      <w:lvlText w:val="%1)"/>
      <w:numFmt w:val="lowerLetter"/>
      <w:start w:val="6"/>
    </w:lvl>
  </w:abstractNum>
  <w:abstractNum w:abstractNumId="16">
    <w:nsid w:val="440BADFC"/>
    <w:multiLevelType w:val="hybridMultilevel"/>
    <w:lvl w:ilvl="0">
      <w:lvlJc w:val="left"/>
      <w:lvlText w:val="%1)"/>
      <w:numFmt w:val="lowerLetter"/>
      <w:start w:val="9"/>
    </w:lvl>
  </w:abstractNum>
  <w:abstractNum w:abstractNumId="17">
    <w:nsid w:val="5072367"/>
    <w:multiLevelType w:val="hybridMultilevel"/>
    <w:lvl w:ilvl="0">
      <w:lvlJc w:val="left"/>
      <w:lvlText w:val="%1)"/>
      <w:numFmt w:val="lowerLetter"/>
      <w:start w:val="14"/>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lowerLetter"/>
      <w:start w:val="1"/>
    </w:lvl>
    <w:lvl w:ilvl="1">
      <w:lvlJc w:val="left"/>
      <w:lvlText w:val="(%2)"/>
      <w:numFmt w:val="lowerLetter"/>
      <w:start w:val="9"/>
    </w:lvl>
  </w:abstractNum>
  <w:abstractNum w:abstractNumId="20">
    <w:nsid w:val="7724C67E"/>
    <w:multiLevelType w:val="hybridMultilevel"/>
    <w:lvl w:ilvl="0">
      <w:lvlJc w:val="left"/>
      <w:lvlText w:val="(%1)"/>
      <w:numFmt w:val="lowerRoman"/>
      <w:start w:val="2"/>
    </w:lvl>
  </w:abstractNum>
  <w:abstractNum w:abstractNumId="21">
    <w:nsid w:val="5C482A97"/>
    <w:multiLevelType w:val="hybridMultilevel"/>
    <w:lvl w:ilvl="0">
      <w:lvlJc w:val="left"/>
      <w:lvlText w:val="(%1)"/>
      <w:numFmt w:val="lowerRoman"/>
      <w:start w:val="5"/>
    </w:lvl>
  </w:abstractNum>
  <w:abstractNum w:abstractNumId="22">
    <w:nsid w:val="2463B9EA"/>
    <w:multiLevelType w:val="hybridMultilevel"/>
    <w:lvl w:ilvl="0">
      <w:lvlJc w:val="left"/>
      <w:lvlText w:val="(%1)"/>
      <w:numFmt w:val="lowerLetter"/>
      <w:start w:val="2"/>
    </w:lvl>
    <w:lvl w:ilvl="1">
      <w:lvlJc w:val="left"/>
      <w:lvlText w:val="(%2)"/>
      <w:numFmt w:val="lowerRoman"/>
      <w:start w:val="1"/>
    </w:lvl>
  </w:abstractNum>
  <w:abstractNum w:abstractNumId="23">
    <w:nsid w:val="5E884ADC"/>
    <w:multiLevelType w:val="hybridMultilevel"/>
    <w:lvl w:ilvl="0">
      <w:lvlJc w:val="left"/>
      <w:lvlText w:val="(%1)"/>
      <w:numFmt w:val="lowerLetter"/>
      <w:start w:val="1"/>
    </w:lvl>
    <w:lvl w:ilvl="1">
      <w:lvlJc w:val="left"/>
      <w:lvlText w:val="(%2)"/>
      <w:numFmt w:val="lowerLetter"/>
      <w:start w:val="9"/>
    </w:lvl>
  </w:abstractNum>
  <w:abstractNum w:abstractNumId="24">
    <w:nsid w:val="51EAD36B"/>
    <w:multiLevelType w:val="hybridMultilevel"/>
    <w:lvl w:ilvl="0">
      <w:lvlJc w:val="left"/>
      <w:lvlText w:val="(%1)"/>
      <w:numFmt w:val="lowerRoman"/>
      <w:start w:val="2"/>
    </w:lvl>
  </w:abstractNum>
  <w:abstractNum w:abstractNumId="25">
    <w:nsid w:val="2D517796"/>
    <w:multiLevelType w:val="hybridMultilevel"/>
    <w:lvl w:ilvl="0">
      <w:lvlJc w:val="left"/>
      <w:lvlText w:val="(%1)"/>
      <w:numFmt w:val="lowerLetter"/>
      <w:start w:val="2"/>
    </w:lvl>
    <w:lvl w:ilvl="1">
      <w:lvlJc w:val="left"/>
      <w:lvlText w:val="(%2)"/>
      <w:numFmt w:val="lowerRoman"/>
      <w:start w:val="1"/>
    </w:lvl>
  </w:abstractNum>
  <w:abstractNum w:abstractNumId="26">
    <w:nsid w:val="580BD78F"/>
    <w:multiLevelType w:val="hybridMultilevel"/>
    <w:lvl w:ilvl="0">
      <w:lvlJc w:val="left"/>
      <w:lvlText w:val="(%1)"/>
      <w:numFmt w:val="lowerRoman"/>
      <w:start w:val="5"/>
    </w:lvl>
  </w:abstractNum>
  <w:abstractNum w:abstractNumId="27">
    <w:nsid w:val="153EA438"/>
    <w:multiLevelType w:val="hybridMultilevel"/>
    <w:lvl w:ilvl="0">
      <w:lvlJc w:val="left"/>
      <w:lvlText w:val="(%1)"/>
      <w:numFmt w:val="lowerLetter"/>
      <w:start w:val="1"/>
    </w:lvl>
  </w:abstractNum>
  <w:abstractNum w:abstractNumId="28">
    <w:nsid w:val="3855585C"/>
    <w:multiLevelType w:val="hybridMultilevel"/>
    <w:lvl w:ilvl="0">
      <w:lvlJc w:val="left"/>
      <w:lvlText w:val="(%1)"/>
      <w:numFmt w:val="lowerLetter"/>
      <w:start w:val="1"/>
    </w:lvl>
  </w:abstractNum>
  <w:abstractNum w:abstractNumId="29">
    <w:nsid w:val="70A64E2A"/>
    <w:multiLevelType w:val="hybridMultilevel"/>
    <w:lvl w:ilvl="0">
      <w:lvlJc w:val="left"/>
      <w:lvlText w:val="(%1)"/>
      <w:numFmt w:val="lowerLetter"/>
      <w:start w:val="3"/>
    </w:lvl>
  </w:abstractNum>
  <w:abstractNum w:abstractNumId="30">
    <w:nsid w:val="6A2342EC"/>
    <w:multiLevelType w:val="hybridMultilevel"/>
    <w:lvl w:ilvl="0">
      <w:lvlJc w:val="left"/>
      <w:lvlText w:val="(%1)"/>
      <w:numFmt w:val="lowerLetter"/>
      <w:start w:val="6"/>
    </w:lvl>
  </w:abstractNum>
  <w:abstractNum w:abstractNumId="31">
    <w:nsid w:val="2A487CB0"/>
    <w:multiLevelType w:val="hybridMultilevel"/>
    <w:lvl w:ilvl="0">
      <w:lvlJc w:val="left"/>
      <w:lvlText w:val="(%1)"/>
      <w:numFmt w:val="lowerLetter"/>
      <w:start w:val="7"/>
    </w:lvl>
  </w:abstractNum>
  <w:abstractNum w:abstractNumId="32">
    <w:nsid w:val="1D4ED43B"/>
    <w:multiLevelType w:val="hybridMultilevel"/>
    <w:lvl w:ilvl="0">
      <w:lvlJc w:val="left"/>
      <w:lvlText w:val="(%1)"/>
      <w:numFmt w:val="lowerLetter"/>
      <w:start w:val="9"/>
    </w:lvl>
  </w:abstractNum>
  <w:abstractNum w:abstractNumId="33">
    <w:nsid w:val="725A06FB"/>
    <w:multiLevelType w:val="hybridMultilevel"/>
    <w:lvl w:ilvl="0">
      <w:lvlJc w:val="left"/>
      <w:lvlText w:val="(%1)"/>
      <w:numFmt w:val="lowerLetter"/>
      <w:start w:val="12"/>
    </w:lvl>
  </w:abstractNum>
  <w:abstractNum w:abstractNumId="34">
    <w:nsid w:val="2CD89A32"/>
    <w:multiLevelType w:val="hybridMultilevel"/>
    <w:lvl w:ilvl="0">
      <w:lvlJc w:val="left"/>
      <w:lvlText w:val="(%1)"/>
      <w:numFmt w:val="lowerLetter"/>
      <w:start w:val="16"/>
    </w:lvl>
  </w:abstractNum>
  <w:abstractNum w:abstractNumId="35">
    <w:nsid w:val="57E4CCAF"/>
    <w:multiLevelType w:val="hybridMultilevel"/>
    <w:lvl w:ilvl="0">
      <w:lvlJc w:val="left"/>
      <w:lvlText w:val="(%1)"/>
      <w:numFmt w:val="lowerLetter"/>
      <w:start w:val="19"/>
    </w:lvl>
  </w:abstractNum>
  <w:abstractNum w:abstractNumId="36">
    <w:nsid w:val="7A6D8D3C"/>
    <w:multiLevelType w:val="hybridMultilevel"/>
    <w:lvl w:ilvl="0">
      <w:lvlJc w:val="left"/>
      <w:lvlText w:val="(%1)"/>
      <w:numFmt w:val="lowerLetter"/>
      <w:start w:val="23"/>
    </w:lvl>
  </w:abstractNum>
  <w:abstractNum w:abstractNumId="37">
    <w:nsid w:val="4B588F54"/>
    <w:multiLevelType w:val="hybridMultilevel"/>
    <w:lvl w:ilvl="0">
      <w:lvlJc w:val="left"/>
      <w:lvlText w:val="(%1)"/>
      <w:numFmt w:val="lowerLetter"/>
      <w:start w:val="27"/>
    </w:lvl>
  </w:abstractNum>
  <w:abstractNum w:abstractNumId="38">
    <w:nsid w:val="542289EC"/>
    <w:multiLevelType w:val="hybridMultilevel"/>
    <w:lvl w:ilvl="0">
      <w:lvlJc w:val="left"/>
      <w:lvlText w:val="(%1)"/>
      <w:numFmt w:val="lowerLetter"/>
      <w:start w:val="35"/>
    </w:lvl>
  </w:abstractNum>
  <w:abstractNum w:abstractNumId="39">
    <w:nsid w:val="6DE91B18"/>
    <w:multiLevelType w:val="hybridMultilevel"/>
    <w:lvl w:ilvl="0">
      <w:lvlJc w:val="left"/>
      <w:lvlText w:val="(%1)"/>
      <w:numFmt w:val="lowerLetter"/>
      <w:start w:val="29"/>
    </w:lvl>
  </w:abstractNum>
  <w:abstractNum w:abstractNumId="40">
    <w:nsid w:val="38437FDB"/>
    <w:multiLevelType w:val="hybridMultilevel"/>
    <w:lvl w:ilvl="0">
      <w:lvlJc w:val="left"/>
      <w:lvlText w:val="(%1)"/>
      <w:numFmt w:val="lowerLetter"/>
      <w:start w:val="31"/>
    </w:lvl>
  </w:abstractNum>
  <w:abstractNum w:abstractNumId="41">
    <w:nsid w:val="7644A45C"/>
    <w:multiLevelType w:val="hybridMultilevel"/>
    <w:lvl w:ilvl="0">
      <w:lvlJc w:val="left"/>
      <w:lvlText w:val="(%1)"/>
      <w:numFmt w:val="lowerLetter"/>
      <w:start w:val="34"/>
    </w:lvl>
  </w:abstractNum>
  <w:abstractNum w:abstractNumId="42">
    <w:nsid w:val="32FFF902"/>
    <w:multiLevelType w:val="hybridMultilevel"/>
    <w:lvl w:ilvl="0">
      <w:lvlJc w:val="left"/>
      <w:lvlText w:val="(%1)"/>
      <w:numFmt w:val="lowerLetter"/>
      <w:start w:val="36"/>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Roman"/>
      <w:start w:val="1"/>
    </w:lvl>
    <w:lvl w:ilvl="1">
      <w:lvlJc w:val="left"/>
      <w:lvlText w:val="(%2)"/>
      <w:numFmt w:val="lowerLetter"/>
      <w:start w:val="2"/>
    </w:lvl>
  </w:abstractNum>
  <w:abstractNum w:abstractNumId="45">
    <w:nsid w:val="749ABB43"/>
    <w:multiLevelType w:val="hybridMultilevel"/>
    <w:lvl w:ilvl="0">
      <w:lvlJc w:val="left"/>
      <w:lvlText w:val="%1"/>
      <w:numFmt w:val="lowerRoman"/>
      <w:start w:val="1"/>
    </w:lvl>
    <w:lvl w:ilvl="1">
      <w:lvlJc w:val="left"/>
      <w:lvlText w:val="(%2)"/>
      <w:numFmt w:val="lowerLetter"/>
      <w:start w:val="9"/>
    </w:lvl>
  </w:abstractNum>
  <w:abstractNum w:abstractNumId="46">
    <w:nsid w:val="3DC240FB"/>
    <w:multiLevelType w:val="hybridMultilevel"/>
    <w:lvl w:ilvl="0">
      <w:lvlJc w:val="left"/>
      <w:lvlText w:val="%1"/>
      <w:numFmt w:val="lowerRoman"/>
      <w:start w:val="1"/>
    </w:lvl>
    <w:lvl w:ilvl="1">
      <w:lvlJc w:val="left"/>
      <w:lvlText w:val="(%2)"/>
      <w:numFmt w:val="lowerLetter"/>
      <w:start w:val="35"/>
    </w:lvl>
  </w:abstractNum>
  <w:abstractNum w:abstractNumId="47">
    <w:nsid w:val="1BA026FA"/>
    <w:multiLevelType w:val="hybridMultilevel"/>
    <w:lvl w:ilvl="0">
      <w:lvlJc w:val="left"/>
      <w:lvlText w:val="%1"/>
      <w:numFmt w:val="lowerRoman"/>
      <w:start w:val="1"/>
    </w:lvl>
    <w:lvl w:ilvl="1">
      <w:lvlJc w:val="left"/>
      <w:lvlText w:val="(%2)"/>
      <w:numFmt w:val="lowerLetter"/>
      <w:start w:val="4"/>
    </w:lvl>
  </w:abstractNum>
  <w:abstractNum w:abstractNumId="48">
    <w:nsid w:val="79A1DEAA"/>
    <w:multiLevelType w:val="hybridMultilevel"/>
    <w:lvl w:ilvl="0">
      <w:lvlJc w:val="left"/>
      <w:lvlText w:val="(%1)"/>
      <w:numFmt w:val="lowerLetter"/>
      <w:start w:val="5"/>
    </w:lvl>
  </w:abstractNum>
  <w:abstractNum w:abstractNumId="49">
    <w:nsid w:val="75C6C33A"/>
    <w:multiLevelType w:val="hybridMultilevel"/>
    <w:lvl w:ilvl="0">
      <w:lvlJc w:val="left"/>
      <w:lvlText w:val="(%1)"/>
      <w:numFmt w:val="lowerLetter"/>
      <w:start w:val="2"/>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lowerLetter"/>
      <w:start w:val="9"/>
    </w:lvl>
  </w:abstractNum>
  <w:abstractNum w:abstractNumId="52">
    <w:nsid w:val="520EEDD1"/>
    <w:multiLevelType w:val="hybridMultilevel"/>
    <w:lvl w:ilvl="0">
      <w:lvlJc w:val="left"/>
      <w:lvlText w:val="(%1)"/>
      <w:numFmt w:val="lowerLetter"/>
      <w:start w:val="2"/>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2024-12-23T16:50:49Z</dcterms:created>
  <dcterms:modified xsi:type="dcterms:W3CDTF">2024-12-23T16:50:49Z</dcterms:modified>
</cp:coreProperties>
</file>