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4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87"/>
        </w:trPr>
        <w:tc>
          <w:tcPr>
            <w:tcW w:w="3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 w:type="dxa"/>
            <w:vAlign w:val="bottom"/>
          </w:tcPr>
          <w:p>
            <w:pPr>
              <w:spacing w:after="0"/>
              <w:rPr>
                <w:sz w:val="16"/>
                <w:szCs w:val="16"/>
                <w:color w:val="auto"/>
              </w:rPr>
            </w:pPr>
          </w:p>
        </w:tc>
        <w:tc>
          <w:tcPr>
            <w:tcW w:w="43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3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1740"/>
        <w:spacing w:after="0" w:line="280"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Emerging growth company</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prepared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779145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SEPTEMBER 9,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20,000,000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20,000,000 Ordinary Shares issued in connection with the PIPE Financing (as defined herein).</w:t>
      </w:r>
    </w:p>
    <w:p>
      <w:pPr>
        <w:spacing w:after="0" w:line="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7.03%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4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September 8, 2025, the closing price of the Ordinary Shares was $4.62 per share.</w:t>
      </w:r>
    </w:p>
    <w:p>
      <w:pPr>
        <w:spacing w:after="0" w:line="9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1411"/>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AND INDUSTRY DATA</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OUR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CAPITALIZATION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EXPENSES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220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220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64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200" w:type="dxa"/>
            <w:vAlign w:val="bottom"/>
            <w:tcBorders>
              <w:left w:val="single" w:sz="8" w:color="0000EE"/>
              <w:right w:val="single" w:sz="8" w:color="0000EE"/>
            </w:tcBorders>
            <w:gridSpan w:val="10"/>
            <w:shd w:val="clear" w:color="auto" w:fill="0000FF"/>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20,000,000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4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8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8" w:right="419" w:bottom="1440" w:gutter="0" w:footer="0" w:header="0"/>
        </w:sectPr>
      </w:pPr>
    </w:p>
    <w:bookmarkStart w:id="6" w:name="page7"/>
    <w:bookmarkEnd w:id="6"/>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3" w:lineRule="exact"/>
        <w:rPr>
          <w:sz w:val="20"/>
          <w:szCs w:val="20"/>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7" w:name="page8"/>
    <w:bookmarkEnd w:id="7"/>
    <w:p>
      <w:pPr>
        <w:ind w:right="620"/>
        <w:spacing w:after="0" w:line="284" w:lineRule="auto"/>
        <w:rPr>
          <w:sz w:val="20"/>
          <w:szCs w:val="20"/>
          <w:color w:val="auto"/>
        </w:rPr>
      </w:pPr>
      <w:r>
        <w:rPr>
          <w:rFonts w:ascii="Times New Roman" w:cs="Times New Roman" w:eastAsia="Times New Roman" w:hAnsi="Times New Roman"/>
          <w:sz w:val="18"/>
          <w:szCs w:val="18"/>
          <w:color w:val="auto"/>
        </w:rPr>
        <w: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18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6884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7" w:lineRule="exact"/>
        <w:rPr>
          <w:sz w:val="20"/>
          <w:szCs w:val="20"/>
          <w:color w:val="auto"/>
        </w:rPr>
      </w:pPr>
    </w:p>
    <w:p>
      <w:pPr>
        <w:ind w:right="440" w:firstLine="8"/>
        <w:spacing w:after="0" w:line="22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color w:val="auto"/>
        </w:rPr>
        <w:t>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2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Bluedot Acquisition</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w:t>
      </w:r>
      <w:r>
        <w:rPr>
          <w:rFonts w:ascii="Times New Roman" w:cs="Times New Roman" w:eastAsia="Times New Roman" w:hAnsi="Times New Roman"/>
          <w:sz w:val="18"/>
          <w:szCs w:val="18"/>
          <w:b w:val="1"/>
          <w:bCs w:val="1"/>
          <w:i w:val="1"/>
          <w:iCs w:val="1"/>
          <w:color w:val="auto"/>
        </w:rPr>
        <w:t>First Bluedot Purchase Agreement</w:t>
      </w:r>
      <w:r>
        <w:rPr>
          <w:rFonts w:ascii="Times New Roman" w:cs="Times New Roman" w:eastAsia="Times New Roman" w:hAnsi="Times New Roman"/>
          <w:sz w:val="18"/>
          <w:szCs w:val="18"/>
          <w:color w:val="auto"/>
        </w:rPr>
        <w:t>”), by and between the Company and DBLP Sea Cow Ltd, a limited company organized under the laws of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b w:val="1"/>
          <w:bCs w:val="1"/>
          <w:i w:val="1"/>
          <w:iCs w:val="1"/>
          <w:color w:val="auto"/>
        </w:rPr>
        <w:t>First Bluedot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On March 17, 2025, Rezolve entered into a Purchase Agreement (the “</w:t>
      </w:r>
      <w:r>
        <w:rPr>
          <w:rFonts w:ascii="Times New Roman" w:cs="Times New Roman" w:eastAsia="Times New Roman" w:hAnsi="Times New Roman"/>
          <w:sz w:val="17"/>
          <w:szCs w:val="17"/>
          <w:b w:val="1"/>
          <w:bCs w:val="1"/>
          <w:i w:val="1"/>
          <w:iCs w:val="1"/>
          <w:color w:val="auto"/>
        </w:rPr>
        <w:t>Second Bluedot Purchase Agreement</w:t>
      </w:r>
      <w:r>
        <w:rPr>
          <w:rFonts w:ascii="Times New Roman" w:cs="Times New Roman" w:eastAsia="Times New Roman" w:hAnsi="Times New Roman"/>
          <w:sz w:val="17"/>
          <w:szCs w:val="17"/>
          <w:color w:val="auto"/>
        </w:rPr>
        <w:t>”), by and between the Company and Tanist Group Limited, a limited company organized under the laws of the British Virgin Islands (“</w:t>
      </w:r>
      <w:r>
        <w:rPr>
          <w:rFonts w:ascii="Times New Roman" w:cs="Times New Roman" w:eastAsia="Times New Roman" w:hAnsi="Times New Roman"/>
          <w:sz w:val="17"/>
          <w:szCs w:val="17"/>
          <w:b w:val="1"/>
          <w:bCs w:val="1"/>
          <w:i w:val="1"/>
          <w:iCs w:val="1"/>
          <w:color w:val="auto"/>
        </w:rPr>
        <w:t>Tanist</w:t>
      </w:r>
      <w:r>
        <w:rPr>
          <w:rFonts w:ascii="Times New Roman" w:cs="Times New Roman" w:eastAsia="Times New Roman" w:hAnsi="Times New Roman"/>
          <w:sz w:val="17"/>
          <w:szCs w:val="17"/>
          <w:color w:val="auto"/>
        </w:rPr>
        <w:t>”), pursuant to which the Company agreed to purchase, and Tanist agreed to sell, the entire issued and to be issued share capital of Bluedot Innovation Pty. Ltd, an Australian proprietary limited company registered in South Australia 161 734 621 (the “</w:t>
      </w:r>
      <w:r>
        <w:rPr>
          <w:rFonts w:ascii="Times New Roman" w:cs="Times New Roman" w:eastAsia="Times New Roman" w:hAnsi="Times New Roman"/>
          <w:sz w:val="17"/>
          <w:szCs w:val="17"/>
          <w:b w:val="1"/>
          <w:bCs w:val="1"/>
          <w:i w:val="1"/>
          <w:iCs w:val="1"/>
          <w:color w:val="auto"/>
        </w:rPr>
        <w:t>Second Bluedot Acquisition</w:t>
      </w:r>
      <w:r>
        <w:rPr>
          <w:rFonts w:ascii="Times New Roman" w:cs="Times New Roman" w:eastAsia="Times New Roman" w:hAnsi="Times New Roman"/>
          <w:sz w:val="17"/>
          <w:szCs w:val="17"/>
          <w:color w:val="auto"/>
        </w:rPr>
        <w:t>, and together with the First Bluedot Acquisition, the “</w:t>
      </w:r>
      <w:r>
        <w:rPr>
          <w:rFonts w:ascii="Times New Roman" w:cs="Times New Roman" w:eastAsia="Times New Roman" w:hAnsi="Times New Roman"/>
          <w:sz w:val="17"/>
          <w:szCs w:val="17"/>
          <w:b w:val="1"/>
          <w:bCs w:val="1"/>
          <w:i w:val="1"/>
          <w:iCs w:val="1"/>
          <w:color w:val="auto"/>
        </w:rPr>
        <w:t>Bluedot Acquisition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GroupBy Acquisition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w:t>
      </w:r>
      <w:r>
        <w:rPr>
          <w:rFonts w:ascii="Times New Roman" w:cs="Times New Roman" w:eastAsia="Times New Roman" w:hAnsi="Times New Roman"/>
          <w:sz w:val="18"/>
          <w:szCs w:val="18"/>
          <w:b w:val="1"/>
          <w:bCs w:val="1"/>
          <w:i w:val="1"/>
          <w:iCs w:val="1"/>
          <w:color w:val="auto"/>
        </w:rPr>
        <w:t>GroupBy 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b w:val="1"/>
          <w:bCs w:val="1"/>
          <w:i w:val="1"/>
          <w:iCs w:val="1"/>
          <w:color w:val="auto"/>
        </w:rPr>
        <w:t>GroupBy International</w:t>
      </w:r>
      <w:r>
        <w:rPr>
          <w:rFonts w:ascii="Times New Roman" w:cs="Times New Roman" w:eastAsia="Times New Roman" w:hAnsi="Times New Roman"/>
          <w:sz w:val="18"/>
          <w:szCs w:val="18"/>
          <w:color w:val="auto"/>
        </w:rPr>
        <w:t>”)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On July 24, 2025, Rezolve entered into certain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the Selling Holders, for the purchase and sale of 20,000,000 Ordinary Shares (the "</w:t>
      </w:r>
      <w:r>
        <w:rPr>
          <w:rFonts w:ascii="Times New Roman" w:cs="Times New Roman" w:eastAsia="Times New Roman" w:hAnsi="Times New Roman"/>
          <w:sz w:val="18"/>
          <w:szCs w:val="18"/>
          <w:b w:val="1"/>
          <w:bCs w:val="1"/>
          <w:i w:val="1"/>
          <w:iCs w:val="1"/>
          <w:color w:val="auto"/>
        </w:rPr>
        <w:t>PIPE Shares</w:t>
      </w:r>
      <w:r>
        <w:rPr>
          <w:rFonts w:ascii="Times New Roman" w:cs="Times New Roman" w:eastAsia="Times New Roman" w:hAnsi="Times New Roman"/>
          <w:sz w:val="18"/>
          <w:szCs w:val="18"/>
          <w:color w:val="auto"/>
        </w:rPr>
        <w:t>") in a private placement at a price of $2.50 per share (the "</w:t>
      </w: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July 24, 2025, Rezolve and the Selling Holders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In accordance with Rezolve's obligations under the Registration Rights Agreement, among other things, Rezolve has filed the registration statement of which this prospectus forms a part with the SEC.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 w:name="page12"/>
    <w:bookmarkEnd w:id="1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7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ind w:left="503" w:right="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3" w:name="page14"/>
    <w:bookmarkEnd w:id="13"/>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4" w:name="page15"/>
    <w:bookmarkEnd w:id="14"/>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20,000,000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September 9, 2025 and does not give effect to issuances of Ordinary Shares after such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20,000,000 Ordinary Shares issued in connection with the PIPE Financing.</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offered by the Selling</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tc>
        <w:tc>
          <w:tcPr>
            <w:tcW w:w="0" w:type="dxa"/>
            <w:vAlign w:val="bottom"/>
          </w:tcPr>
          <w:p>
            <w:pPr>
              <w:spacing w:after="0"/>
              <w:rPr>
                <w:sz w:val="1"/>
                <w:szCs w:val="1"/>
                <w:color w:val="auto"/>
              </w:rPr>
            </w:pPr>
          </w:p>
        </w:tc>
      </w:tr>
      <w:tr>
        <w:trPr>
          <w:trHeight w:val="41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w:t>
            </w:r>
          </w:p>
        </w:tc>
        <w:tc>
          <w:tcPr>
            <w:tcW w:w="0" w:type="dxa"/>
            <w:vAlign w:val="bottom"/>
          </w:tcPr>
          <w:p>
            <w:pPr>
              <w:spacing w:after="0"/>
              <w:rPr>
                <w:sz w:val="1"/>
                <w:szCs w:val="1"/>
                <w:color w:val="auto"/>
              </w:rPr>
            </w:pPr>
          </w:p>
        </w:tc>
      </w:tr>
      <w:tr>
        <w:trPr>
          <w:trHeight w:val="234"/>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Nasdaq symbol for</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 invest in Ordinary Shares and Warrants.</w:t>
            </w:r>
          </w:p>
        </w:tc>
        <w:tc>
          <w:tcPr>
            <w:tcW w:w="0" w:type="dxa"/>
            <w:vAlign w:val="bottom"/>
          </w:tcPr>
          <w:p>
            <w:pPr>
              <w:spacing w:after="0"/>
              <w:rPr>
                <w:sz w:val="1"/>
                <w:szCs w:val="1"/>
                <w:color w:val="auto"/>
              </w:rPr>
            </w:pPr>
          </w:p>
        </w:tc>
      </w:tr>
      <w:tr>
        <w:trPr>
          <w:trHeight w:val="198"/>
        </w:trPr>
        <w:tc>
          <w:tcPr>
            <w:tcW w:w="1600" w:type="dxa"/>
            <w:vAlign w:val="bottom"/>
            <w:vMerge w:val="continue"/>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“RZLV.”</w:t>
            </w:r>
          </w:p>
        </w:tc>
        <w:tc>
          <w:tcPr>
            <w:tcW w:w="0" w:type="dxa"/>
            <w:vAlign w:val="bottom"/>
          </w:tcPr>
          <w:p>
            <w:pPr>
              <w:spacing w:after="0"/>
              <w:rPr>
                <w:sz w:val="1"/>
                <w:szCs w:val="1"/>
                <w:color w:val="auto"/>
              </w:rPr>
            </w:pPr>
          </w:p>
        </w:tc>
      </w:tr>
      <w:tr>
        <w:trPr>
          <w:trHeight w:val="756"/>
        </w:trPr>
        <w:tc>
          <w:tcPr>
            <w:tcW w:w="1600" w:type="dxa"/>
            <w:vAlign w:val="bottom"/>
          </w:tcPr>
          <w:p>
            <w:pPr>
              <w:spacing w:after="0"/>
              <w:rPr>
                <w:sz w:val="24"/>
                <w:szCs w:val="24"/>
                <w:color w:val="auto"/>
              </w:rPr>
            </w:pPr>
          </w:p>
        </w:tc>
        <w:tc>
          <w:tcPr>
            <w:tcW w:w="96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If any of the following risks actually occur, our business, financial condition and operating results could be materially and adversely affected. In that case, the market price of the Ordinary Shares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56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18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00" w:hanging="519"/>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ind w:right="80"/>
        <w:spacing w:after="0" w:line="258" w:lineRule="auto"/>
        <w:rPr>
          <w:sz w:val="20"/>
          <w:szCs w:val="20"/>
          <w:color w:val="auto"/>
        </w:rPr>
      </w:pPr>
      <w:r>
        <w:rPr>
          <w:rFonts w:ascii="Times New Roman" w:cs="Times New Roman" w:eastAsia="Times New Roman" w:hAnsi="Times New Roman"/>
          <w:sz w:val="18"/>
          <w:szCs w:val="18"/>
          <w:color w:val="auto"/>
        </w:rPr>
        <w:t>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1" w:name="page22"/>
    <w:bookmarkEnd w:id="21"/>
    <w:p>
      <w:pPr>
        <w:ind w:right="100"/>
        <w:spacing w:after="0" w:line="254" w:lineRule="auto"/>
        <w:rPr>
          <w:sz w:val="20"/>
          <w:szCs w:val="20"/>
          <w:color w:val="auto"/>
        </w:rPr>
      </w:pPr>
      <w:r>
        <w:rPr>
          <w:rFonts w:ascii="Times New Roman" w:cs="Times New Roman" w:eastAsia="Times New Roman" w:hAnsi="Times New Roman"/>
          <w:sz w:val="18"/>
          <w:szCs w:val="18"/>
          <w:color w:val="auto"/>
        </w:rPr>
        <w:t>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right="360"/>
        <w:spacing w:after="0" w:line="266" w:lineRule="auto"/>
        <w:rPr>
          <w:sz w:val="20"/>
          <w:szCs w:val="20"/>
          <w:color w:val="auto"/>
        </w:rPr>
      </w:pPr>
      <w:r>
        <w:rPr>
          <w:rFonts w:ascii="Times New Roman" w:cs="Times New Roman" w:eastAsia="Times New Roman" w:hAnsi="Times New Roman"/>
          <w:sz w:val="18"/>
          <w:szCs w:val="18"/>
          <w:color w:val="auto"/>
        </w:rPr>
        <w:t>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26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42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right="560"/>
        <w:spacing w:after="0" w:line="282" w:lineRule="auto"/>
        <w:rPr>
          <w:sz w:val="20"/>
          <w:szCs w:val="20"/>
          <w:color w:val="auto"/>
        </w:rPr>
      </w:pPr>
      <w:r>
        <w:rPr>
          <w:rFonts w:ascii="Times New Roman" w:cs="Times New Roman" w:eastAsia="Times New Roman" w:hAnsi="Times New Roman"/>
          <w:sz w:val="18"/>
          <w:szCs w:val="18"/>
          <w:color w:val="auto"/>
        </w:rPr>
        <w:t>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(the "February SPA"). Efforts to defend against such claims may entail significant costs and harm Rezolve’s reputation, all of which could adversely affect Rezolve’s business, financial condition and results of operations.For additional information see “</w:t>
      </w:r>
      <w:r>
        <w:rPr>
          <w:rFonts w:ascii="Times New Roman" w:cs="Times New Roman" w:eastAsia="Times New Roman" w:hAnsi="Times New Roman"/>
          <w:sz w:val="18"/>
          <w:szCs w:val="18"/>
          <w:i w:val="1"/>
          <w:iCs w:val="1"/>
          <w:color w:val="auto"/>
        </w:rPr>
        <w:t>Business of Rezolve-Legal Proceedings.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20" w:hanging="513"/>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2" w:name="page33"/>
    <w:bookmarkEnd w:id="32"/>
    <w:p>
      <w:pPr>
        <w:ind w:left="760" w:right="58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64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6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3" w:name="page34"/>
    <w:bookmarkEnd w:id="33"/>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As a result, you may not be afforded the same protections or information that would be made available to you were you investing in a U.S. domestic issuer.</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t>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As of September 9, 2025, there were approximately 2 shareholders of record of Ordinary Shares and one shareholder of record of Warrants. Such numbers do not include beneficial owners holding our securities through nominee names. On September 8, the last reported closing sale prices of our Ordinary Shares and Public Warrants were $4.62 and $1.2025 respectively.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225" w:lineRule="exact"/>
        <w:rPr>
          <w:sz w:val="20"/>
          <w:szCs w:val="20"/>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and (2) the PIPE Financing for aggregate gross</w:t>
      </w:r>
    </w:p>
    <w:p>
      <w:pPr>
        <w:spacing w:after="0" w:line="27" w:lineRule="exact"/>
        <w:rPr>
          <w:rFonts w:ascii="Times New Roman" w:cs="Times New Roman" w:eastAsia="Times New Roman" w:hAnsi="Times New Roman"/>
          <w:sz w:val="18"/>
          <w:szCs w:val="18"/>
          <w:color w:val="auto"/>
        </w:rPr>
      </w:pPr>
    </w:p>
    <w:p>
      <w:pPr>
        <w:ind w:left="680" w:right="380" w:hanging="213"/>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approximately $50 million, before deducting placement agent fees and other offering expenses, as if such events had occurred on December 31, 2024.</w:t>
      </w:r>
    </w:p>
    <w:p>
      <w:pPr>
        <w:spacing w:after="0" w:line="18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9"/>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19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Groupby &amp;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Bluedot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Proforma</w:t>
            </w:r>
          </w:p>
        </w:tc>
      </w:tr>
      <w:tr>
        <w:trPr>
          <w:trHeight w:val="259"/>
        </w:trPr>
        <w:tc>
          <w:tcPr>
            <w:tcW w:w="50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9,450,944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6,760,931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63,456,875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208,260,754 shares issued</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 256,365,817 shares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as of December 31, 2024</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26,816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194,062,767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18,181,663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47,242,320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259,486,750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(232,075,815)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(244,338,585)</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-316865</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-316865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-316865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93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93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8" w:name="page39"/>
    <w:bookmarkEnd w:id="38"/>
    <w:p>
      <w:pPr>
        <w:ind w:right="94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ind w:right="10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4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and 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Innovation</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9"/>
              </w:rPr>
              <w:t>(Historical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(Historical as of</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of 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6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-3830955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-3830955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-3830955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-3830955</wp:posOffset>
            </wp:positionV>
            <wp:extent cx="214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-3830955</wp:posOffset>
            </wp:positionV>
            <wp:extent cx="179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-3642360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-3642360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-3642360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-3642360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-3642360</wp:posOffset>
            </wp:positionV>
            <wp:extent cx="2146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-3642360</wp:posOffset>
            </wp:positionV>
            <wp:extent cx="1797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-1533525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-1533525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2146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-1533525</wp:posOffset>
            </wp:positionV>
            <wp:extent cx="1797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Proforma Combined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w w:val="94"/>
              </w:rPr>
              <w:t>Rezolve AI</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plc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162,855,146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178,157,563</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-563245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-563245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-563245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-563245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-563245</wp:posOffset>
            </wp:positionV>
            <wp:extent cx="163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-563245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-563245</wp:posOffset>
            </wp:positionV>
            <wp:extent cx="1631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1" w:name="page42"/>
    <w:bookmarkEnd w:id="41"/>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2" w:name="page43"/>
    <w:bookmarkEnd w:id="42"/>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3" w:name="page44"/>
    <w:bookmarkEnd w:id="43"/>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left="503" w:right="320"/>
        <w:spacing w:after="0" w:line="266" w:lineRule="auto"/>
        <w:rPr>
          <w:sz w:val="20"/>
          <w:szCs w:val="20"/>
          <w:color w:val="auto"/>
        </w:rPr>
      </w:pPr>
      <w:r>
        <w:rPr>
          <w:rFonts w:ascii="Times New Roman" w:cs="Times New Roman" w:eastAsia="Times New Roman" w:hAnsi="Times New Roman"/>
          <w:sz w:val="18"/>
          <w:szCs w:val="18"/>
          <w:color w:val="auto"/>
        </w:rPr>
        <w:t>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68" w:lineRule="exact"/>
        <w:rPr>
          <w:sz w:val="20"/>
          <w:szCs w:val="20"/>
          <w:color w:val="auto"/>
        </w:rPr>
      </w:pPr>
    </w:p>
    <w:p>
      <w:pPr>
        <w:ind w:left="503" w:right="16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5" w:name="page46"/>
    <w:bookmarkEnd w:id="45"/>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20" w:firstLine="8"/>
        <w:spacing w:after="0" w:line="223" w:lineRule="auto"/>
        <w:tabs>
          <w:tab w:leader="none" w:pos="10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right="28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access to financing through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our growth may be supported by acquisitions of businesses where management identifies synergistic growth 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left="1020" w:right="20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 2023: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 December 31,</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2024 was driven by higher impairment charges related to loan receivables from Swipeby and Moneymatic recognized in 2023 as compared to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36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51" w:name="page52"/>
    <w:bookmarkEnd w:id="51"/>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 costs from Adjusted EBITDA as they relate to:</w:t>
      </w:r>
    </w:p>
    <w:p>
      <w:pPr>
        <w:spacing w:after="0" w:line="5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52" w:name="page53"/>
    <w:bookmarkEnd w:id="52"/>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3" w:name="page54"/>
    <w:bookmarkEnd w:id="53"/>
    <w:p>
      <w:pPr>
        <w:ind w:left="1660" w:hanging="500"/>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w:t>
      </w:r>
    </w:p>
    <w:p>
      <w:pPr>
        <w:spacing w:after="0" w:line="252" w:lineRule="auto"/>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Yorkville Standby Equity Purchase Agreement</w:t>
      </w:r>
    </w:p>
    <w:p>
      <w:pPr>
        <w:spacing w:after="0" w:line="33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Cohen &amp; Company Financial Management LLC</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 Armada: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80"/>
        <w:spacing w:after="0" w:line="254" w:lineRule="auto"/>
        <w:rPr>
          <w:sz w:val="20"/>
          <w:szCs w:val="20"/>
          <w:color w:val="auto"/>
        </w:rPr>
      </w:pPr>
      <w:r>
        <w:rPr>
          <w:rFonts w:ascii="Times New Roman" w:cs="Times New Roman" w:eastAsia="Times New Roman" w:hAnsi="Times New Roman"/>
          <w:sz w:val="18"/>
          <w:szCs w:val="18"/>
          <w:color w:val="auto"/>
        </w:rPr>
        <w:t>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0" w:name="page61"/>
    <w:bookmarkEnd w:id="60"/>
    <w:p>
      <w:pPr>
        <w:ind w:right="40"/>
        <w:spacing w:after="0" w:line="282" w:lineRule="auto"/>
        <w:rPr>
          <w:sz w:val="20"/>
          <w:szCs w:val="20"/>
          <w:color w:val="auto"/>
        </w:rPr>
      </w:pPr>
      <w:r>
        <w:rPr>
          <w:rFonts w:ascii="Times New Roman" w:cs="Times New Roman" w:eastAsia="Times New Roman" w:hAnsi="Times New Roman"/>
          <w:sz w:val="18"/>
          <w:szCs w:val="18"/>
          <w:color w:val="auto"/>
        </w:rPr>
        <w:t>believe to be reasonable under the circumstances. Actual results could differ materially from these estimates under different assumptions or conditions. We regularly reevaluate our assumptions, judgments and estimates.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1" w:name="page62"/>
    <w:bookmarkEnd w:id="61"/>
    <w:p>
      <w:pPr>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3" w:name="page64"/>
    <w:bookmarkEnd w:id="63"/>
    <w:p>
      <w:pPr>
        <w:ind w:right="120"/>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July 24, 2025, Rezolve entered into the Purchase Agreements with the PIPE Investors, for the purchase and sale of 20,000,000 Ordinary Shares in a private placement at a price of $2.50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5" w:name="page66"/>
    <w:bookmarkEnd w:id="65"/>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6" w:name="page67"/>
    <w:bookmarkEnd w:id="66"/>
    <w:p>
      <w:pPr>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left="503" w:hanging="503"/>
        <w:spacing w:after="0" w:line="261"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Channels also receive significant benefits from deploying our solutions to their merchant base.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 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ind w:right="160"/>
        <w:spacing w:after="0" w:line="261" w:lineRule="auto"/>
        <w:rPr>
          <w:sz w:val="20"/>
          <w:szCs w:val="20"/>
          <w:color w:val="auto"/>
        </w:rPr>
      </w:pPr>
      <w:r>
        <w:rPr>
          <w:rFonts w:ascii="Times New Roman" w:cs="Times New Roman" w:eastAsia="Times New Roman" w:hAnsi="Times New Roman"/>
          <w:sz w:val="18"/>
          <w:szCs w:val="18"/>
          <w:color w:val="auto"/>
        </w:rPr>
        <w:t>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 Channels.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left="760" w:right="3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205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3" w:name="page74"/>
    <w:bookmarkEnd w:id="73"/>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4" w:name="page75"/>
    <w:bookmarkEnd w:id="74"/>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instruments, electronic funds transfers, foreign exchange, anti-money laundering, counter-terrorist financing, banking and import and export restrictions.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how our merchant solutions evolve, we may be subject to additional laws.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Other than as described below,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party to litigation in New York arising out of a proposed financing transaction that never closed. The Company believes the claims are without merit and does not consider the matter to have any impact on its operations, financial position, or strategic plans.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reported on its Report of Foreign Private Issuer on Form 6-K, filed on July 25, 2025, the Company has been notified that a civil complaint (the “</w:t>
      </w:r>
      <w:r>
        <w:rPr>
          <w:rFonts w:ascii="Times New Roman" w:cs="Times New Roman" w:eastAsia="Times New Roman" w:hAnsi="Times New Roman"/>
          <w:sz w:val="18"/>
          <w:szCs w:val="18"/>
          <w:u w:val="single" w:color="auto"/>
          <w:color w:val="auto"/>
        </w:rPr>
        <w:t>Complaint</w:t>
      </w:r>
      <w:r>
        <w:rPr>
          <w:rFonts w:ascii="Times New Roman" w:cs="Times New Roman" w:eastAsia="Times New Roman" w:hAnsi="Times New Roman"/>
          <w:sz w:val="18"/>
          <w:szCs w:val="18"/>
          <w:color w:val="auto"/>
        </w:rPr>
        <w:t>”) was filed against the Company and Daniel Wagner on July 16, 2025 in the Supreme Court of the State of New York, New York County, by JBAAM Special Opportunities Fund II LLC and YA II PN, Ltd. (collectively, the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 in connection with the parties’ securities purchase agreement dated February 21, 2025 (the “</w:t>
      </w:r>
      <w:r>
        <w:rPr>
          <w:rFonts w:ascii="Times New Roman" w:cs="Times New Roman" w:eastAsia="Times New Roman" w:hAnsi="Times New Roman"/>
          <w:sz w:val="18"/>
          <w:szCs w:val="18"/>
          <w:u w:val="single" w:color="auto"/>
          <w:color w:val="auto"/>
        </w:rPr>
        <w:t>February SPA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believes the Complaint is without merit and intends to vigorously defend the matter through all appropriate legal channels, including the potential pursuit of counterclaims. The Company does not consider the litigation to have any bearing on its operational performance, strategic direction, financial liquidity, or other business activities. On August 25, 2025, the Company filed a motion to dismiss the Complaint in the Supreme Court of the State of New York, New York County and will vigorously defend its position, including pursuing counterclaims where appropriate.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February SPA contemplated a potential $1 billion financing through convertible notes, the proceeds of which would have been used by a subsidiary to purchase Bitcoin. These transactions did not close, no investor capital was contributed, and no Company shares were issued.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6" w:name="page77"/>
    <w:bookmarkEnd w:id="76"/>
    <w:p>
      <w:pPr>
        <w:ind w:right="20"/>
        <w:spacing w:after="0" w:line="258" w:lineRule="auto"/>
        <w:rPr>
          <w:sz w:val="20"/>
          <w:szCs w:val="20"/>
          <w:color w:val="auto"/>
        </w:rPr>
      </w:pPr>
      <w:r>
        <w:rPr>
          <w:rFonts w:ascii="Times New Roman" w:cs="Times New Roman" w:eastAsia="Times New Roman" w:hAnsi="Times New Roman"/>
          <w:sz w:val="18"/>
          <w:szCs w:val="18"/>
          <w:color w:val="auto"/>
        </w:rPr>
        <w:t>The Complaint alleges that the Company breached Sections 4(a) and 4(aa) of the February SPA by (i) not using reasonable best efforts to form the subsidiary to hold Bitcoin and (ii) not holding a shareholder vote to approve resolutions relating to the SPA. These were conditions precedent to closing the transactions contemplated by the SPA. In the Complaint, the Plaintiffs seek damages to be determined at trial, together with interest. While the Complaint includes statements that the alleged harm could be in the hundreds of millions of dollars, the Company believes these claims are without merit given that the SPA transactions never closed, no capital was committed, and no shares were issued.</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the transactions under the SPA did not close, the Plaintiffs have not committed capital, and the Company has not issued any shares, the Company therefore does not believe that the Plaintiffs are entitled to any damages.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YA II PN, Ltd., one of the Plaintiffs, is a counterparty to the February SPA. It alleges that, as a buyer under that agreement, it was entitled to acquire shares had the SPA closed, and now seeks compensation. The Company does not agree with this position, as the SPA never closed and no such rights were triggered.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litigation discussed above does not involve the Company’s Standby Equity Purchase Agreement (“SEPA”). YA II PN, Ltd., one of the Plaintiffs, is also the lender under the SEPA. The Company has taken the position that YA II PN, Ltd. did not comply with its obligations under the SEPA, and has initiated its own claims in relation to that agreement by filing a complaint against YA II PN, Ltd., Andrew Weksler and JBAAM Special Opportunities Fund II, LLC on August 29, 2025 in the Supreme Court of the State of New York, New York County. These claims include alleged breaches of the SEPA and interference with the Company’s financing efforts. The Company has diversified its sources of liquidity, including completing a $50 million securities offering in July 2025, and the SEPA is no longer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7" w:name="page78"/>
    <w:bookmarkEnd w:id="77"/>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III Director</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President and Chief Digital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standards. While we expect to voluntarily follow most Nasdaq corporate governance rules, we may choose to take advantage of certain limited exemptions, such as:</w:t>
      </w:r>
    </w:p>
    <w:p>
      <w:pPr>
        <w:spacing w:after="0" w:line="54" w:lineRule="exact"/>
        <w:rPr>
          <w:sz w:val="20"/>
          <w:szCs w:val="20"/>
          <w:color w:val="auto"/>
        </w:rPr>
      </w:pPr>
    </w:p>
    <w:p>
      <w:pPr>
        <w:ind w:left="1020" w:right="18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18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4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6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20" w:hanging="503"/>
        <w:spacing w:after="0" w:line="261"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26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0" w:name="page81"/>
    <w:bookmarkEnd w:id="80"/>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There are currently no Class I directors. Messrs. Anthony Sharp, Sir David Wright, Stephen Perry and Derek Smith, are Class II directors and will serve until our annual meeting in 2026. Mr. Dan Wagner is a Class III director and will serve until our annual meeting in 2027.</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 necessary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1" w:name="page82"/>
    <w:bookmarkEnd w:id="81"/>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ind w:right="680"/>
        <w:spacing w:after="0" w:line="282" w:lineRule="auto"/>
        <w:rPr>
          <w:sz w:val="20"/>
          <w:szCs w:val="20"/>
          <w:color w:val="auto"/>
        </w:rPr>
      </w:pPr>
      <w:r>
        <w:rPr>
          <w:rFonts w:ascii="Times New Roman" w:cs="Times New Roman" w:eastAsia="Times New Roman" w:hAnsi="Times New Roman"/>
          <w:sz w:val="18"/>
          <w:szCs w:val="18"/>
          <w:color w:val="auto"/>
        </w:rPr>
        <w:t>long-term equity compensation awards that are, in each case, consistent with market practices and designed to incentivize, motivate and retain key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 Letters of Appointment (Anthony Sharp, Sir David Wright, Derek Smith and Stephen Perry)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(Anthony Sharp, Sir David Wright, Derek Smith and Stephen Perry)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4" w:name="page85"/>
    <w:bookmarkEnd w:id="84"/>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pursuant to which the Company agreed to purchase, and DBLP agreed to sell, the entire issued and to be issued share capital of Bluedot.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the DBLP Settlement Agreement, pursuant to which the Company agreed to issue DBLP 800,000 Ordinary Shares in exchange for the full and final settlement of all amounts owed to DBLP in the amount of $5,958,593.22.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September 9, 2025 by:</w:t>
      </w:r>
    </w:p>
    <w:p>
      <w:pPr>
        <w:spacing w:after="0" w:line="117"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284,406,329 Ordinary Shares outstanding.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2"/>
                <w:szCs w:val="12"/>
                <w:color w:val="auto"/>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1,948,964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57,853,063</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Estate of John Wagner</w:t>
            </w:r>
          </w:p>
        </w:tc>
        <w:tc>
          <w:tcPr>
            <w:tcW w:w="15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15"/>
                <w:szCs w:val="15"/>
                <w:color w:val="auto"/>
              </w:rPr>
            </w:pPr>
          </w:p>
        </w:tc>
        <w:tc>
          <w:tcPr>
            <w:tcW w:w="15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17,395,676</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-2193925</wp:posOffset>
            </wp:positionV>
            <wp:extent cx="6412230" cy="274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 4,698,505 shares directly held by Daniel Wagner; and (ii) 48,731,428 shares directly held by DBLP Sea Cow Limited (“DBLP”). DBLP is wholly legally owned by Mr. Wagner and Mr. Wagner is a director of DBLP and therefore Mr. Wagner may be deemed to share voting and investment power over the shares held by DBLP.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512" w:right="200" w:hanging="512"/>
        <w:spacing w:after="0" w:line="266"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67" w:lineRule="exact"/>
        <w:rPr>
          <w:rFonts w:ascii="Times New Roman" w:cs="Times New Roman" w:eastAsia="Times New Roman" w:hAnsi="Times New Roman"/>
          <w:sz w:val="18"/>
          <w:szCs w:val="18"/>
          <w:color w:val="auto"/>
        </w:rPr>
      </w:pPr>
    </w:p>
    <w:p>
      <w:pPr>
        <w:ind w:left="512" w:right="100" w:hanging="512"/>
        <w:spacing w:after="0" w:line="289" w:lineRule="auto"/>
        <w:tabs>
          <w:tab w:leader="none" w:pos="51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hanging="512"/>
        <w:spacing w:after="0" w:line="261"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818,824 shares directly held by the Estate of John Wagner;(ii) 3,969 Ordinary Shares underlying the Private Warrants held by the Estate of John Wagner; and (iii) 48,731,428 shares directly held by DBLP. Excludes 3,592,193 shares directly held by DBLP that are subject to a call option currently exercisable by Brad Wickens. DBLP is beneficially owned by the Estate of John Wagner and therefore the Estate of John Wagner may be deemed to share voting and investment power over the shares held by DBLP.</w:t>
      </w:r>
    </w:p>
    <w:p>
      <w:pPr>
        <w:spacing w:after="0" w:line="71"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the Estate of John Wagner. Mr. Wagner is a director of DBLP.</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issued to DBLP upon conversion of certain options granted under the LTIP. Excludes 3,592,193 shares directly held by DBLP that are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34,649,207 Ordinary Shares; and (ii) 1,194,051 Ordinary Shares issued upon conversion of the Convertible Note held by Mr. Lychagov.</w:t>
      </w:r>
    </w:p>
    <w:p>
      <w:pPr>
        <w:spacing w:after="0" w:line="128" w:lineRule="exact"/>
        <w:rPr>
          <w:rFonts w:ascii="Times New Roman" w:cs="Times New Roman" w:eastAsia="Times New Roman" w:hAnsi="Times New Roman"/>
          <w:sz w:val="17"/>
          <w:szCs w:val="17"/>
          <w:color w:val="auto"/>
        </w:rPr>
      </w:pPr>
    </w:p>
    <w:p>
      <w:pPr>
        <w:ind w:left="512" w:right="38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held consist of 17,395,676 Ordinary Shares directly held by Mr. Newmark, as reported on the Schedule 13G/A filed by Mr. Newmark on June 3, 2025.</w:t>
      </w:r>
    </w:p>
    <w:p>
      <w:pPr>
        <w:spacing w:after="0" w:line="53" w:lineRule="exact"/>
        <w:rPr>
          <w:rFonts w:ascii="Times New Roman" w:cs="Times New Roman" w:eastAsia="Times New Roman" w:hAnsi="Times New Roman"/>
          <w:sz w:val="18"/>
          <w:szCs w:val="18"/>
          <w:color w:val="auto"/>
        </w:rPr>
      </w:pPr>
    </w:p>
    <w:p>
      <w:pPr>
        <w:ind w:left="512" w:right="60" w:hanging="512"/>
        <w:spacing w:after="0" w:line="258"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9,638,693 Ordinary Shares; (ii) 1,240,865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20" w:hanging="512"/>
        <w:spacing w:after="0" w:line="257"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20" w:right="379" w:bottom="1440" w:gutter="0" w:footer="0" w:header="0"/>
        </w:sectPr>
      </w:pPr>
    </w:p>
    <w:bookmarkStart w:id="88" w:name="page89"/>
    <w:bookmarkEnd w:id="88"/>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20,000,000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9, 2025 .</w:t>
      </w:r>
    </w:p>
    <w:p>
      <w:pPr>
        <w:spacing w:after="0" w:line="13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9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color w:val="auto"/>
                <w:vertAlign w:val="superscript"/>
              </w:rPr>
              <w:t>(1)</w:t>
            </w:r>
          </w:p>
        </w:tc>
        <w:tc>
          <w:tcPr>
            <w:tcW w:w="2240" w:type="dxa"/>
            <w:vAlign w:val="bottom"/>
            <w:tcBorders>
              <w:top w:val="single" w:sz="8" w:color="auto"/>
              <w:right w:val="single" w:sz="8" w:color="auto"/>
            </w:tcBorders>
          </w:tcPr>
          <w:p>
            <w:pPr>
              <w:spacing w:after="0"/>
              <w:rPr>
                <w:sz w:val="24"/>
                <w:szCs w:val="24"/>
                <w:color w:val="auto"/>
              </w:rPr>
            </w:pPr>
          </w:p>
        </w:tc>
      </w:tr>
      <w:tr>
        <w:trPr>
          <w:trHeight w:val="139"/>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r>
      <w:tr>
        <w:trPr>
          <w:trHeight w:val="150"/>
        </w:trPr>
        <w:tc>
          <w:tcPr>
            <w:tcW w:w="19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680" w:type="dxa"/>
            <w:vAlign w:val="bottom"/>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44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 After</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 the</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4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 Sold</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 Sold</w:t>
            </w:r>
          </w:p>
        </w:tc>
      </w:tr>
      <w:tr>
        <w:trPr>
          <w:trHeight w:val="238"/>
        </w:trPr>
        <w:tc>
          <w:tcPr>
            <w:tcW w:w="198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4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03"/>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Alyeska Master Fund,</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4"/>
                <w:szCs w:val="24"/>
                <w:color w:val="auto"/>
                <w:vertAlign w:val="superscript"/>
              </w:rPr>
              <w:t>(2)</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Citadel CEMF</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Ltd.</w:t>
            </w:r>
            <w:r>
              <w:rPr>
                <w:rFonts w:ascii="Times New Roman" w:cs="Times New Roman" w:eastAsia="Times New Roman" w:hAnsi="Times New Roman"/>
                <w:sz w:val="24"/>
                <w:szCs w:val="24"/>
                <w:color w:val="auto"/>
                <w:vertAlign w:val="superscript"/>
              </w:rPr>
              <w:t>(3)</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bl>
    <w:p>
      <w:pPr>
        <w:spacing w:after="0" w:line="117" w:lineRule="exact"/>
        <w:rPr>
          <w:sz w:val="20"/>
          <w:szCs w:val="20"/>
          <w:color w:val="auto"/>
        </w:rPr>
      </w:pPr>
    </w:p>
    <w:p>
      <w:pPr>
        <w:ind w:left="140" w:hanging="132"/>
        <w:spacing w:after="0"/>
        <w:tabs>
          <w:tab w:leader="none" w:pos="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284,406,329 Ordinary Shares outstanding, which includes the sale of all securities offered hereby by that particular Selling Holder and does not assume the sale by any other Selling Holder.</w:t>
      </w:r>
    </w:p>
    <w:p>
      <w:pPr>
        <w:spacing w:after="0" w:line="175"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8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registerable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-2623185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61" w:lineRule="auto"/>
        <w:rPr>
          <w:sz w:val="20"/>
          <w:szCs w:val="20"/>
          <w:color w:val="auto"/>
        </w:rPr>
      </w:pPr>
      <w:r>
        <w:rPr>
          <w:rFonts w:ascii="Times New Roman" w:cs="Times New Roman" w:eastAsia="Times New Roman" w:hAnsi="Times New Roman"/>
          <w:sz w:val="18"/>
          <w:szCs w:val="18"/>
          <w:color w:val="auto"/>
        </w:rPr>
        <w:t>securities covered by a description thereof. This response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40" w:top="1012"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ind w:left="76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2" w:name="page93"/>
    <w:bookmarkEnd w:id="9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auto"/>
        </w:rPr>
        <w:t>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61" w:lineRule="auto"/>
        <w:rPr>
          <w:sz w:val="20"/>
          <w:szCs w:val="20"/>
          <w:color w:val="auto"/>
        </w:rPr>
      </w:pPr>
      <w:r>
        <w:rPr>
          <w:rFonts w:ascii="Times New Roman" w:cs="Times New Roman" w:eastAsia="Times New Roman" w:hAnsi="Times New Roman"/>
          <w:sz w:val="18"/>
          <w:szCs w:val="18"/>
          <w:color w:val="auto"/>
        </w:rPr>
        <w:t>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This discussion applies only to Ordinary Shares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means a beneficial owner of Ordinary Shares that is, for U.S. federal income tax purposes:</w:t>
      </w:r>
    </w:p>
    <w:p>
      <w:pPr>
        <w:ind w:left="760" w:hanging="378"/>
        <w:spacing w:after="0" w:line="234"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SHOULD CONSULT WITH THEIR OWN TAX ADVISORS REGARDING THE TAX CONSEQUENCES TO THEM OF THE OWNERSHIP AND DISPOSITION OF ORDINARY SHARES,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the Ordinary Shares are)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“Material Tax Considerations - Material U.S. Federal Income Tax Considerations - Passive Foreign Investment Company Rules.”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a U.S. holder generally will recognize gain or loss on any sale, exchange, redemption or other taxable disposition of Ordinary Shares in an amount equal to the difference between (i) the amount realized on the disposition and (ii) such U.S. holder’s adjusted tax basis in such shares. Any gain or loss recognized by a U.S. holder on a taxable disposition of Ordinary Shares generally will be capital gain or loss and will be long-term capital gain or loss if the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generally will be treated as U.S. source gain or loss.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the taxable year ending December 31, 2025.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ending December 31, 2025 or in a future year.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w:t>
      </w:r>
      <w:r>
        <w:rPr>
          <w:rFonts w:ascii="Times New Roman" w:cs="Times New Roman" w:eastAsia="Times New Roman" w:hAnsi="Times New Roman"/>
          <w:sz w:val="18"/>
          <w:szCs w:val="18"/>
          <w:b w:val="1"/>
          <w:bCs w:val="1"/>
          <w:i w:val="1"/>
          <w:iCs w:val="1"/>
          <w:color w:val="auto"/>
        </w:rPr>
        <w:t>QDI</w:t>
      </w:r>
      <w:r>
        <w:rPr>
          <w:rFonts w:ascii="Times New Roman" w:cs="Times New Roman" w:eastAsia="Times New Roman" w:hAnsi="Times New Roman"/>
          <w:sz w:val="18"/>
          <w:szCs w:val="18"/>
          <w:color w:val="auto"/>
        </w:rPr>
        <w:t>”) under any of the foregoing regimes.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6" w:name="page107"/>
    <w:bookmarkEnd w:id="106"/>
    <w:p>
      <w:pPr>
        <w:jc w:val="both"/>
        <w:spacing w:after="0" w:line="253" w:lineRule="auto"/>
        <w:rPr>
          <w:sz w:val="20"/>
          <w:szCs w:val="20"/>
          <w:color w:val="auto"/>
        </w:rPr>
      </w:pPr>
      <w:r>
        <w:rPr>
          <w:rFonts w:ascii="Times New Roman" w:cs="Times New Roman" w:eastAsia="Times New Roman" w:hAnsi="Times New Roman"/>
          <w:sz w:val="18"/>
          <w:szCs w:val="18"/>
          <w:color w:val="auto"/>
        </w:rPr>
        <w:t>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and maintaining a timely and valid qualified electing fund (“</w:t>
      </w:r>
      <w:r>
        <w:rPr>
          <w:rFonts w:ascii="Times New Roman" w:cs="Times New Roman" w:eastAsia="Times New Roman" w:hAnsi="Times New Roman"/>
          <w:sz w:val="18"/>
          <w:szCs w:val="18"/>
          <w:b w:val="1"/>
          <w:bCs w:val="1"/>
          <w:i w:val="1"/>
          <w:iCs w:val="1"/>
          <w:color w:val="auto"/>
        </w:rPr>
        <w:t>QEF</w:t>
      </w:r>
      <w:r>
        <w:rPr>
          <w:rFonts w:ascii="Times New Roman" w:cs="Times New Roman" w:eastAsia="Times New Roman" w:hAnsi="Times New Roman"/>
          <w:sz w:val="18"/>
          <w:szCs w:val="18"/>
          <w:color w:val="auto"/>
        </w:rPr>
        <w:t>”)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ending December 31, 2025.</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8" w:name="page109"/>
    <w:bookmarkEnd w:id="108"/>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20,000,000 Ordinary Shares issued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ind w:right="480"/>
        <w:spacing w:after="0" w:line="282" w:lineRule="auto"/>
        <w:rPr>
          <w:sz w:val="20"/>
          <w:szCs w:val="20"/>
          <w:color w:val="auto"/>
        </w:rPr>
      </w:pPr>
      <w:r>
        <w:rPr>
          <w:rFonts w:ascii="Times New Roman" w:cs="Times New Roman" w:eastAsia="Times New Roman" w:hAnsi="Times New Roman"/>
          <w:sz w:val="18"/>
          <w:szCs w:val="18"/>
          <w:color w:val="auto"/>
        </w:rPr>
        <w:t>may transfer our securities in other circumstances, in which case the transferees, pledgees or other successors in interest will be the selling beneficial owners for purposes of this prospectus.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10" w:name="page111"/>
    <w:bookmarkEnd w:id="110"/>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2"/>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2" w:name="page113"/>
    <w:bookmarkEnd w:id="112"/>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 except for note 17 for which the date is September 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6" w:name="page117"/>
    <w:bookmarkEnd w:id="11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7" w:name="page118"/>
    <w:bookmarkEnd w:id="11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2"/>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8" w:name="page119"/>
    <w:bookmarkEnd w:id="11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-1156335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-2974340</wp:posOffset>
            </wp:positionV>
            <wp:extent cx="431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-316230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-316230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-316230</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September 9,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On July 24, 2025,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pursuant to which the Company agreed to sell and issue to the Purchasers in a private placement offering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20,000,000 ordinary shares, 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at an offering price of $2.50 per Ordinary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intends to use the net proceeds of the PIPE Financing for working capital, potential accretive M&amp;A opportunities, and general corporate purposes. A.G.P/Alliance Global Partners (“</w:t>
      </w:r>
      <w:r>
        <w:rPr>
          <w:rFonts w:ascii="Times New Roman" w:cs="Times New Roman" w:eastAsia="Times New Roman" w:hAnsi="Times New Roman"/>
          <w:sz w:val="18"/>
          <w:szCs w:val="18"/>
          <w:b w:val="1"/>
          <w:bCs w:val="1"/>
          <w:i w:val="1"/>
          <w:iCs w:val="1"/>
          <w:color w:val="auto"/>
        </w:rPr>
        <w:t>A.G.P</w:t>
      </w:r>
      <w:r>
        <w:rPr>
          <w:rFonts w:ascii="Times New Roman" w:cs="Times New Roman" w:eastAsia="Times New Roman" w:hAnsi="Times New Roman"/>
          <w:sz w:val="18"/>
          <w:szCs w:val="18"/>
          <w:color w:val="auto"/>
        </w:rPr>
        <w:t>”) acted as a placement agent in connection with the PIPE Financing.</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PIPE Financing closed on July 25, 2025, resulting in aggregate gross proceeds to the Company of $50 million, before deducting the placement agent’s fee and offering expenses payable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Company also entered into a Placement Agent Agreement with A.G.P dated July 24, 2025, pursuant to which A.G.P agreed to serve as placement agent for the Company in connection with the PIPE Financing. The Company agreed to pay A.G.P a cash fee equal to 7.0% of the gross cash proceeds received in the PIPE Financing; however, A.G.P. agreed to apply a credit to the Company equal to 3.5% of the aggregate participation from certain of the Purchasers. In addition, the Company agreed to reimburse A.G.P for up to $120,000 of its legal fees and other out-of-pocket expenses in connection with the PIPE Financing as well as non-accountable expenses incurred by A.G.P for up to $10,000 in connection with the PIPE Financing.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p>
      <w:pPr>
        <w:ind w:left="1020" w:right="220" w:hanging="503"/>
        <w:spacing w:after="0" w:line="26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9"/>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8" w:name="page159"/>
    <w:bookmarkEnd w:id="158"/>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59" w:name="page160"/>
    <w:bookmarkEnd w:id="1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0" w:name="page161"/>
    <w:bookmarkEnd w:id="160"/>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1" w:name="page162"/>
    <w:bookmarkEnd w:id="161"/>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2" w:name="page163"/>
    <w:bookmarkEnd w:id="162"/>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3" w:name="page164"/>
    <w:bookmarkEnd w:id="16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-1002030</wp:posOffset>
            </wp:positionV>
            <wp:extent cx="431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-984885</wp:posOffset>
            </wp:positionV>
            <wp:extent cx="431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-1002030</wp:posOffset>
            </wp:positionV>
            <wp:extent cx="431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431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4" w:name="page165"/>
    <w:bookmarkEnd w:id="164"/>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6" w:name="page167"/>
    <w:bookmarkEnd w:id="166"/>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68" w:name="page169"/>
    <w:bookmarkEnd w:id="168"/>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9" w:name="page170"/>
    <w:bookmarkEnd w:id="169"/>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0" w:name="page171"/>
    <w:bookmarkEnd w:id="170"/>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2" w:name="page173"/>
    <w:bookmarkEnd w:id="17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9"/>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5" w:name="page176"/>
    <w:bookmarkEnd w:id="175"/>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July 24, 2025, Rezolve entered into the Purchase Agreements with the Selling Holders, for the purchase and sale of 20,000,000 Ordinary Shares in a private placement at a price of $2.50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tcBorders>
            <w:shd w:val="clear" w:color="auto" w:fill="000000"/>
          </w:tcPr>
          <w:p>
            <w:pPr>
              <w:spacing w:after="0"/>
              <w:rPr>
                <w:sz w:val="18"/>
                <w:szCs w:val="18"/>
                <w:color w:val="auto"/>
              </w:rPr>
            </w:pPr>
          </w:p>
        </w:tc>
        <w:tc>
          <w:tcPr>
            <w:tcW w:w="9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9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Pr>
          <w:p>
            <w:pPr>
              <w:ind w:left="10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700" w:type="dxa"/>
            <w:vAlign w:val="bottom"/>
            <w:tcBorders>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596">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00" w:type="dxa"/>
            <w:vAlign w:val="bottom"/>
            <w:gridSpan w:val="8"/>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Statement on Form F-4, Amendment No. 2, filed with the SEC on September 25, 2023).</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480" w:type="dxa"/>
            <w:vAlign w:val="bottom"/>
            <w:gridSpan w:val="7"/>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00" w:type="dxa"/>
            <w:vAlign w:val="bottom"/>
            <w:gridSpan w:val="3"/>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F-4, Amendment No. 2, filed with the SEC on September 25, 2023).</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140" w:type="dxa"/>
            <w:vAlign w:val="bottom"/>
            <w:gridSpan w:val="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Limited’s Shell Company Report on Form 20-F, filed with the SEC on April 24, 2025).</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EE"/>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00" w:type="dxa"/>
            <w:vAlign w:val="bottom"/>
            <w:gridSpan w:val="3"/>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60" w:type="dxa"/>
            <w:vAlign w:val="bottom"/>
            <w:gridSpan w:val="4"/>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0A0A0"/>
            </w:tcBorders>
            <w:gridSpan w:val="2"/>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400" w:type="dxa"/>
            <w:vAlign w:val="bottom"/>
            <w:tcBorders>
              <w:bottom w:val="single" w:sz="8" w:color="A0A0A0"/>
            </w:tcBorders>
            <w:gridSpan w:val="2"/>
          </w:tcPr>
          <w:p>
            <w:pPr>
              <w:spacing w:after="0"/>
              <w:rPr>
                <w:sz w:val="18"/>
                <w:szCs w:val="18"/>
                <w:color w:val="auto"/>
              </w:rPr>
            </w:pPr>
          </w:p>
        </w:tc>
        <w:tc>
          <w:tcPr>
            <w:tcW w:w="1760" w:type="dxa"/>
            <w:vAlign w:val="bottom"/>
            <w:tcBorders>
              <w:bottom w:val="single" w:sz="8" w:color="A0A0A0"/>
            </w:tcBorders>
          </w:tcPr>
          <w:p>
            <w:pPr>
              <w:spacing w:after="0"/>
              <w:rPr>
                <w:sz w:val="18"/>
                <w:szCs w:val="18"/>
                <w:color w:val="auto"/>
              </w:rPr>
            </w:pPr>
          </w:p>
        </w:tc>
        <w:tc>
          <w:tcPr>
            <w:tcW w:w="2000" w:type="dxa"/>
            <w:vAlign w:val="bottom"/>
            <w:tcBorders>
              <w:bottom w:val="single" w:sz="8" w:color="A0A0A0"/>
            </w:tcBorders>
          </w:tcPr>
          <w:p>
            <w:pPr>
              <w:spacing w:after="0"/>
              <w:rPr>
                <w:sz w:val="18"/>
                <w:szCs w:val="18"/>
                <w:color w:val="auto"/>
              </w:rPr>
            </w:pPr>
          </w:p>
        </w:tc>
        <w:tc>
          <w:tcPr>
            <w:tcW w:w="1160" w:type="dxa"/>
            <w:vAlign w:val="bottom"/>
            <w:tcBorders>
              <w:bottom w:val="single" w:sz="8" w:color="A0A0A0"/>
            </w:tcBorders>
          </w:tcPr>
          <w:p>
            <w:pPr>
              <w:spacing w:after="0"/>
              <w:rPr>
                <w:sz w:val="18"/>
                <w:szCs w:val="18"/>
                <w:color w:val="auto"/>
              </w:rPr>
            </w:pPr>
          </w:p>
        </w:tc>
        <w:tc>
          <w:tcPr>
            <w:tcW w:w="1120" w:type="dxa"/>
            <w:vAlign w:val="bottom"/>
            <w:tcBorders>
              <w:bottom w:val="single" w:sz="8" w:color="A0A0A0"/>
            </w:tcBorders>
          </w:tcPr>
          <w:p>
            <w:pPr>
              <w:spacing w:after="0"/>
              <w:rPr>
                <w:sz w:val="18"/>
                <w:szCs w:val="18"/>
                <w:color w:val="auto"/>
              </w:rPr>
            </w:pPr>
          </w:p>
        </w:tc>
        <w:tc>
          <w:tcPr>
            <w:tcW w:w="300" w:type="dxa"/>
            <w:vAlign w:val="bottom"/>
            <w:tcBorders>
              <w:bottom w:val="single" w:sz="8" w:color="A0A0A0"/>
            </w:tcBorders>
          </w:tcPr>
          <w:p>
            <w:pPr>
              <w:spacing w:after="0"/>
              <w:rPr>
                <w:sz w:val="18"/>
                <w:szCs w:val="18"/>
                <w:color w:val="auto"/>
              </w:rPr>
            </w:pPr>
          </w:p>
        </w:tc>
        <w:tc>
          <w:tcPr>
            <w:tcW w:w="24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9880" w:type="dxa"/>
            <w:vAlign w:val="bottom"/>
            <w:gridSpan w:val="14"/>
            <w:vMerge w:val="restart"/>
          </w:tcPr>
          <w:p>
            <w:pPr>
              <w:spacing w:after="0"/>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320" w:type="dxa"/>
            <w:vAlign w:val="bottom"/>
            <w:gridSpan w:val="6"/>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shd w:val="clear" w:color="auto" w:fill="000000"/>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9880" w:type="dxa"/>
            <w:vAlign w:val="bottom"/>
            <w:tcBorders>
              <w:bottom w:val="single" w:sz="8" w:color="0000FF"/>
            </w:tcBorders>
            <w:gridSpan w:val="14"/>
            <w:vMerge w:val="continue"/>
          </w:tcPr>
          <w:p>
            <w:pPr>
              <w:spacing w:after="0"/>
              <w:rPr>
                <w:sz w:val="15"/>
                <w:szCs w:val="15"/>
                <w:color w:val="auto"/>
              </w:rPr>
            </w:pPr>
          </w:p>
        </w:tc>
        <w:tc>
          <w:tcPr>
            <w:tcW w:w="320" w:type="dxa"/>
            <w:vAlign w:val="bottom"/>
            <w:gridSpan w:val="6"/>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c>
          <w:tcPr>
            <w:tcW w:w="280" w:type="dxa"/>
            <w:vAlign w:val="bottom"/>
            <w:gridSpan w:val="5"/>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20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1000" w:type="dxa"/>
            <w:vAlign w:val="bottom"/>
            <w:gridSpan w:val="1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760" w:type="dxa"/>
            <w:vAlign w:val="bottom"/>
            <w:gridSpan w:val="10"/>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Limited’s Shell Company Report on 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6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540" w:type="dxa"/>
            <w:vAlign w:val="bottom"/>
            <w:gridSpan w:val="9"/>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2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460" w:type="dxa"/>
            <w:vAlign w:val="bottom"/>
            <w:tcBorders>
              <w:right w:val="single" w:sz="8" w:color="auto"/>
            </w:tcBorders>
            <w:gridSpan w:val="12"/>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300" w:type="dxa"/>
            <w:vAlign w:val="bottom"/>
            <w:tcBorders>
              <w:right w:val="single" w:sz="8" w:color="auto"/>
            </w:tcBorders>
            <w:gridSpan w:val="32"/>
          </w:tcPr>
          <w:p>
            <w:pPr>
              <w:ind w:left="80"/>
              <w:spacing w:after="0" w:line="169" w:lineRule="exact"/>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Opinion of Taylor Wessing LLP.</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95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70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amended and restated on December 18, 2023 and December 29, 2023 (incorporated by reference to Exhibit 10.17 of Rezolve AI Limited’s</w:t>
              </w:r>
            </w:hyperlink>
          </w:p>
        </w:tc>
        <w:tc>
          <w:tcPr>
            <w:tcW w:w="200" w:type="dxa"/>
            <w:vAlign w:val="bottom"/>
            <w:tcBorders>
              <w:right w:val="single" w:sz="8" w:color="auto"/>
            </w:tcBorders>
            <w:gridSpan w:val="4"/>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Registration Statement on Form F-4, Amendment No. 6, filed with the 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4"/>
                <w:szCs w:val="14"/>
                <w:color w:val="auto"/>
              </w:rPr>
            </w:pPr>
          </w:p>
        </w:tc>
        <w:tc>
          <w:tcPr>
            <w:tcW w:w="1000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4"/>
                <w:szCs w:val="14"/>
                <w:color w:val="auto"/>
              </w:rPr>
            </w:pPr>
          </w:p>
        </w:tc>
        <w:tc>
          <w:tcPr>
            <w:tcW w:w="1000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c>
          <w:tcPr>
            <w:tcW w:w="160" w:type="dxa"/>
            <w:vAlign w:val="bottom"/>
            <w:tcBorders>
              <w:right w:val="single" w:sz="8" w:color="auto"/>
            </w:tcBorders>
            <w:gridSpan w:val="3"/>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20, 2024).</w:t>
              </w:r>
            </w:hyperlink>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4"/>
                <w:szCs w:val="14"/>
                <w:color w:val="auto"/>
              </w:rPr>
            </w:pPr>
          </w:p>
        </w:tc>
        <w:tc>
          <w:tcPr>
            <w:tcW w:w="996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c>
          <w:tcPr>
            <w:tcW w:w="260" w:type="dxa"/>
            <w:vAlign w:val="bottom"/>
            <w:tcBorders>
              <w:right w:val="single" w:sz="8" w:color="auto"/>
            </w:tcBorders>
            <w:gridSpan w:val="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c>
          <w:tcPr>
            <w:tcW w:w="12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4"/>
                <w:szCs w:val="14"/>
                <w:color w:val="auto"/>
              </w:rPr>
            </w:pPr>
          </w:p>
        </w:tc>
        <w:tc>
          <w:tcPr>
            <w:tcW w:w="95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70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c>
          <w:tcPr>
            <w:tcW w:w="12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4"/>
                <w:szCs w:val="14"/>
                <w:color w:val="auto"/>
              </w:rPr>
            </w:pPr>
          </w:p>
        </w:tc>
        <w:tc>
          <w:tcPr>
            <w:tcW w:w="100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c>
          <w:tcPr>
            <w:tcW w:w="140" w:type="dxa"/>
            <w:vAlign w:val="bottom"/>
            <w:tcBorders>
              <w:right w:val="single" w:sz="8" w:color="auto"/>
            </w:tcBorders>
            <w:gridSpan w:val="2"/>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4"/>
                <w:szCs w:val="14"/>
                <w:color w:val="auto"/>
              </w:rPr>
            </w:pPr>
          </w:p>
        </w:tc>
        <w:tc>
          <w:tcPr>
            <w:tcW w:w="1010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614">
              <w:r>
                <w:rPr>
                  <w:rFonts w:ascii="Times New Roman" w:cs="Times New Roman" w:eastAsia="Times New Roman" w:hAnsi="Times New Roman"/>
                  <w:sz w:val="18"/>
                  <w:szCs w:val="18"/>
                  <w:color w:val="0000FF"/>
                  <w:w w:val="99"/>
                </w:rPr>
                <w:t>Power of Disposal over ANY Lifestyle Marketing GmbH, dated November 17, 2023 (incorporated by reference to Exhibit 10.23 of Rezolve</w:t>
              </w:r>
            </w:hyperlink>
          </w:p>
        </w:tc>
        <w:tc>
          <w:tcPr>
            <w:tcW w:w="12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4"/>
                <w:szCs w:val="14"/>
                <w:color w:val="auto"/>
              </w:rPr>
            </w:pPr>
          </w:p>
        </w:tc>
        <w:tc>
          <w:tcPr>
            <w:tcW w:w="1000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640" w:type="dxa"/>
            <w:vAlign w:val="bottom"/>
            <w:tcBorders>
              <w:right w:val="single" w:sz="8" w:color="auto"/>
            </w:tcBorders>
            <w:gridSpan w:val="1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420" w:type="dxa"/>
            <w:vAlign w:val="bottom"/>
            <w:tcBorders>
              <w:right w:val="single" w:sz="8" w:color="auto"/>
            </w:tcBorders>
            <w:gridSpan w:val="1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92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460" w:type="dxa"/>
            <w:vAlign w:val="bottom"/>
            <w:tcBorders>
              <w:right w:val="single" w:sz="8" w:color="auto"/>
            </w:tcBorders>
            <w:gridSpan w:val="12"/>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440" w:type="dxa"/>
            <w:vAlign w:val="bottom"/>
            <w:tcBorders>
              <w:right w:val="single" w:sz="8" w:color="auto"/>
            </w:tcBorders>
            <w:gridSpan w:val="11"/>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4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480" w:type="dxa"/>
            <w:vAlign w:val="bottom"/>
            <w:tcBorders>
              <w:right w:val="single" w:sz="8" w:color="auto"/>
            </w:tcBorders>
            <w:gridSpan w:val="1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10300" w:type="dxa"/>
            <w:vAlign w:val="bottom"/>
            <w:tcBorders>
              <w:right w:val="single" w:sz="8" w:color="auto"/>
            </w:tcBorders>
            <w:gridSpan w:val="32"/>
          </w:tcPr>
          <w:p>
            <w:pPr>
              <w:ind w:left="80"/>
              <w:spacing w:after="0" w:line="169"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4"/>
                <w:szCs w:val="14"/>
                <w:color w:val="auto"/>
              </w:rPr>
            </w:pPr>
          </w:p>
        </w:tc>
        <w:tc>
          <w:tcPr>
            <w:tcW w:w="992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Form of Securities Purchase Agreement (incorporated by reference to Exhibit 10.1 of Rezolve's Report on Form 6-K, filed December 23,</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4"/>
                <w:szCs w:val="14"/>
                <w:color w:val="auto"/>
              </w:rPr>
            </w:pPr>
          </w:p>
        </w:tc>
        <w:tc>
          <w:tcPr>
            <w:tcW w:w="95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70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4"/>
                <w:szCs w:val="14"/>
                <w:color w:val="auto"/>
              </w:rPr>
            </w:pPr>
          </w:p>
        </w:tc>
        <w:tc>
          <w:tcPr>
            <w:tcW w:w="99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c>
          <w:tcPr>
            <w:tcW w:w="240" w:type="dxa"/>
            <w:vAlign w:val="bottom"/>
            <w:tcBorders>
              <w:right w:val="single" w:sz="8" w:color="auto"/>
            </w:tcBorders>
            <w:gridSpan w:val="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2"/>
          </w:tcPr>
          <w:p>
            <w:pPr>
              <w:ind w:left="80"/>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Exhibit 10.1 of Rezolve's Report on Form 6-K, filed February 7, 2025).</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561"/>
        </w:trPr>
        <w:tc>
          <w:tcPr>
            <w:tcW w:w="940" w:type="dxa"/>
            <w:vAlign w:val="bottom"/>
          </w:tcPr>
          <w:p>
            <w:pPr>
              <w:spacing w:after="0"/>
              <w:rPr>
                <w:sz w:val="24"/>
                <w:szCs w:val="24"/>
                <w:color w:val="auto"/>
              </w:rPr>
            </w:pPr>
          </w:p>
        </w:tc>
        <w:tc>
          <w:tcPr>
            <w:tcW w:w="522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auto"/>
            </w:tcBorders>
          </w:tcPr>
          <w:p>
            <w:pPr>
              <w:spacing w:after="0"/>
              <w:rPr>
                <w:sz w:val="16"/>
                <w:szCs w:val="16"/>
                <w:color w:val="auto"/>
              </w:rPr>
            </w:pPr>
          </w:p>
        </w:tc>
        <w:tc>
          <w:tcPr>
            <w:tcW w:w="9860" w:type="dxa"/>
            <w:vAlign w:val="bottom"/>
            <w:tcBorders>
              <w:top w:val="single" w:sz="8" w:color="auto"/>
              <w:bottom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top w:val="single" w:sz="8" w:color="auto"/>
              <w:right w:val="single" w:sz="8" w:color="auto"/>
            </w:tcBorders>
            <w:gridSpan w:val="5"/>
          </w:tcPr>
          <w:p>
            <w:pPr>
              <w:spacing w:after="0"/>
              <w:rPr>
                <w:sz w:val="16"/>
                <w:szCs w:val="16"/>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filed February 11, 2025).</w:t>
              </w:r>
            </w:hyperlink>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FF"/>
              <w:bottom w:val="single" w:sz="8" w:color="0000FF"/>
            </w:tcBorders>
          </w:tcPr>
          <w:p>
            <w:pPr>
              <w:spacing w:after="0"/>
              <w:rPr>
                <w:sz w:val="5"/>
                <w:szCs w:val="5"/>
                <w:color w:val="auto"/>
              </w:rPr>
            </w:pPr>
          </w:p>
        </w:tc>
        <w:tc>
          <w:tcPr>
            <w:tcW w:w="100" w:type="dxa"/>
            <w:vAlign w:val="bottom"/>
            <w:tcBorders>
              <w:top w:val="single" w:sz="8" w:color="0000FF"/>
              <w:bottom w:val="single" w:sz="8" w:color="0000FF"/>
            </w:tcBorders>
          </w:tcPr>
          <w:p>
            <w:pPr>
              <w:spacing w:after="0"/>
              <w:rPr>
                <w:sz w:val="5"/>
                <w:szCs w:val="5"/>
                <w:color w:val="auto"/>
              </w:rPr>
            </w:pPr>
          </w:p>
        </w:tc>
        <w:tc>
          <w:tcPr>
            <w:tcW w:w="13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29"/>
        </w:trPr>
        <w:tc>
          <w:tcPr>
            <w:tcW w:w="92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10.19</w:t>
            </w:r>
          </w:p>
        </w:tc>
        <w:tc>
          <w:tcPr>
            <w:tcW w:w="100" w:type="dxa"/>
            <w:vAlign w:val="bottom"/>
            <w:tcBorders>
              <w:top w:val="single" w:sz="8" w:color="auto"/>
            </w:tcBorders>
          </w:tcPr>
          <w:p>
            <w:pPr>
              <w:spacing w:after="0"/>
              <w:rPr>
                <w:sz w:val="11"/>
                <w:szCs w:val="11"/>
                <w:color w:val="auto"/>
              </w:rPr>
            </w:pPr>
          </w:p>
        </w:tc>
        <w:tc>
          <w:tcPr>
            <w:tcW w:w="9480" w:type="dxa"/>
            <w:vAlign w:val="bottom"/>
            <w:tcBorders>
              <w:top w:val="single" w:sz="8" w:color="auto"/>
              <w:bottom w:val="single" w:sz="8" w:color="0000FF"/>
            </w:tcBorders>
            <w:gridSpan w:val="11"/>
          </w:tcPr>
          <w:p>
            <w:pPr>
              <w:spacing w:after="0" w:line="130" w:lineRule="exact"/>
              <w:rPr>
                <w:rFonts w:ascii="Times New Roman" w:cs="Times New Roman" w:eastAsia="Times New Roman" w:hAnsi="Times New Roman"/>
                <w:sz w:val="15"/>
                <w:szCs w:val="15"/>
                <w:color w:val="0000FF"/>
              </w:rPr>
            </w:pPr>
            <w:hyperlink r:id="rId628">
              <w:r>
                <w:rPr>
                  <w:rFonts w:ascii="Times New Roman" w:cs="Times New Roman" w:eastAsia="Times New Roman" w:hAnsi="Times New Roman"/>
                  <w:sz w:val="15"/>
                  <w:szCs w:val="15"/>
                  <w:color w:val="0000FF"/>
                </w:rPr>
                <w:t>Form of Securities Purchase Agreement, dated February 21, 2025, between Rezolve AI Ltd., and each of the investors listed on the</w:t>
              </w:r>
            </w:hyperlink>
          </w:p>
        </w:tc>
        <w:tc>
          <w:tcPr>
            <w:tcW w:w="740" w:type="dxa"/>
            <w:vAlign w:val="bottom"/>
            <w:tcBorders>
              <w:top w:val="single" w:sz="8" w:color="auto"/>
              <w:right w:val="single" w:sz="8" w:color="auto"/>
            </w:tcBorders>
            <w:gridSpan w:val="6"/>
          </w:tcPr>
          <w:p>
            <w:pPr>
              <w:spacing w:after="0"/>
              <w:rPr>
                <w:sz w:val="11"/>
                <w:szCs w:val="1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7"/>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Form of Securities Purchase Agreement (incorporated by reference to Exhibit 10.1 of Rezolve's Report on Form 6-K, filed July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4"/>
                <w:szCs w:val="14"/>
                <w:color w:val="auto"/>
              </w:rPr>
            </w:pPr>
          </w:p>
        </w:tc>
        <w:tc>
          <w:tcPr>
            <w:tcW w:w="1004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Placement Agent Agreement, dated July 24, 2025, between Rezolve AI plc and A.G.P/Alliance Global Partners (incorporated by reference</w:t>
              </w:r>
            </w:hyperlink>
          </w:p>
        </w:tc>
        <w:tc>
          <w:tcPr>
            <w:tcW w:w="180" w:type="dxa"/>
            <w:vAlign w:val="bottom"/>
            <w:tcBorders>
              <w:right w:val="single" w:sz="8" w:color="auto"/>
            </w:tcBorders>
            <w:gridSpan w:val="2"/>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to Exhibit 10.2 of Rezolve's Report on Form 6-K, filed July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Form of Registration Rights Agreement (incorporated by reference to Exhibit 10.3 of Rezolve's Report on Form 6-K, filed July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right w:val="single" w:sz="8" w:color="auto"/>
            </w:tcBorders>
            <w:gridSpan w:val="18"/>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18"/>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9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36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600" w:type="dxa"/>
            <w:vAlign w:val="bottom"/>
            <w:tcBorders>
              <w:bottom w:val="single" w:sz="8" w:color="A0A0A0"/>
            </w:tcBorders>
          </w:tcPr>
          <w:p>
            <w:pPr>
              <w:spacing w:after="0"/>
              <w:rPr>
                <w:sz w:val="17"/>
                <w:szCs w:val="17"/>
                <w:color w:val="auto"/>
              </w:rPr>
            </w:pPr>
          </w:p>
        </w:tc>
        <w:tc>
          <w:tcPr>
            <w:tcW w:w="1780" w:type="dxa"/>
            <w:vAlign w:val="bottom"/>
            <w:tcBorders>
              <w:bottom w:val="single" w:sz="8" w:color="A0A0A0"/>
            </w:tcBorders>
          </w:tcPr>
          <w:p>
            <w:pPr>
              <w:spacing w:after="0"/>
              <w:rPr>
                <w:sz w:val="17"/>
                <w:szCs w:val="17"/>
                <w:color w:val="auto"/>
              </w:rPr>
            </w:pPr>
          </w:p>
        </w:tc>
        <w:tc>
          <w:tcPr>
            <w:tcW w:w="660" w:type="dxa"/>
            <w:vAlign w:val="bottom"/>
            <w:tcBorders>
              <w:bottom w:val="single" w:sz="8" w:color="A0A0A0"/>
            </w:tcBorders>
          </w:tcPr>
          <w:p>
            <w:pPr>
              <w:spacing w:after="0"/>
              <w:rPr>
                <w:sz w:val="17"/>
                <w:szCs w:val="17"/>
                <w:color w:val="auto"/>
              </w:rPr>
            </w:pPr>
          </w:p>
        </w:tc>
        <w:tc>
          <w:tcPr>
            <w:tcW w:w="422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380" w:type="dxa"/>
            <w:vAlign w:val="bottom"/>
            <w:tcBorders>
              <w:bottom w:val="single" w:sz="8" w:color="A0A0A0"/>
            </w:tcBorders>
          </w:tcPr>
          <w:p>
            <w:pPr>
              <w:spacing w:after="0"/>
              <w:rPr>
                <w:sz w:val="17"/>
                <w:szCs w:val="17"/>
                <w:color w:val="auto"/>
              </w:rPr>
            </w:pPr>
          </w:p>
        </w:tc>
        <w:tc>
          <w:tcPr>
            <w:tcW w:w="80" w:type="dxa"/>
            <w:vAlign w:val="bottom"/>
            <w:tcBorders>
              <w:bottom w:val="single" w:sz="8" w:color="A0A0A0"/>
            </w:tcBorders>
          </w:tcPr>
          <w:p>
            <w:pPr>
              <w:spacing w:after="0"/>
              <w:rPr>
                <w:sz w:val="17"/>
                <w:szCs w:val="17"/>
                <w:color w:val="auto"/>
              </w:rPr>
            </w:pPr>
          </w:p>
        </w:tc>
        <w:tc>
          <w:tcPr>
            <w:tcW w:w="8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32"/>
        </w:trPr>
        <w:tc>
          <w:tcPr>
            <w:tcW w:w="920" w:type="dxa"/>
            <w:vAlign w:val="bottom"/>
            <w:tcBorders>
              <w:lef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tcBorders>
              <w:right w:val="single" w:sz="8" w:color="auto"/>
            </w:tcBorders>
            <w:gridSpan w:val="16"/>
          </w:tcPr>
          <w:p>
            <w:pPr>
              <w:ind w:left="100"/>
              <w:spacing w:after="0" w:line="133" w:lineRule="exact"/>
              <w:rPr>
                <w:rFonts w:ascii="Times New Roman" w:cs="Times New Roman" w:eastAsia="Times New Roman" w:hAnsi="Times New Roman"/>
                <w:sz w:val="15"/>
                <w:szCs w:val="15"/>
                <w:color w:val="0000FF"/>
              </w:rPr>
            </w:pPr>
            <w:hyperlink r:id="rId607">
              <w:r>
                <w:rPr>
                  <w:rFonts w:ascii="Times New Roman" w:cs="Times New Roman" w:eastAsia="Times New Roman" w:hAnsi="Times New Roman"/>
                  <w:sz w:val="15"/>
                  <w:szCs w:val="15"/>
                  <w:color w:val="0000FF"/>
                </w:rPr>
                <w:t>Consent of Taylor Wessing LLP (included in Exhibit 5.1).</w:t>
              </w:r>
            </w:hyperlink>
          </w:p>
        </w:tc>
      </w:tr>
      <w:tr>
        <w:trPr>
          <w:trHeight w:val="60"/>
        </w:trPr>
        <w:tc>
          <w:tcPr>
            <w:tcW w:w="9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600" w:type="dxa"/>
            <w:vAlign w:val="bottom"/>
            <w:tcBorders>
              <w:top w:val="single" w:sz="8" w:color="0000FF"/>
              <w:bottom w:val="single" w:sz="8" w:color="0000FF"/>
            </w:tcBorders>
          </w:tcPr>
          <w:p>
            <w:pPr>
              <w:spacing w:after="0"/>
              <w:rPr>
                <w:sz w:val="5"/>
                <w:szCs w:val="5"/>
                <w:color w:val="auto"/>
              </w:rPr>
            </w:pPr>
          </w:p>
        </w:tc>
        <w:tc>
          <w:tcPr>
            <w:tcW w:w="1780" w:type="dxa"/>
            <w:vAlign w:val="bottom"/>
            <w:tcBorders>
              <w:top w:val="single" w:sz="8" w:color="0000FF"/>
              <w:bottom w:val="single" w:sz="8" w:color="0000FF"/>
            </w:tcBorders>
          </w:tcPr>
          <w:p>
            <w:pPr>
              <w:spacing w:after="0"/>
              <w:rPr>
                <w:sz w:val="5"/>
                <w:szCs w:val="5"/>
                <w:color w:val="auto"/>
              </w:rPr>
            </w:pPr>
          </w:p>
        </w:tc>
        <w:tc>
          <w:tcPr>
            <w:tcW w:w="6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52"/>
        </w:trPr>
        <w:tc>
          <w:tcPr>
            <w:tcW w:w="92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100" w:type="dxa"/>
            <w:vAlign w:val="bottom"/>
            <w:tcBorders>
              <w:top w:val="single" w:sz="8" w:color="auto"/>
              <w:right w:val="single" w:sz="8" w:color="auto"/>
            </w:tcBorders>
            <w:gridSpan w:val="16"/>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09"/>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9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100" w:type="dxa"/>
            <w:vAlign w:val="bottom"/>
            <w:tcBorders>
              <w:right w:val="single" w:sz="8" w:color="auto"/>
            </w:tcBorders>
            <w:gridSpan w:val="16"/>
          </w:tcPr>
          <w:p>
            <w:pPr>
              <w:ind w:left="100"/>
              <w:spacing w:after="0" w:line="169"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Calculation of Fee Table.</w:t>
              </w:r>
            </w:hyperlink>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0" w:name="page181"/>
    <w:bookmarkEnd w:id="180"/>
    <w:p>
      <w:pPr>
        <w:spacing w:after="0" w:line="282"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(i)Any preliminary prospectus or prospectus of the undersigned registrant relating to the offering required to be filed pursuant to Rule 424;</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Registration Statement on Form F-1 to be signed on its behalf by the undersigned, thereunto duly authorized, in the city of London, United Kingdom, on the 9th day of September, 2025.</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9,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the city of New York, New York, on the 9th of September, 2025.</w:t>
      </w:r>
    </w:p>
    <w:p>
      <w:pPr>
        <w:spacing w:after="0" w:line="3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9">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3" w:name="page184"/>
    <w:bookmarkEnd w:id="183"/>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hereby consent to the inclusion in this Amendment No. 1 to the Registration Statement on Form F-1 (No. 333-289103) of our report dated April 23, 2025; except for Note 17 to which the date is September 9,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inclusion this Amendment No. 1 to Registration Statement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1."/>
      <w:numFmt w:val="upperLetter"/>
      <w:start w:val="1"/>
    </w:lvl>
  </w:abstractNum>
  <w:abstractNum w:abstractNumId="7">
    <w:nsid w:val="1EBA5D23"/>
    <w:multiLevelType w:val="hybridMultilevel"/>
    <w:lvl w:ilvl="0">
      <w:lvlJc w:val="left"/>
      <w:lvlText w:val="%1."/>
      <w:numFmt w:val="upperLetter"/>
      <w:start w:val="1"/>
    </w:lvl>
  </w:abstractNum>
  <w:abstractNum w:abstractNumId="8">
    <w:nsid w:val="661E3F1E"/>
    <w:multiLevelType w:val="hybridMultilevel"/>
    <w:lvl w:ilvl="0">
      <w:lvlJc w:val="left"/>
      <w:lvlText w:val="%1."/>
      <w:numFmt w:val="upperLetter"/>
      <w:start w:val="7"/>
    </w:lvl>
  </w:abstractNum>
  <w:abstractNum w:abstractNumId="9">
    <w:nsid w:val="5DC79EA8"/>
    <w:multiLevelType w:val="hybridMultilevel"/>
    <w:lvl w:ilvl="0">
      <w:lvlJc w:val="left"/>
      <w:lvlText w:val="%1."/>
      <w:numFmt w:val="decimal"/>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lowerLetter"/>
      <w:start w:val="5"/>
    </w:lvl>
  </w:abstractNum>
  <w:abstractNum w:abstractNumId="13">
    <w:nsid w:val="613EFDC5"/>
    <w:multiLevelType w:val="hybridMultilevel"/>
    <w:lvl w:ilvl="0">
      <w:lvlJc w:val="left"/>
      <w:lvlText w:val="%1."/>
      <w:numFmt w:val="decimal"/>
      <w:start w:val="1"/>
    </w:lvl>
  </w:abstractNum>
  <w:abstractNum w:abstractNumId="14">
    <w:nsid w:val="BF72B14"/>
    <w:multiLevelType w:val="hybridMultilevel"/>
    <w:lvl w:ilvl="0">
      <w:lvlJc w:val="left"/>
      <w:lvlText w:val="%1."/>
      <w:numFmt w:val="decimal"/>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1)"/>
      <w:numFmt w:val="lowerLetter"/>
      <w:start w:val="1"/>
    </w:lvl>
  </w:abstractNum>
  <w:abstractNum w:abstractNumId="18">
    <w:nsid w:val="8F2B15E"/>
    <w:multiLevelType w:val="hybridMultilevel"/>
    <w:lvl w:ilvl="0">
      <w:lvlJc w:val="left"/>
      <w:lvlText w:val="(%1)"/>
      <w:numFmt w:val="lowerLetter"/>
      <w:start w:val="5"/>
    </w:lvl>
  </w:abstractNum>
  <w:abstractNum w:abstractNumId="19">
    <w:nsid w:val="1A32234B"/>
    <w:multiLevelType w:val="hybridMultilevel"/>
    <w:lvl w:ilvl="0">
      <w:lvlJc w:val="left"/>
      <w:lvlText w:val="(%1)"/>
      <w:numFmt w:val="lowerLetter"/>
      <w:start w:val="18"/>
    </w:lvl>
  </w:abstractNum>
  <w:abstractNum w:abstractNumId="20">
    <w:nsid w:val="3B0FD379"/>
    <w:multiLevelType w:val="hybridMultilevel"/>
    <w:lvl w:ilvl="0">
      <w:lvlJc w:val="left"/>
      <w:lvlText w:val="(%1)"/>
      <w:numFmt w:val="lowerLetter"/>
      <w:start w:val="23"/>
    </w:lvl>
  </w:abstractNum>
  <w:abstractNum w:abstractNumId="21">
    <w:nsid w:val="68EB2F63"/>
    <w:multiLevelType w:val="hybridMultilevel"/>
    <w:lvl w:ilvl="0">
      <w:lvlJc w:val="left"/>
      <w:lvlText w:val="(%1)"/>
      <w:numFmt w:val="lowerLetter"/>
      <w:start w:val="27"/>
    </w:lvl>
  </w:abstractNum>
  <w:abstractNum w:abstractNumId="22">
    <w:nsid w:val="4962813B"/>
    <w:multiLevelType w:val="hybridMultilevel"/>
    <w:lvl w:ilvl="0">
      <w:lvlJc w:val="left"/>
      <w:lvlText w:val="2"/>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1"/>
      <w:numFmt w:val="bullet"/>
      <w:start w:val="1"/>
    </w:lvl>
  </w:abstractNum>
  <w:abstractNum w:abstractNumId="31">
    <w:nsid w:val="6EB5BD4"/>
    <w:multiLevelType w:val="hybridMultilevel"/>
    <w:lvl w:ilvl="0">
      <w:lvlJc w:val="left"/>
      <w:lvlText w:val="2"/>
      <w:numFmt w:val="bullet"/>
      <w:start w:val="1"/>
    </w:lvl>
  </w:abstractNum>
  <w:abstractNum w:abstractNumId="32">
    <w:nsid w:val="6F6DD9AC"/>
    <w:multiLevelType w:val="hybridMultilevel"/>
    <w:lvl w:ilvl="0">
      <w:lvlJc w:val="left"/>
      <w:lvlText w:val="3"/>
      <w:numFmt w:val="bullet"/>
      <w:start w:val="1"/>
    </w:lvl>
  </w:abstractNum>
  <w:abstractNum w:abstractNumId="33">
    <w:nsid w:val="94211F2"/>
    <w:multiLevelType w:val="hybridMultilevel"/>
    <w:lvl w:ilvl="0">
      <w:lvlJc w:val="left"/>
      <w:lvlText w:val="7"/>
      <w:numFmt w:val="bullet"/>
      <w:start w:val="1"/>
    </w:lvl>
  </w:abstractNum>
  <w:abstractNum w:abstractNumId="34">
    <w:nsid w:val="885E1B"/>
    <w:multiLevelType w:val="hybridMultilevel"/>
    <w:lvl w:ilvl="0">
      <w:lvlJc w:val="left"/>
      <w:lvlText w:val="%1."/>
      <w:numFmt w:val="upperLetter"/>
      <w:start w:val="1"/>
    </w:lvl>
  </w:abstractNum>
  <w:abstractNum w:abstractNumId="35">
    <w:nsid w:val="76272110"/>
    <w:multiLevelType w:val="hybridMultilevel"/>
    <w:lvl w:ilvl="0">
      <w:lvlJc w:val="left"/>
      <w:lvlText w:val="1"/>
      <w:numFmt w:val="bullet"/>
      <w:start w:val="1"/>
    </w:lvl>
  </w:abstractNum>
  <w:abstractNum w:abstractNumId="36">
    <w:nsid w:val="4C04A8AF"/>
    <w:multiLevelType w:val="hybridMultilevel"/>
    <w:lvl w:ilvl="0">
      <w:lvlJc w:val="left"/>
      <w:lvlText w:val="1"/>
      <w:numFmt w:val="bullet"/>
      <w:start w:val="1"/>
    </w:lvl>
  </w:abstractNum>
  <w:abstractNum w:abstractNumId="37">
    <w:nsid w:val="1716703B"/>
    <w:multiLevelType w:val="hybridMultilevel"/>
    <w:lvl w:ilvl="0">
      <w:lvlJc w:val="left"/>
      <w:lvlText w:val="2"/>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decimal"/>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6"/>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upperLetter"/>
      <w:start w:val="1"/>
    </w:lvl>
  </w:abstractNum>
  <w:abstractNum w:abstractNumId="47">
    <w:nsid w:val="CC1016F"/>
    <w:multiLevelType w:val="hybridMultilevel"/>
    <w:lvl w:ilvl="0">
      <w:lvlJc w:val="left"/>
      <w:lvlText w:val="%1."/>
      <w:numFmt w:val="upperLetter"/>
      <w:start w:val="5"/>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1."/>
      <w:numFmt w:val="decimal"/>
      <w:start w:val="6"/>
    </w:lvl>
  </w:abstractNum>
  <w:abstractNum w:abstractNumId="52">
    <w:nsid w:val="49DA307D"/>
    <w:multiLevelType w:val="hybridMultilevel"/>
    <w:lvl w:ilvl="0">
      <w:lvlJc w:val="left"/>
      <w:lvlText w:val="%1."/>
      <w:numFmt w:val="decimal"/>
      <w:start w:val="1"/>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decimal"/>
      <w:start w:val="4"/>
    </w:lvl>
  </w:abstractNum>
  <w:abstractNum w:abstractNumId="55">
    <w:nsid w:val="50801EE1"/>
    <w:multiLevelType w:val="hybridMultilevel"/>
    <w:lvl w:ilvl="0">
      <w:lvlJc w:val="left"/>
      <w:lvlText w:val="(%1)"/>
      <w:numFmt w:val="lowerRoman"/>
      <w:start w:val="1"/>
    </w:lvl>
  </w:abstractNum>
  <w:abstractNum w:abstractNumId="56">
    <w:nsid w:val="488AC1A"/>
    <w:multiLevelType w:val="hybridMultilevel"/>
    <w:lvl w:ilvl="0">
      <w:lvlJc w:val="left"/>
      <w:lvlText w:val="(%1)"/>
      <w:numFmt w:val="lowerRoman"/>
      <w:start w:val="6"/>
    </w:lvl>
  </w:abstractNum>
  <w:abstractNum w:abstractNumId="57">
    <w:nsid w:val="5FB8011C"/>
    <w:multiLevelType w:val="hybridMultilevel"/>
    <w:lvl w:ilvl="0">
      <w:lvlJc w:val="left"/>
      <w:lvlText w:val="(%1)"/>
      <w:numFmt w:val="decimal"/>
      <w:start w:val="2"/>
    </w:lvl>
  </w:abstractNum>
  <w:abstractNum w:abstractNumId="58">
    <w:nsid w:val="6AA78F7F"/>
    <w:multiLevelType w:val="hybridMultilevel"/>
    <w:lvl w:ilvl="0">
      <w:lvlJc w:val="left"/>
      <w:lvlText w:val="(%1)"/>
      <w:numFmt w:val="decimal"/>
      <w:start w:val="3"/>
    </w:lvl>
  </w:abstractNum>
  <w:abstractNum w:abstractNumId="59">
    <w:nsid w:val="7672BD23"/>
    <w:multiLevelType w:val="hybridMultilevel"/>
    <w:lvl w:ilvl="0">
      <w:lvlJc w:val="left"/>
      <w:lvlText w:val="(%1)"/>
      <w:numFmt w:val="upperLetter"/>
      <w:start w:val="1"/>
    </w:lvl>
  </w:abstractNum>
  <w:abstractNum w:abstractNumId="60">
    <w:nsid w:val="6FC75AF8"/>
    <w:multiLevelType w:val="hybridMultilevel"/>
    <w:lvl w:ilvl="0">
      <w:lvlJc w:val="left"/>
      <w:lvlText w:val="(%1)"/>
      <w:numFmt w:val="upperLetter"/>
      <w:start w:val="2"/>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1."/>
      <w:numFmt w:val="decimal"/>
      <w:start w:val="1"/>
    </w:lvl>
  </w:abstractNum>
  <w:abstractNum w:abstractNumId="67">
    <w:nsid w:val="3FA62ACA"/>
    <w:multiLevelType w:val="hybridMultilevel"/>
    <w:lvl w:ilvl="0">
      <w:lvlJc w:val="left"/>
      <w:lvlText w:val="%1."/>
      <w:numFmt w:val="decimal"/>
      <w:start w:val="3"/>
    </w:lvl>
  </w:abstractNum>
  <w:abstractNum w:abstractNumId="68">
    <w:nsid w:val="14FCE74E"/>
    <w:multiLevelType w:val="hybridMultilevel"/>
    <w:lvl w:ilvl="0">
      <w:lvlJc w:val="left"/>
      <w:lvlText w:val="*"/>
      <w:numFmt w:val="bullet"/>
      <w:start w:val="1"/>
    </w:lvl>
    <w:lvl w:ilvl="1">
      <w:lvlJc w:val="left"/>
      <w:lvlText w:val="(%2)"/>
      <w:numFmt w:val="decimal"/>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lowerRoman"/>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2"/>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1."/>
      <w:numFmt w:val="decimal"/>
      <w:start w:val="3"/>
    </w:lvl>
  </w:abstractNum>
  <w:abstractNum w:abstractNumId="94">
    <w:nsid w:val="2B0D8DBE"/>
    <w:multiLevelType w:val="hybridMultilevel"/>
    <w:lvl w:ilvl="0">
      <w:lvlJc w:val="left"/>
      <w:lvlText w:val="•"/>
      <w:numFmt w:val="bullet"/>
      <w:start w:val="1"/>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
      <w:numFmt w:val="bullet"/>
      <w:start w:val="1"/>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lowerRoman"/>
      <w:start w:val="2"/>
    </w:lvl>
  </w:abstractNum>
  <w:abstractNum w:abstractNumId="100">
    <w:nsid w:val="6AA7B75C"/>
    <w:multiLevelType w:val="hybridMultilevel"/>
    <w:lvl w:ilvl="0">
      <w:lvlJc w:val="left"/>
      <w:lvlText w:val="%1."/>
      <w:numFmt w:val="decimal"/>
      <w:start w:val="8"/>
    </w:lvl>
  </w:abstractNum>
  <w:abstractNum w:abstractNumId="101">
    <w:nsid w:val="1DF029D3"/>
    <w:multiLevelType w:val="hybridMultilevel"/>
    <w:lvl w:ilvl="0">
      <w:lvlJc w:val="left"/>
      <w:lvlText w:val="%1."/>
      <w:numFmt w:val="decimal"/>
      <w:start w:val="9"/>
    </w:lvl>
  </w:abstractNum>
  <w:abstractNum w:abstractNumId="102">
    <w:nsid w:val="5675FF36"/>
    <w:multiLevelType w:val="hybridMultilevel"/>
    <w:lvl w:ilvl="0">
      <w:lvlJc w:val="left"/>
      <w:lvlText w:val="%1."/>
      <w:numFmt w:val="decimal"/>
      <w:start w:val="10"/>
    </w:lvl>
  </w:abstractNum>
  <w:abstractNum w:abstractNumId="103">
    <w:nsid w:val="3DD15094"/>
    <w:multiLevelType w:val="hybridMultilevel"/>
    <w:lvl w:ilvl="0">
      <w:lvlJc w:val="left"/>
      <w:lvlText w:val="%1."/>
      <w:numFmt w:val="decimal"/>
      <w:start w:val="1"/>
    </w:lvl>
  </w:abstractNum>
  <w:abstractNum w:abstractNumId="104">
    <w:nsid w:val="3DB012B3"/>
    <w:multiLevelType w:val="hybridMultilevel"/>
    <w:lvl w:ilvl="0">
      <w:lvlJc w:val="left"/>
      <w:lvlText w:val="%1."/>
      <w:numFmt w:val="decimal"/>
      <w:start w:val="1"/>
    </w:lvl>
  </w:abstractNum>
  <w:abstractNum w:abstractNumId="105">
    <w:nsid w:val="2708C9AF"/>
    <w:multiLevelType w:val="hybridMultilevel"/>
    <w:lvl w:ilvl="0">
      <w:lvlJc w:val="left"/>
      <w:lvlText w:val="(%1)"/>
      <w:numFmt w:val="decimal"/>
      <w:start w:val="1"/>
    </w:lvl>
  </w:abstractNum>
  <w:abstractNum w:abstractNumId="106">
    <w:nsid w:val="5B25ACE2"/>
    <w:multiLevelType w:val="hybridMultilevel"/>
    <w:lvl w:ilvl="0">
      <w:lvlJc w:val="left"/>
      <w:lvlText w:val="%1."/>
      <w:numFmt w:val="decimal"/>
      <w:start w:val="11"/>
    </w:lvl>
  </w:abstractNum>
  <w:abstractNum w:abstractNumId="107">
    <w:nsid w:val="175DFCF0"/>
    <w:multiLevelType w:val="hybridMultilevel"/>
    <w:lvl w:ilvl="0">
      <w:lvlJc w:val="left"/>
      <w:lvlText w:val="%1."/>
      <w:numFmt w:val="decimal"/>
      <w:start w:val="12"/>
    </w:lvl>
  </w:abstractNum>
  <w:abstractNum w:abstractNumId="108">
    <w:nsid w:val="4F97E3E4"/>
    <w:multiLevelType w:val="hybridMultilevel"/>
    <w:lvl w:ilvl="0">
      <w:lvlJc w:val="left"/>
      <w:lvlText w:val="%1."/>
      <w:numFmt w:val="decimal"/>
      <w:start w:val="1"/>
    </w:lvl>
  </w:abstractNum>
  <w:abstractNum w:abstractNumId="109">
    <w:nsid w:val="53B0A9E"/>
    <w:multiLevelType w:val="hybridMultilevel"/>
    <w:lvl w:ilvl="0">
      <w:lvlJc w:val="left"/>
      <w:lvlText w:val="%1"/>
      <w:numFmt w:val="decimal"/>
      <w:start w:val="1"/>
    </w:lvl>
    <w:lvl w:ilvl="1">
      <w:lvlJc w:val="left"/>
      <w:lvlText w:val="%2."/>
      <w:numFmt w:val="decimal"/>
      <w:start w:val="2"/>
    </w:lvl>
  </w:abstractNum>
  <w:abstractNum w:abstractNumId="110">
    <w:nsid w:val="34FD6B4F"/>
    <w:multiLevelType w:val="hybridMultilevel"/>
    <w:lvl w:ilvl="0">
      <w:lvlJc w:val="left"/>
      <w:lvlText w:val="%1."/>
      <w:numFmt w:val="decimal"/>
      <w:start w:val="14"/>
    </w:lvl>
    <w:lvl w:ilvl="1">
      <w:lvlJc w:val="left"/>
      <w:lvlText w:val="%2"/>
      <w:numFmt w:val="decimal"/>
      <w:start w:val="1"/>
    </w:lvl>
  </w:abstractNum>
  <w:abstractNum w:abstractNumId="111">
    <w:nsid w:val="5915FF32"/>
    <w:multiLevelType w:val="hybridMultilevel"/>
    <w:lvl w:ilvl="0">
      <w:lvlJc w:val="left"/>
      <w:lvlText w:val="%1."/>
      <w:numFmt w:val="decimal"/>
      <w:start w:val="15"/>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1"/>
    </w:lvl>
    <w:lvl w:ilvl="1">
      <w:lvlJc w:val="left"/>
      <w:lvlText w:val="(%2)"/>
      <w:numFmt w:val="lowerLetter"/>
      <w:start w:val="1"/>
    </w:lvl>
  </w:abstractNum>
  <w:abstractNum w:abstractNumId="115">
    <w:nsid w:val="17A1B582"/>
    <w:multiLevelType w:val="hybridMultilevel"/>
    <w:lvl w:ilvl="0">
      <w:lvlJc w:val="left"/>
      <w:lvlText w:val="%1."/>
      <w:numFmt w:val="decimal"/>
      <w:start w:val="17"/>
    </w:lvl>
    <w:lvl w:ilvl="1">
      <w:lvlJc w:val="left"/>
      <w:lvlText w:val="%2"/>
      <w:numFmt w:val="lowerLetter"/>
      <w:start w:val="1"/>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decimal"/>
      <w:start w:val="2"/>
    </w:lvl>
  </w:abstractNum>
  <w:abstractNum w:abstractNumId="120">
    <w:nsid w:val="5EC6AFD4"/>
    <w:multiLevelType w:val="hybridMultilevel"/>
    <w:lvl w:ilvl="0">
      <w:lvlJc w:val="left"/>
      <w:lvlText w:val="%1."/>
      <w:numFmt w:val="decimal"/>
      <w:start w:val="3"/>
    </w:lvl>
  </w:abstractNum>
  <w:abstractNum w:abstractNumId="121">
    <w:nsid w:val="19E21BB2"/>
    <w:multiLevelType w:val="hybridMultilevel"/>
    <w:lvl w:ilvl="0">
      <w:lvlJc w:val="left"/>
      <w:lvlText w:val=")"/>
      <w:numFmt w:val="bullet"/>
      <w:start w:val="1"/>
    </w:lvl>
  </w:abstractNum>
  <w:abstractNum w:abstractNumId="122">
    <w:nsid w:val="75E0858A"/>
    <w:multiLevelType w:val="hybridMultilevel"/>
    <w:lvl w:ilvl="0">
      <w:lvlJc w:val="left"/>
      <w:lvlText w:val="%1."/>
      <w:numFmt w:val="decimal"/>
      <w:start w:val="1"/>
    </w:lvl>
  </w:abstractNum>
  <w:abstractNum w:abstractNumId="123">
    <w:nsid w:val="57A61A29"/>
    <w:multiLevelType w:val="hybridMultilevel"/>
    <w:lvl w:ilvl="0">
      <w:lvlJc w:val="left"/>
      <w:lvlText w:val="%1."/>
      <w:numFmt w:val="decimal"/>
      <w:start w:val="5"/>
    </w:lvl>
  </w:abstractNum>
  <w:abstractNum w:abstractNumId="124">
    <w:nsid w:val="5399C654"/>
    <w:multiLevelType w:val="hybridMultilevel"/>
    <w:lvl w:ilvl="0">
      <w:lvlJc w:val="left"/>
      <w:lvlText w:val="%1."/>
      <w:numFmt w:val="decimal"/>
      <w:start w:val="6"/>
    </w:lvl>
  </w:abstractNum>
  <w:abstractNum w:abstractNumId="125">
    <w:nsid w:val="20EE1348"/>
    <w:multiLevelType w:val="hybridMultilevel"/>
    <w:lvl w:ilvl="0">
      <w:lvlJc w:val="left"/>
      <w:lvlText w:val="%1."/>
      <w:numFmt w:val="decimal"/>
      <w:start w:val="7"/>
    </w:lvl>
  </w:abstractNum>
  <w:abstractNum w:abstractNumId="126">
    <w:nsid w:val="4427069A"/>
    <w:multiLevelType w:val="hybridMultilevel"/>
    <w:lvl w:ilvl="0">
      <w:lvlJc w:val="left"/>
      <w:lvlText w:val="%1."/>
      <w:numFmt w:val="decimal"/>
      <w:start w:val="8"/>
    </w:lvl>
  </w:abstractNum>
  <w:abstractNum w:abstractNumId="127">
    <w:nsid w:val="B37E80A"/>
    <w:multiLevelType w:val="hybridMultilevel"/>
    <w:lvl w:ilvl="0">
      <w:lvlJc w:val="left"/>
      <w:lvlText w:val="%1."/>
      <w:numFmt w:val="decimal"/>
      <w:start w:val="9"/>
    </w:lvl>
  </w:abstractNum>
  <w:abstractNum w:abstractNumId="128">
    <w:nsid w:val="2157F6BC"/>
    <w:multiLevelType w:val="hybridMultilevel"/>
    <w:lvl w:ilvl="0">
      <w:lvlJc w:val="left"/>
      <w:lvlText w:val="%1."/>
      <w:numFmt w:val="decimal"/>
      <w:start w:val="10"/>
    </w:lvl>
  </w:abstractNum>
  <w:abstractNum w:abstractNumId="129">
    <w:nsid w:val="704E1DD5"/>
    <w:multiLevelType w:val="hybridMultilevel"/>
    <w:lvl w:ilvl="0">
      <w:lvlJc w:val="left"/>
      <w:lvlText w:val="%1."/>
      <w:numFmt w:val="decimal"/>
      <w:start w:val="11"/>
    </w:lvl>
  </w:abstractNum>
  <w:abstractNum w:abstractNumId="130">
    <w:nsid w:val="57D2F10E"/>
    <w:multiLevelType w:val="hybridMultilevel"/>
    <w:lvl w:ilvl="0">
      <w:lvlJc w:val="left"/>
      <w:lvlText w:val="%1."/>
      <w:numFmt w:val="decimal"/>
      <w:start w:val="13"/>
    </w:lvl>
  </w:abstractNum>
  <w:abstractNum w:abstractNumId="131">
    <w:nsid w:val="BFFAE18"/>
    <w:multiLevelType w:val="hybridMultilevel"/>
    <w:lvl w:ilvl="0">
      <w:lvlJc w:val="left"/>
      <w:lvlText w:val="-"/>
      <w:numFmt w:val="bullet"/>
      <w:start w:val="1"/>
    </w:lvl>
  </w:abstractNum>
  <w:abstractNum w:abstractNumId="132">
    <w:nsid w:val="E3E47A8"/>
    <w:multiLevelType w:val="hybridMultilevel"/>
    <w:lvl w:ilvl="0">
      <w:lvlJc w:val="left"/>
      <w:lvlText w:val="-"/>
      <w:numFmt w:val="bullet"/>
      <w:start w:val="1"/>
    </w:lvl>
  </w:abstractNum>
  <w:abstractNum w:abstractNumId="133">
    <w:nsid w:val="2E48F044"/>
    <w:multiLevelType w:val="hybridMultilevel"/>
    <w:lvl w:ilvl="0">
      <w:lvlJc w:val="left"/>
      <w:lvlText w:val="%1."/>
      <w:numFmt w:val="decimal"/>
      <w:start w:val="15"/>
    </w:lvl>
  </w:abstractNum>
  <w:abstractNum w:abstractNumId="134">
    <w:nsid w:val="49D0FEAC"/>
    <w:multiLevelType w:val="hybridMultilevel"/>
    <w:lvl w:ilvl="0">
      <w:lvlJc w:val="left"/>
      <w:lvlText w:val="%1."/>
      <w:numFmt w:val="decimal"/>
      <w:start w:val="16"/>
    </w:lvl>
  </w:abstractNum>
  <w:abstractNum w:abstractNumId="135">
    <w:nsid w:val="4BEE5A5B"/>
    <w:multiLevelType w:val="hybridMultilevel"/>
    <w:lvl w:ilvl="0">
      <w:lvlJc w:val="left"/>
      <w:lvlText w:val="%1."/>
      <w:numFmt w:val="decimal"/>
      <w:start w:val="17"/>
    </w:lvl>
  </w:abstractNum>
  <w:abstractNum w:abstractNumId="136">
    <w:nsid w:val="5551B9F3"/>
    <w:multiLevelType w:val="hybridMultilevel"/>
    <w:lvl w:ilvl="0">
      <w:lvlJc w:val="left"/>
      <w:lvlText w:val="%1."/>
      <w:numFmt w:val="decimal"/>
      <w:start w:val="18"/>
    </w:lvl>
  </w:abstractNum>
  <w:abstractNum w:abstractNumId="137">
    <w:nsid w:val="24F6AB8E"/>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604" Type="http://schemas.openxmlformats.org/officeDocument/2006/relationships/image" Target="media/image589.png"/><Relationship Id="rId605"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35" Type="http://schemas.openxmlformats.org/officeDocument/2006/relationships/image" Target="media/image593.png"/><Relationship Id="rId636" Type="http://schemas.openxmlformats.org/officeDocument/2006/relationships/image" Target="media/image594.png"/><Relationship Id="rId637" Type="http://schemas.openxmlformats.org/officeDocument/2006/relationships/image" Target="media/image595.png"/><Relationship Id="rId638" Type="http://schemas.openxmlformats.org/officeDocument/2006/relationships/image" Target="media/image596.png"/><Relationship Id="rId639" Type="http://schemas.openxmlformats.org/officeDocument/2006/relationships/image" Target="media/image597.png"/><Relationship Id="rId640" Type="http://schemas.openxmlformats.org/officeDocument/2006/relationships/image" Target="media/image598.png"/><Relationship Id="rId641" Type="http://schemas.openxmlformats.org/officeDocument/2006/relationships/image" Target="media/image599.png"/><Relationship Id="rId642" Type="http://schemas.openxmlformats.org/officeDocument/2006/relationships/image" Target="media/image600.png"/><Relationship Id="rId596" Type="http://schemas.openxmlformats.org/officeDocument/2006/relationships/hyperlink" Target="https://www.sec.gov/Archives/edgar/data/1920294/000119312523240685/d309194df4a.htm#anxacov" TargetMode="External"/><Relationship Id="rId597" Type="http://schemas.openxmlformats.org/officeDocument/2006/relationships/hyperlink" Target="https://www.sec.gov/Archives/edgar/data/1920294/000119312523240685/d309194df4a.htm#anxaa" TargetMode="External"/><Relationship Id="rId598" Type="http://schemas.openxmlformats.org/officeDocument/2006/relationships/hyperlink" Target="https://www.sec.gov/Archives/edgar/data/1920294/000095017025047916/rzlv-ex3_1.htm" TargetMode="External"/><Relationship Id="rId599" Type="http://schemas.openxmlformats.org/officeDocument/2006/relationships/hyperlink" Target="https://www.sec.gov/Archives/edgar/data/1920294/000119312524204510/d885107dex21.htm" TargetMode="External"/><Relationship Id="rId600" Type="http://schemas.openxmlformats.org/officeDocument/2006/relationships/hyperlink" Target="https://www.sec.gov/Archives/edgar/data/1920294/000119312524204510/d885107dex22.htm" TargetMode="External"/><Relationship Id="rId601" Type="http://schemas.openxmlformats.org/officeDocument/2006/relationships/hyperlink" Target="https://www.sec.gov/Archives/edgar/data/1920294/000119312524204510/d885107dex43.htm" TargetMode="External"/><Relationship Id="rId602" Type="http://schemas.openxmlformats.org/officeDocument/2006/relationships/hyperlink" Target="https://www.sec.gov/Archives/edgar/data/1920294/000119312524204510/d885107dex44.htm" TargetMode="External"/><Relationship Id="rId603" Type="http://schemas.openxmlformats.org/officeDocument/2006/relationships/hyperlink" Target="https://www.sec.gov/Archives/edgar/data/1920294/000119312524204510/d885107dex46.htm" TargetMode="External"/><Relationship Id="rId606" Type="http://schemas.openxmlformats.org/officeDocument/2006/relationships/hyperlink" Target="https://www.sec.gov/Archives/edgar/data/1920294/000119312524204510/d885107dex47.htm" TargetMode="External"/><Relationship Id="rId607" Type="http://schemas.openxmlformats.org/officeDocument/2006/relationships/hyperlink" Target="https://www.sec.gov/Archives/edgar/data/1920294/000095017025100411/rzlv-ex5_1.htm" TargetMode="External"/><Relationship Id="rId608" Type="http://schemas.openxmlformats.org/officeDocument/2006/relationships/hyperlink" Target="https://www.sec.gov/Archives/edgar/data/1920294/000119312524159410/d309194dex1017.htm" TargetMode="External"/><Relationship Id="rId609" Type="http://schemas.openxmlformats.org/officeDocument/2006/relationships/hyperlink" Target="https://www.sec.gov/Archives/edgar/data/1920294/000119312524143103/d309194dex1018.htm" TargetMode="External"/><Relationship Id="rId610" Type="http://schemas.openxmlformats.org/officeDocument/2006/relationships/hyperlink" Target="https://www.sec.gov/Archives/edgar/data/1920294/000119312524143103/d309194dex1019.htm" TargetMode="External"/><Relationship Id="rId611" Type="http://schemas.openxmlformats.org/officeDocument/2006/relationships/hyperlink" Target="https://www.sec.gov/Archives/edgar/data/1920294/000119312524143103/d309194dex1020.htm" TargetMode="External"/><Relationship Id="rId612" Type="http://schemas.openxmlformats.org/officeDocument/2006/relationships/hyperlink" Target="https://www.sec.gov/Archives/edgar/data/1920294/000119312524143103/d309194dex1021.htm" TargetMode="External"/><Relationship Id="rId613" Type="http://schemas.openxmlformats.org/officeDocument/2006/relationships/hyperlink" Target="https://www.sec.gov/Archives/edgar/data/1920294/000119312524143103/d309194dex1022.htm" TargetMode="External"/><Relationship Id="rId614" Type="http://schemas.openxmlformats.org/officeDocument/2006/relationships/hyperlink" Target="https://www.sec.gov/Archives/edgar/data/1920294/000119312524143103/d309194dex1023.htm" TargetMode="External"/><Relationship Id="rId615" Type="http://schemas.openxmlformats.org/officeDocument/2006/relationships/hyperlink" Target="https://www.sec.gov/Archives/edgar/data/1920294/000119312524143103/d309194dex1024.htm" TargetMode="External"/><Relationship Id="rId616" Type="http://schemas.openxmlformats.org/officeDocument/2006/relationships/hyperlink" Target="https://www.sec.gov/Archives/edgar/data/1844817/000119312524028592/d701134dex21.htm" TargetMode="External"/><Relationship Id="rId617" Type="http://schemas.openxmlformats.org/officeDocument/2006/relationships/hyperlink" Target="https://www.sec.gov/Archives/edgar/data/1920294/000095017024104513/rzlv-ex10_13.htm" TargetMode="External"/><Relationship Id="rId618" Type="http://schemas.openxmlformats.org/officeDocument/2006/relationships/hyperlink" Target="https://www.sec.gov/Archives/edgar/data/1920294/000095017024106474/rzlv-ex99_2.htm" TargetMode="External"/><Relationship Id="rId619" Type="http://schemas.openxmlformats.org/officeDocument/2006/relationships/hyperlink" Target="https://www.sec.gov/Archives/edgar/data/1920294/000095017024133740/rzlv-ex99_1.htm" TargetMode="External"/><Relationship Id="rId620" Type="http://schemas.openxmlformats.org/officeDocument/2006/relationships/hyperlink" Target="https://www.sec.gov/Archives/edgar/data/1920294/000095017024137626/rzlv-ex10_2.htm" TargetMode="External"/><Relationship Id="rId621" Type="http://schemas.openxmlformats.org/officeDocument/2006/relationships/hyperlink" Target="https://www.sec.gov/Archives/edgar/data/1920294/000095017024137626/rzlv-ex10_3.htm" TargetMode="External"/><Relationship Id="rId622" Type="http://schemas.openxmlformats.org/officeDocument/2006/relationships/hyperlink" Target="https://www.sec.gov/Archives/edgar/data/1920294/000095017024139714/rzlv-ex10_1.htm" TargetMode="External"/><Relationship Id="rId623" Type="http://schemas.openxmlformats.org/officeDocument/2006/relationships/hyperlink" Target="https://www.sec.gov/Archives/edgar/data/1920294/000095017025010226/rzlv-ex10_1.htm" TargetMode="External"/><Relationship Id="rId624" Type="http://schemas.openxmlformats.org/officeDocument/2006/relationships/hyperlink" Target="https://www.sec.gov/Archives/edgar/data/1920294/000095017025016341/rzlv-ex10_1.htm" TargetMode="External"/><Relationship Id="rId627" Type="http://schemas.openxmlformats.org/officeDocument/2006/relationships/hyperlink" Target="https://www.sec.gov/Archives/edgar/data/1920294/000095017025024898/rzlv-ex10_1.htm" TargetMode="External"/><Relationship Id="rId628" Type="http://schemas.openxmlformats.org/officeDocument/2006/relationships/hyperlink" Target="https://www.sec.gov/Archives/edgar/data/1920294/000095017025026125/rzlv-ex10_1.htm" TargetMode="External"/><Relationship Id="rId629" Type="http://schemas.openxmlformats.org/officeDocument/2006/relationships/hyperlink" Target="https://www.sec.gov/Archives/edgar/data/1920294/000095017025026125/rzlv-ex10_2.htm" TargetMode="External"/><Relationship Id="rId630" Type="http://schemas.openxmlformats.org/officeDocument/2006/relationships/hyperlink" Target="https://www.sec.gov/Archives/edgar/data/1920294/000095017025034867/rzlv-ex10_1.htm" TargetMode="External"/><Relationship Id="rId631" Type="http://schemas.openxmlformats.org/officeDocument/2006/relationships/hyperlink" Target="https://www.sec.gov/Archives/edgar/data/1920294/000095017025098790/rzlv-ex10_1.htm" TargetMode="External"/><Relationship Id="rId632" Type="http://schemas.openxmlformats.org/officeDocument/2006/relationships/hyperlink" Target="https://www.sec.gov/Archives/edgar/data/1920294/000095017025098790/rzlv-ex10_2.htm" TargetMode="External"/><Relationship Id="rId633" Type="http://schemas.openxmlformats.org/officeDocument/2006/relationships/hyperlink" Target="https://www.sec.gov/Archives/edgar/data/1920294/000095017025098790/rzlv-ex10_3.htm" TargetMode="External"/><Relationship Id="rId634" Type="http://schemas.openxmlformats.org/officeDocument/2006/relationships/hyperlink" Target="https://www.sec.gov/Archives/edgar/data/1920294/000095017025100411/rzlv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2025-09-09T16:37:01Z</dcterms:created>
  <dcterms:modified xsi:type="dcterms:W3CDTF">2025-09-09T16:37:01Z</dcterms:modified>
</cp:coreProperties>
</file>