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January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13, 2026, Rezolve AI plc (the "Company") issued a press release providing updated revenue guidance for 2025 and 2026. A copy of the press release is furnished as Exhibit 99.1 to this Report on Form 6-K and is incorporated herein by reference.</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FF"/>
              </w:rPr>
              <w:t>Press Release, dated January 13, 2026</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1860" w:type="dxa"/>
            <w:vAlign w:val="bottom"/>
            <w:tcBorders>
              <w:top w:val="single" w:sz="8" w:color="0000FF"/>
              <w:bottom w:val="single" w:sz="8" w:color="808080"/>
            </w:tcBorders>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Rezolve Ai Guides to $350 Million 2026 Revenue and $500 Million ARR Exit Run Rate</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i w:val="1"/>
          <w:iCs w:val="1"/>
          <w:color w:val="auto"/>
        </w:rPr>
        <w:t>Company Signals Nearly 10× Growth for 2026 as Agentic Commerce Becomes Core Enterprise Infrastructure</w:t>
      </w:r>
    </w:p>
    <w:p>
      <w:pPr>
        <w:spacing w:after="0" w:line="23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New York – January 13, 2026 </w:t>
      </w:r>
      <w:r>
        <w:rPr>
          <w:rFonts w:ascii="Times New Roman" w:cs="Times New Roman" w:eastAsia="Times New Roman" w:hAnsi="Times New Roman"/>
          <w:sz w:val="20"/>
          <w:szCs w:val="20"/>
          <w:color w:val="auto"/>
        </w:rPr>
        <w:t>– Rezolve Ai (NASDAQ: RZLV), a leader in Agentic Commerce and AI-powered customer engagement,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today issued updated revenue guidance for 2025 and 2026, which are anticipated to materially exceed market expectations as enterprise adoption accelerates across its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full-year 2025, Rezolve now expects to deliver </w:t>
      </w:r>
      <w:r>
        <w:rPr>
          <w:rFonts w:ascii="Times New Roman" w:cs="Times New Roman" w:eastAsia="Times New Roman" w:hAnsi="Times New Roman"/>
          <w:sz w:val="20"/>
          <w:szCs w:val="20"/>
          <w:b w:val="1"/>
          <w:bCs w:val="1"/>
          <w:color w:val="auto"/>
        </w:rPr>
        <w:t>at least $40 million in revenue</w:t>
      </w:r>
      <w:r>
        <w:rPr>
          <w:rFonts w:ascii="Times New Roman" w:cs="Times New Roman" w:eastAsia="Times New Roman" w:hAnsi="Times New Roman"/>
          <w:sz w:val="20"/>
          <w:szCs w:val="20"/>
          <w:color w:val="auto"/>
        </w:rPr>
        <w:t>, exceeding current analyst consensus.</w:t>
      </w:r>
    </w:p>
    <w:p>
      <w:pPr>
        <w:spacing w:after="0" w:line="22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color w:val="auto"/>
        </w:rPr>
        <w:t xml:space="preserve">For full year 2026, the Company is guiding to </w:t>
      </w:r>
      <w:r>
        <w:rPr>
          <w:rFonts w:ascii="Times New Roman" w:cs="Times New Roman" w:eastAsia="Times New Roman" w:hAnsi="Times New Roman"/>
          <w:sz w:val="20"/>
          <w:szCs w:val="20"/>
          <w:b w:val="1"/>
          <w:bCs w:val="1"/>
          <w:color w:val="auto"/>
        </w:rPr>
        <w:t>approximately $350 million in revenue</w:t>
      </w:r>
      <w:r>
        <w:rPr>
          <w:rFonts w:ascii="Times New Roman" w:cs="Times New Roman" w:eastAsia="Times New Roman" w:hAnsi="Times New Roman"/>
          <w:sz w:val="20"/>
          <w:szCs w:val="20"/>
          <w:color w:val="auto"/>
        </w:rPr>
        <w:t xml:space="preserve">, nearly double prevailing market expectations of approximately $170 million for the period representing </w:t>
      </w:r>
      <w:r>
        <w:rPr>
          <w:rFonts w:ascii="Times New Roman" w:cs="Times New Roman" w:eastAsia="Times New Roman" w:hAnsi="Times New Roman"/>
          <w:sz w:val="20"/>
          <w:szCs w:val="20"/>
          <w:b w:val="1"/>
          <w:bCs w:val="1"/>
          <w:color w:val="auto"/>
        </w:rPr>
        <w:t>nearly 10× year-on-year growth</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color w:val="auto"/>
        </w:rPr>
        <w:t xml:space="preserve">Rezolve also reaffirmed its previously announced expectation to </w:t>
      </w:r>
      <w:r>
        <w:rPr>
          <w:rFonts w:ascii="Times New Roman" w:cs="Times New Roman" w:eastAsia="Times New Roman" w:hAnsi="Times New Roman"/>
          <w:sz w:val="20"/>
          <w:szCs w:val="20"/>
          <w:b w:val="1"/>
          <w:bCs w:val="1"/>
          <w:color w:val="auto"/>
        </w:rPr>
        <w:t>exit 2026 with a minimum $500 million</w:t>
      </w:r>
      <w:r>
        <w:rPr>
          <w:rFonts w:ascii="Times New Roman" w:cs="Times New Roman" w:eastAsia="Times New Roman" w:hAnsi="Times New Roman"/>
          <w:sz w:val="20"/>
          <w:szCs w:val="20"/>
          <w:color w:val="auto"/>
        </w:rPr>
        <w:t xml:space="preserve"> annual recurring revenue (ARR) implying approximately </w:t>
      </w:r>
      <w:r>
        <w:rPr>
          <w:rFonts w:ascii="Times New Roman" w:cs="Times New Roman" w:eastAsia="Times New Roman" w:hAnsi="Times New Roman"/>
          <w:sz w:val="20"/>
          <w:szCs w:val="20"/>
          <w:b w:val="1"/>
          <w:bCs w:val="1"/>
          <w:color w:val="auto"/>
        </w:rPr>
        <w:t>$40 million of monthly revenue by December 2026</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Record Momentum and Operating Scale</w:t>
      </w:r>
    </w:p>
    <w:p>
      <w:pPr>
        <w:spacing w:after="0" w:line="26"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Rezolve exited 2025 with approximately $209 million in ARR, following a record December in which revenue is expected to exceed $17 million, marking the Company’s first profitable month and demonstrating the operating leverage of its model.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2025, Rezolve scaled rapidly to:</w:t>
      </w:r>
    </w:p>
    <w:p>
      <w:pPr>
        <w:spacing w:after="0" w:line="229"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More than 1,000 employees</w:t>
      </w:r>
    </w:p>
    <w:p>
      <w:pPr>
        <w:spacing w:after="0" w:line="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24 global offices</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Over 650 enterprise customers</w:t>
      </w:r>
    </w:p>
    <w:p>
      <w:pPr>
        <w:spacing w:after="0" w:line="20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color w:val="auto"/>
        </w:rPr>
        <w:t xml:space="preserve">The Company’s platform processed </w:t>
      </w:r>
      <w:r>
        <w:rPr>
          <w:rFonts w:ascii="Times New Roman" w:cs="Times New Roman" w:eastAsia="Times New Roman" w:hAnsi="Times New Roman"/>
          <w:sz w:val="20"/>
          <w:szCs w:val="20"/>
          <w:b w:val="1"/>
          <w:bCs w:val="1"/>
          <w:color w:val="auto"/>
        </w:rPr>
        <w:t>more than 51 billion API calls</w:t>
      </w:r>
      <w:r>
        <w:rPr>
          <w:rFonts w:ascii="Times New Roman" w:cs="Times New Roman" w:eastAsia="Times New Roman" w:hAnsi="Times New Roman"/>
          <w:sz w:val="20"/>
          <w:szCs w:val="20"/>
          <w:color w:val="auto"/>
        </w:rPr>
        <w:t>, reached o</w:t>
      </w:r>
      <w:r>
        <w:rPr>
          <w:rFonts w:ascii="Times New Roman" w:cs="Times New Roman" w:eastAsia="Times New Roman" w:hAnsi="Times New Roman"/>
          <w:sz w:val="20"/>
          <w:szCs w:val="20"/>
          <w:b w:val="1"/>
          <w:bCs w:val="1"/>
          <w:color w:val="auto"/>
        </w:rPr>
        <w:t>ver 340 million unique users</w:t>
      </w:r>
      <w:r>
        <w:rPr>
          <w:rFonts w:ascii="Times New Roman" w:cs="Times New Roman" w:eastAsia="Times New Roman" w:hAnsi="Times New Roman"/>
          <w:sz w:val="20"/>
          <w:szCs w:val="20"/>
          <w:color w:val="auto"/>
        </w:rPr>
        <w:t xml:space="preserve"> globally, and supported </w:t>
      </w:r>
      <w:r>
        <w:rPr>
          <w:rFonts w:ascii="Times New Roman" w:cs="Times New Roman" w:eastAsia="Times New Roman" w:hAnsi="Times New Roman"/>
          <w:sz w:val="20"/>
          <w:szCs w:val="20"/>
          <w:b w:val="1"/>
          <w:bCs w:val="1"/>
          <w:color w:val="auto"/>
        </w:rPr>
        <w:t xml:space="preserve">hundreds of millions of live consumer sessions </w:t>
      </w:r>
      <w:r>
        <w:rPr>
          <w:rFonts w:ascii="Times New Roman" w:cs="Times New Roman" w:eastAsia="Times New Roman" w:hAnsi="Times New Roman"/>
          <w:sz w:val="20"/>
          <w:szCs w:val="20"/>
          <w:color w:val="auto"/>
        </w:rPr>
        <w:t>and transactions, underscoring Rezolve’s position as live, enterprise-grade infrastructure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operating at global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Enterprise Adoption and Institutional Confidence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Rezolve’s customer base includes leading global brands and institutions across retail, fashion, financial services and payments.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20"/>
          <w:szCs w:val="20"/>
          <w:color w:val="auto"/>
        </w:rPr>
        <w:t xml:space="preserve">The client roster now includes major global brands such as </w:t>
      </w:r>
      <w:r>
        <w:rPr>
          <w:rFonts w:ascii="Times New Roman" w:cs="Times New Roman" w:eastAsia="Times New Roman" w:hAnsi="Times New Roman"/>
          <w:sz w:val="21"/>
          <w:szCs w:val="21"/>
          <w:color w:val="auto"/>
        </w:rPr>
        <w:t>Adidas, Burberry, Gucci, H&amp;M/COS, Harvey Nichols, Dr. Martens,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Converse, Tommy Hilfiger, PUMA, Target, Standard Chartered and Commerzbank.</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In 2025, the Company also secured </w:t>
      </w:r>
      <w:r>
        <w:rPr>
          <w:rFonts w:ascii="Times New Roman" w:cs="Times New Roman" w:eastAsia="Times New Roman" w:hAnsi="Times New Roman"/>
          <w:sz w:val="20"/>
          <w:szCs w:val="20"/>
          <w:b w:val="1"/>
          <w:bCs w:val="1"/>
          <w:color w:val="auto"/>
        </w:rPr>
        <w:t>significant repeat institutional investment</w:t>
      </w:r>
      <w:r>
        <w:rPr>
          <w:rFonts w:ascii="Times New Roman" w:cs="Times New Roman" w:eastAsia="Times New Roman" w:hAnsi="Times New Roman"/>
          <w:sz w:val="20"/>
          <w:szCs w:val="20"/>
          <w:color w:val="auto"/>
        </w:rPr>
        <w:t xml:space="preserve">, including a </w:t>
      </w:r>
      <w:r>
        <w:rPr>
          <w:rFonts w:ascii="Times New Roman" w:cs="Times New Roman" w:eastAsia="Times New Roman" w:hAnsi="Times New Roman"/>
          <w:sz w:val="20"/>
          <w:szCs w:val="20"/>
          <w:b w:val="1"/>
          <w:bCs w:val="1"/>
          <w:color w:val="auto"/>
        </w:rPr>
        <w:t>$50 million strategic investment</w:t>
      </w:r>
      <w:r>
        <w:rPr>
          <w:rFonts w:ascii="Times New Roman" w:cs="Times New Roman" w:eastAsia="Times New Roman" w:hAnsi="Times New Roman"/>
          <w:sz w:val="20"/>
          <w:szCs w:val="20"/>
          <w:color w:val="auto"/>
        </w:rPr>
        <w:t xml:space="preserve"> followed by a </w:t>
      </w:r>
      <w:r>
        <w:rPr>
          <w:rFonts w:ascii="Times New Roman" w:cs="Times New Roman" w:eastAsia="Times New Roman" w:hAnsi="Times New Roman"/>
          <w:sz w:val="20"/>
          <w:szCs w:val="20"/>
          <w:b w:val="1"/>
          <w:bCs w:val="1"/>
          <w:color w:val="auto"/>
        </w:rPr>
        <w:t xml:space="preserve">$200 million additional commitment </w:t>
      </w:r>
      <w:r>
        <w:rPr>
          <w:rFonts w:ascii="Times New Roman" w:cs="Times New Roman" w:eastAsia="Times New Roman" w:hAnsi="Times New Roman"/>
          <w:sz w:val="20"/>
          <w:szCs w:val="20"/>
          <w:color w:val="auto"/>
        </w:rPr>
        <w:t>from new fundamental investors, reinforcing confidence in Rezolve’s execution, scalability and long-term platform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Platform Partnerships</w:t>
      </w:r>
    </w:p>
    <w:p>
      <w:pPr>
        <w:spacing w:after="0" w:line="26"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 xml:space="preserve">Throughout 2025, Rezolve deepened strategic partnerships with </w:t>
      </w:r>
      <w:r>
        <w:rPr>
          <w:rFonts w:ascii="Times New Roman" w:cs="Times New Roman" w:eastAsia="Times New Roman" w:hAnsi="Times New Roman"/>
          <w:sz w:val="20"/>
          <w:szCs w:val="20"/>
          <w:b w:val="1"/>
          <w:bCs w:val="1"/>
          <w:color w:val="auto"/>
        </w:rPr>
        <w:t>Microsoft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Google</w:t>
      </w:r>
      <w:r>
        <w:rPr>
          <w:rFonts w:ascii="Times New Roman" w:cs="Times New Roman" w:eastAsia="Times New Roman" w:hAnsi="Times New Roman"/>
          <w:sz w:val="20"/>
          <w:szCs w:val="20"/>
          <w:color w:val="auto"/>
        </w:rPr>
        <w:t>, and advanced its initiative to integrate AI-driven commerce with next-generation payment infrastructure.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M. Wagner</w:t>
      </w:r>
      <w:r>
        <w:rPr>
          <w:rFonts w:ascii="Times New Roman" w:cs="Times New Roman" w:eastAsia="Times New Roman" w:hAnsi="Times New Roman"/>
          <w:sz w:val="20"/>
          <w:szCs w:val="20"/>
          <w:color w:val="auto"/>
        </w:rPr>
        <w:t>, Founder, Chairman and CEO of Rezolve Ai, commented:</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2025 was the year Rezolve proved that enterprise AI-driven commerce is no longer experimental, it is live, scaled and delivering ROI.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guidance we are providing today reflects contracted demand, accelerating deployments and a platform already operating at global scale. As we enter 2026, our focus is execution, operating leverage and cementing Rezolve’s position as the control layer for the next era of commerce.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ind w:left="60"/>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ind w:right="40"/>
        <w:spacing w:after="0"/>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Private Securities Litigation Reform Act of 1996.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are intended to identify such forward-looking statements. These forward-looking statements include Rezolve’s statements regarding its guidance regarding its unaudited revenue and ARR for 2025 and 206 and involve significant risks and uncertainties that could cause the actual results to differ materially from the expected results.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 Additionally, an audit of Rezolve’s 2025 financial information is underway by Rezolve’s external independent certified public accounting firm under Public Company Accounting Oversight Board (“PCAOB”) standards. As such, the annual historical financial information and are potentially subject to adjustment and may change. As a result of the foregoing considerations and the other limitations described herein, you are cautioned not to place undue reliance on the annual historical financial information contained in this press release.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26"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20"/>
          <w:szCs w:val="20"/>
          <w:color w:val="auto"/>
        </w:rPr>
        <w:t>The Company uses certain non-GAAP financial measures, which include Annual Recurring Revenue (ARR) [or “ARR exit rate”], as we believe this measures can provide meaningful information regarding our operating performance. This non-GAAP measures should be evaluated in addition to and not as a substitute for our financial results presented in accordance with U.S. GAAP.</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Annual Recurring Revenue (“ARR”) is a non-GAAP operating metric that represents the annualized value of recurring subscription and contract revenue under customer agreements in effect at the measurement date. A contract is included in ARR for an applicable period if it is active at the end of that applicable period and is excluded if it is not active at the end of that applicable period. This measure includes revenue from subscription contracts as well as recurring professional services agreements. While ARR represents the annualized revenue the Company would expect to receive from customers assuming no increases or reductions in contractual arrangements, the measure can be affected by contract start and end dates and should be viewed independently of the Company’s GAAP revenue as ARR is an operating metric and is not intended to be combined with or to replace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246" w:lineRule="auto"/>
        <w:rPr>
          <w:sz w:val="20"/>
          <w:szCs w:val="20"/>
          <w:color w:val="auto"/>
        </w:rPr>
      </w:pPr>
      <w:r>
        <w:rPr>
          <w:rFonts w:ascii="Times New Roman" w:cs="Times New Roman" w:eastAsia="Times New Roman" w:hAnsi="Times New Roman"/>
          <w:sz w:val="20"/>
          <w:szCs w:val="20"/>
          <w:color w:val="auto"/>
        </w:rPr>
        <w:t>ARR is not a forecast of future revenue and does not consider other sources of revenue that are not recurring in nature. ARR does not have a standardized meaning and is not necessarily comparable to similarly titled measures presented by other companies. ARR is forward-looking and differs from GAAP revenue, which is recognized over time in accordance with ASC 606 based on delivery of services. As a result, ARR is not directly reconcilable to GAAP revenue because it includes the value of contracted future revenues that have not yet been recognized and excludes non-recurring and usage-based revenue recognized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1156335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141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2026-01-13T07:17:37Z</dcterms:created>
  <dcterms:modified xsi:type="dcterms:W3CDTF">2026-01-13T07:17:37Z</dcterms:modified>
</cp:coreProperties>
</file>