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ectPr>
          <w:pgSz w:w="11900" w:h="16838" w:orient="portrait"/>
          <w:cols w:equalWidth="0" w:num="1">
            <w:col w:w="11020"/>
          </w:cols>
          <w:pgMar w:left="440" w:top="229" w:right="439" w:bottom="1440"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Matthew Crispino</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Inessa Kessman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200" w:lineRule="exact"/>
        <w:rPr>
          <w:sz w:val="24"/>
          <w:szCs w:val="24"/>
          <w:color w:val="auto"/>
        </w:rPr>
      </w:pPr>
    </w:p>
    <w:p>
      <w:pPr>
        <w:sectPr>
          <w:pgSz w:w="11900" w:h="16838" w:orient="portrait"/>
          <w:cols w:equalWidth="0" w:num="2">
            <w:col w:w="720" w:space="280"/>
            <w:col w:w="10020"/>
          </w:cols>
          <w:pgMar w:left="440" w:top="229" w:right="4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1 to Registration Statement on Form F-4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August 10,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333-272751</w:t>
      </w:r>
    </w:p>
    <w:p>
      <w:pPr>
        <w:spacing w:after="0" w:line="200" w:lineRule="exact"/>
        <w:rPr>
          <w:sz w:val="24"/>
          <w:szCs w:val="24"/>
          <w:color w:val="auto"/>
        </w:rPr>
      </w:pPr>
    </w:p>
    <w:p>
      <w:pPr>
        <w:sectPr>
          <w:pgSz w:w="11900" w:h="16838" w:orient="portrait"/>
          <w:cols w:equalWidth="0" w:num="2">
            <w:col w:w="280" w:space="720"/>
            <w:col w:w="10020"/>
          </w:cols>
          <w:pgMar w:left="440" w:top="229" w:right="4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letter is submitted in response to the comments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as set forth in the Staff’s comment letter dated August 28, 2023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in respect of Rezolve AI Limited’s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Amendment No. 1 to Registration Statement on Form F-4, filed with the Commission on August 10, 2023 (the “Registration Statement”).</w:t>
      </w:r>
    </w:p>
    <w:p>
      <w:pPr>
        <w:spacing w:after="0" w:line="176"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order to facilitate your review, we have restated the Staff’s comments in this letter, and we have set forth the Registrant’s responses immediately below the Staff’s comments.</w:t>
      </w:r>
    </w:p>
    <w:p>
      <w:pPr>
        <w:spacing w:after="0" w:line="162"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ectPr>
          <w:pgSz w:w="11900" w:h="16838" w:orient="portrait"/>
          <w:cols w:equalWidth="0" w:num="1">
            <w:col w:w="11020"/>
          </w:cols>
          <w:pgMar w:left="440" w:top="229"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1 to Registration Statement filed on Form F-4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Risks Relating to Rezolve’s Business and Industry</w:t>
      </w:r>
    </w:p>
    <w:p>
      <w:pPr>
        <w:spacing w:after="0" w:line="9" w:lineRule="exact"/>
        <w:rPr>
          <w:sz w:val="20"/>
          <w:szCs w:val="20"/>
          <w:color w:val="auto"/>
        </w:rPr>
      </w:pPr>
    </w:p>
    <w:p>
      <w:pPr>
        <w:ind w:left="4" w:right="4240"/>
        <w:spacing w:after="0" w:line="260" w:lineRule="auto"/>
        <w:rPr>
          <w:sz w:val="20"/>
          <w:szCs w:val="20"/>
          <w:color w:val="auto"/>
        </w:rPr>
      </w:pPr>
      <w:r>
        <w:rPr>
          <w:rFonts w:ascii="Times New Roman" w:cs="Times New Roman" w:eastAsia="Times New Roman" w:hAnsi="Times New Roman"/>
          <w:sz w:val="18"/>
          <w:szCs w:val="18"/>
          <w:u w:val="single" w:color="auto"/>
          <w:color w:val="auto"/>
        </w:rPr>
        <w:t>We expect to rely on a limited number of customers for a significant portion of our near-term revenue., page 64</w:t>
      </w:r>
    </w:p>
    <w:p>
      <w:pPr>
        <w:spacing w:after="0" w:line="204" w:lineRule="exact"/>
        <w:rPr>
          <w:sz w:val="20"/>
          <w:szCs w:val="20"/>
          <w:color w:val="auto"/>
        </w:rPr>
      </w:pPr>
    </w:p>
    <w:p>
      <w:pPr>
        <w:jc w:val="both"/>
        <w:ind w:left="424" w:right="220" w:hanging="424"/>
        <w:spacing w:after="0" w:line="26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prior comment 21 and reissue it, in part. Please describe the material terms of your agreement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Radio Group, including the term and any material termination provisions. For example, we note that Radio Group is permitted to terminate the marketing agreement “subject to notice and certain other provisions.” Please identify the “certain other provisions.”</w:t>
      </w:r>
    </w:p>
    <w:p>
      <w:pPr>
        <w:spacing w:after="0" w:line="6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227-228 of the Amendment.</w:t>
      </w:r>
    </w:p>
    <w:p>
      <w:pPr>
        <w:spacing w:after="0" w:line="3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Statements, page 98</w:t>
      </w:r>
    </w:p>
    <w:p>
      <w:pPr>
        <w:spacing w:after="0" w:line="127" w:lineRule="exact"/>
        <w:rPr>
          <w:sz w:val="20"/>
          <w:szCs w:val="20"/>
          <w:color w:val="auto"/>
        </w:rPr>
      </w:pPr>
    </w:p>
    <w:p>
      <w:pPr>
        <w:ind w:left="424" w:right="140" w:hanging="424"/>
        <w:spacing w:after="0" w:line="268"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forefront of your pro forma financial statements, please highlight conditions that will prevent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being consummated. Specifically, your disclosure should highlight the satisfaction or waiver conditions of Nasdaq. Discuss what redemptions have taken place to date and how you plan to satisfy Nasdaq requirements</w:t>
      </w:r>
      <w:r>
        <w:rPr>
          <w:rFonts w:ascii="Times New Roman" w:cs="Times New Roman" w:eastAsia="Times New Roman" w:hAnsi="Times New Roman"/>
          <w:sz w:val="18"/>
          <w:szCs w:val="18"/>
          <w:i w:val="1"/>
          <w:iCs w:val="1"/>
          <w:color w:val="auto"/>
        </w:rPr>
        <w:t>.</w:t>
      </w:r>
    </w:p>
    <w:p>
      <w:pPr>
        <w:spacing w:after="0" w:line="6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101 of the Amendment.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Statement of Operations, page 104</w:t>
      </w:r>
    </w:p>
    <w:p>
      <w:pPr>
        <w:spacing w:after="0" w:line="127" w:lineRule="exact"/>
        <w:rPr>
          <w:sz w:val="20"/>
          <w:szCs w:val="20"/>
          <w:color w:val="auto"/>
        </w:rPr>
      </w:pPr>
    </w:p>
    <w:p>
      <w:pPr>
        <w:ind w:left="424" w:hanging="424"/>
        <w:spacing w:after="0" w:line="357" w:lineRule="auto"/>
        <w:tabs>
          <w:tab w:leader="none" w:pos="4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Staff’s comment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It appears your pro forma net (loss) income assuming maximum redemptions does not add up when footed across. Similarly, 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appears the amount of pro forma income (loss) before taxes assuming no redemptions does not sum when footed down. Please revise accordingly. </w:t>
      </w:r>
      <w:r>
        <w:rPr>
          <w:rFonts w:ascii="Times New Roman" w:cs="Times New Roman" w:eastAsia="Times New Roman" w:hAnsi="Times New Roman"/>
          <w:sz w:val="17"/>
          <w:szCs w:val="17"/>
          <w:b w:val="1"/>
          <w:bCs w:val="1"/>
          <w:i w:val="1"/>
          <w:iCs w:val="1"/>
          <w:color w:val="auto"/>
        </w:rPr>
        <w:t>Response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Registrant respectfully acknowledges the Staff’s comment and has revised the disclosure on page 104 of the Amendment.</w:t>
      </w:r>
    </w:p>
    <w:p>
      <w:pPr>
        <w:spacing w:after="0" w:line="1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2 - Unaudited pro forma condensed combined balance sheet adjustments, page 106</w:t>
      </w:r>
    </w:p>
    <w:p>
      <w:pPr>
        <w:spacing w:after="0" w:line="127" w:lineRule="exact"/>
        <w:rPr>
          <w:sz w:val="20"/>
          <w:szCs w:val="20"/>
          <w:color w:val="auto"/>
        </w:rPr>
      </w:pPr>
    </w:p>
    <w:p>
      <w:pPr>
        <w:ind w:left="424" w:right="60" w:hanging="424"/>
        <w:spacing w:after="0" w:line="26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comment 7 and the disclosure to footnote (a). If you do not have the funds available to pay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costs, you should clearly disclose this in your filing. Also, if you intend to raise the funds by issuing equity, in a separate adjustment give pro forma effect to this issuance. Disclose in a footnote the details of this issuance including the number of shares that will be issued and the estimated price per share.</w:t>
      </w:r>
    </w:p>
    <w:p>
      <w:pPr>
        <w:spacing w:after="0" w:line="6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Registrant respectfully acknowledges the Staff’s comment and has revised the disclosure on page 107 of the Amendment.</w:t>
      </w:r>
    </w:p>
    <w:p>
      <w:pPr>
        <w:spacing w:after="0" w:line="130" w:lineRule="exact"/>
        <w:rPr>
          <w:rFonts w:ascii="Times New Roman" w:cs="Times New Roman" w:eastAsia="Times New Roman" w:hAnsi="Times New Roman"/>
          <w:sz w:val="18"/>
          <w:szCs w:val="18"/>
          <w:color w:val="auto"/>
        </w:rPr>
      </w:pPr>
    </w:p>
    <w:p>
      <w:pPr>
        <w:ind w:left="424" w:right="40" w:hanging="424"/>
        <w:spacing w:after="0" w:line="259"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the revised disclosure in footnote (b) and your response to comments 8 and 9. Please clearly disclose in this footnote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elsewhere, as applicable, that the Charter Limitation in the Armada Charter prohibits Armada from closing the Business Combination since your net tangible assets are less than $5,000,001 immediately prior to and upon consummation of the business combination. Further, clarify that a third-party financing would be in the form of an issuance of equity, as an issuance of debt would have no net effect on net tangible assets since it would increase both assets and liabilities.</w:t>
      </w:r>
    </w:p>
    <w:p>
      <w:pPr>
        <w:spacing w:after="0" w:line="71" w:lineRule="exact"/>
        <w:rPr>
          <w:rFonts w:ascii="Times New Roman" w:cs="Times New Roman" w:eastAsia="Times New Roman" w:hAnsi="Times New Roman"/>
          <w:sz w:val="18"/>
          <w:szCs w:val="18"/>
          <w:color w:val="auto"/>
        </w:rPr>
      </w:pPr>
    </w:p>
    <w:p>
      <w:pPr>
        <w:ind w:left="444"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108 of the Amendment.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Registrant respectfully advises the Staff that footnote (b) is now footnote (g).</w:t>
      </w:r>
    </w:p>
    <w:p>
      <w:pPr>
        <w:spacing w:after="0" w:line="60" w:lineRule="exact"/>
        <w:rPr>
          <w:rFonts w:ascii="Times New Roman" w:cs="Times New Roman" w:eastAsia="Times New Roman" w:hAnsi="Times New Roman"/>
          <w:sz w:val="18"/>
          <w:szCs w:val="18"/>
          <w:color w:val="auto"/>
        </w:rPr>
      </w:pPr>
    </w:p>
    <w:p>
      <w:pPr>
        <w:ind w:left="424" w:right="80" w:hanging="424"/>
        <w:spacing w:after="0" w:line="26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comments 12 and 13 and the revised disclosure in footnote (o). In this regard, we note fees disclosed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Note (o) do not equal adjustments made in the pro forma financial statements. Tell us why or revise accordingly. Also, disclose the terms of each equity issuance, including how much cash has been raised to date. Each equity issuance should be discussed in plain English and have its own footnote, providing readers with clarity and ease of understanding.</w:t>
      </w:r>
    </w:p>
    <w:p>
      <w:pPr>
        <w:spacing w:after="0" w:line="6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103-108 of the Amendment.</w:t>
      </w:r>
    </w:p>
    <w:p>
      <w:pPr>
        <w:sectPr>
          <w:pgSz w:w="11900" w:h="16838" w:orient="portrait"/>
          <w:cols w:equalWidth="0" w:num="1">
            <w:col w:w="10944"/>
          </w:cols>
          <w:pgMar w:left="436" w:top="270" w:right="51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Business of Rezolve Limited, page 212</w:t>
      </w:r>
    </w:p>
    <w:p>
      <w:pPr>
        <w:spacing w:after="0" w:line="127" w:lineRule="exact"/>
        <w:rPr>
          <w:sz w:val="20"/>
          <w:szCs w:val="20"/>
          <w:color w:val="auto"/>
        </w:rPr>
      </w:pPr>
    </w:p>
    <w:p>
      <w:pPr>
        <w:ind w:left="424" w:right="160" w:hanging="424"/>
        <w:spacing w:after="0" w:line="26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prior comment 18 and reissue it, in part. We note that you currently only derive revenues via the 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radio advertisements and transaction fees on ticket sales. In order to provide investors with a better understanding of your business, please balance your disclosure here and elsewhere as appropriate with equally prominent disclosure of your current operations. Additionally, please disclose when you expect to commercialize your commerce and engagement platform.</w:t>
      </w:r>
    </w:p>
    <w:p>
      <w:pPr>
        <w:spacing w:after="0" w:line="68" w:lineRule="exact"/>
        <w:rPr>
          <w:rFonts w:ascii="Times New Roman" w:cs="Times New Roman" w:eastAsia="Times New Roman" w:hAnsi="Times New Roman"/>
          <w:sz w:val="18"/>
          <w:szCs w:val="18"/>
          <w:color w:val="auto"/>
        </w:rPr>
      </w:pPr>
    </w:p>
    <w:p>
      <w:pPr>
        <w:ind w:left="444" w:right="6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219 and 226-227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Rezolve’s Management’s Discussion and Analysis of Financial Conditions and Results of Operations, page 227</w:t>
      </w:r>
    </w:p>
    <w:p>
      <w:pPr>
        <w:spacing w:after="0" w:line="127" w:lineRule="exact"/>
        <w:rPr>
          <w:sz w:val="20"/>
          <w:szCs w:val="20"/>
          <w:color w:val="auto"/>
        </w:rPr>
      </w:pPr>
    </w:p>
    <w:p>
      <w:pPr>
        <w:jc w:val="both"/>
        <w:ind w:left="424" w:right="20" w:hanging="424"/>
        <w:spacing w:after="0" w:line="274" w:lineRule="auto"/>
        <w:tabs>
          <w:tab w:leader="none" w:pos="4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Staff’s comment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note your response to comment 20. Given that Mr. Schwenk is ANY’s director of marketing (marking is ANY’s only source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revenue), and the sole shareholder of Radio Group, we are not persuaded by your assertion that Radio Group is not a related party. Please revise the disclosure to explain your relationship with Radio Group and disclose all related party transactions in accordance with ASC 850-10-50.</w:t>
      </w:r>
    </w:p>
    <w:p>
      <w:pPr>
        <w:ind w:left="424"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Disclose the amounts of related party transactions on the face of the balance sheet, statement of comprehensive income, and statement of cash flows in accordance with Rule 4-08(k) of Regulation S-X.</w:t>
      </w:r>
    </w:p>
    <w:p>
      <w:pPr>
        <w:spacing w:after="0" w:line="69" w:lineRule="exact"/>
        <w:rPr>
          <w:rFonts w:ascii="Times New Roman" w:cs="Times New Roman" w:eastAsia="Times New Roman" w:hAnsi="Times New Roman"/>
          <w:sz w:val="17"/>
          <w:szCs w:val="17"/>
          <w:color w:val="auto"/>
        </w:rPr>
      </w:pPr>
    </w:p>
    <w:p>
      <w:pPr>
        <w:ind w:left="444" w:right="34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disagrees with the Staff’s comment and has set 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analysis as to why the Radio Group is not a related party:</w:t>
      </w:r>
    </w:p>
    <w:p>
      <w:pPr>
        <w:spacing w:after="0" w:line="50" w:lineRule="exact"/>
        <w:rPr>
          <w:rFonts w:ascii="Times New Roman" w:cs="Times New Roman" w:eastAsia="Times New Roman" w:hAnsi="Times New Roman"/>
          <w:sz w:val="17"/>
          <w:szCs w:val="17"/>
          <w:color w:val="auto"/>
        </w:rPr>
      </w:pPr>
    </w:p>
    <w:p>
      <w:pPr>
        <w:ind w:left="444" w:right="8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850-10-15-2 applies to all “reporting” entities. ASC 850-10-20 explains that while related parties may be management of the entity, Mr. Schwenk is not management of the Company or the reporting entity, and rather was the managing director of ANY for a brief transition period in August 2021, before the Company obtained control of ANY under the Variable Interest Entity model.</w:t>
      </w:r>
    </w:p>
    <w:p>
      <w:pPr>
        <w:spacing w:after="0" w:line="67" w:lineRule="exact"/>
        <w:rPr>
          <w:rFonts w:ascii="Times New Roman" w:cs="Times New Roman" w:eastAsia="Times New Roman" w:hAnsi="Times New Roman"/>
          <w:sz w:val="17"/>
          <w:szCs w:val="17"/>
          <w:color w:val="auto"/>
        </w:rPr>
      </w:pPr>
    </w:p>
    <w:p>
      <w:pPr>
        <w:ind w:left="444" w:right="24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Schwenk’s role with ANY as the Managing Director ceased on September 1, 2021, when Heiko Carstens became the Managing Director of ANY, reporting into Peter Vesco.</w:t>
      </w:r>
    </w:p>
    <w:p>
      <w:pPr>
        <w:spacing w:after="0" w:line="53" w:lineRule="exact"/>
        <w:rPr>
          <w:rFonts w:ascii="Times New Roman" w:cs="Times New Roman" w:eastAsia="Times New Roman" w:hAnsi="Times New Roman"/>
          <w:sz w:val="17"/>
          <w:szCs w:val="17"/>
          <w:color w:val="auto"/>
        </w:rPr>
      </w:pPr>
    </w:p>
    <w:p>
      <w:pPr>
        <w:ind w:left="444" w:right="4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Schwenk’s brief role with ANY was to successfully transition the advertising business of the Radio Group to ANY before the commencement of Mr. Carsten’s employment.</w:t>
      </w:r>
    </w:p>
    <w:p>
      <w:pPr>
        <w:spacing w:after="0" w:line="53" w:lineRule="exact"/>
        <w:rPr>
          <w:rFonts w:ascii="Times New Roman" w:cs="Times New Roman" w:eastAsia="Times New Roman" w:hAnsi="Times New Roman"/>
          <w:sz w:val="17"/>
          <w:szCs w:val="17"/>
          <w:color w:val="auto"/>
        </w:rPr>
      </w:pPr>
    </w:p>
    <w:p>
      <w:pPr>
        <w:ind w:left="444" w:right="1000"/>
        <w:spacing w:after="0" w:line="3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After the cessation of Mr. Schwenk’s role of Managing Director, Mr. Schwenk had no further involvement in the operations of ANY. The Company also considered (f) and (g) of 850-10-20:</w:t>
      </w:r>
    </w:p>
    <w:p>
      <w:pPr>
        <w:spacing w:after="0" w:line="1" w:lineRule="exact"/>
        <w:rPr>
          <w:sz w:val="20"/>
          <w:szCs w:val="20"/>
          <w:color w:val="auto"/>
        </w:rPr>
      </w:pPr>
    </w:p>
    <w:p>
      <w:pPr>
        <w:ind w:left="444" w:right="340"/>
        <w:spacing w:after="0" w:line="284" w:lineRule="auto"/>
        <w:rPr>
          <w:sz w:val="20"/>
          <w:szCs w:val="20"/>
          <w:color w:val="auto"/>
        </w:rPr>
      </w:pPr>
      <w:r>
        <w:rPr>
          <w:rFonts w:ascii="Times New Roman" w:cs="Times New Roman" w:eastAsia="Times New Roman" w:hAnsi="Times New Roman"/>
          <w:sz w:val="18"/>
          <w:szCs w:val="18"/>
          <w:i w:val="1"/>
          <w:iCs w:val="1"/>
          <w:color w:val="auto"/>
        </w:rPr>
        <w:t>f. Other parties with which the entity may deal if one party controls or can significantly influence the management or operating policies of the other to an extent that one of the transacting parties might be prevented from fully pursuing its own separate interests</w:t>
      </w:r>
    </w:p>
    <w:p>
      <w:pPr>
        <w:spacing w:after="0" w:line="52"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While Radio Group is a party to which ANY deals with and Mr. Schwenk remains the managing director of Radio Group, the Radio Group may sell unsold advertising slots to a third party if ANY chooses not to purchase them. Therefore Radio Group may pursue its own separate interests. The Radio Group may also sell paid non-advertising programming slots and purchase other radio stations and channels of broadcast media without influence from ANY, Rezolve or their management. The purchase of another radio station would not fall into the current scope of radio advertising slots sellable by ANY. The inclusion of other radio stations would require a new contract or amendment to the current contract.</w:t>
      </w:r>
    </w:p>
    <w:p>
      <w:pPr>
        <w:spacing w:after="0" w:line="73" w:lineRule="exact"/>
        <w:rPr>
          <w:sz w:val="20"/>
          <w:szCs w:val="20"/>
          <w:color w:val="auto"/>
        </w:rPr>
      </w:pPr>
    </w:p>
    <w:p>
      <w:pPr>
        <w:ind w:left="444"/>
        <w:spacing w:after="0" w:line="267" w:lineRule="auto"/>
        <w:rPr>
          <w:sz w:val="20"/>
          <w:szCs w:val="20"/>
          <w:color w:val="auto"/>
        </w:rPr>
      </w:pPr>
      <w:r>
        <w:rPr>
          <w:rFonts w:ascii="Times New Roman" w:cs="Times New Roman" w:eastAsia="Times New Roman" w:hAnsi="Times New Roman"/>
          <w:sz w:val="18"/>
          <w:szCs w:val="18"/>
          <w:i w:val="1"/>
          <w:iCs w:val="1"/>
          <w:color w:val="auto"/>
        </w:rPr>
        <w:t>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67" w:lineRule="exact"/>
        <w:rPr>
          <w:sz w:val="20"/>
          <w:szCs w:val="20"/>
          <w:color w:val="auto"/>
        </w:rPr>
      </w:pPr>
    </w:p>
    <w:p>
      <w:pPr>
        <w:ind w:left="444" w:right="20"/>
        <w:spacing w:after="0" w:line="261" w:lineRule="auto"/>
        <w:rPr>
          <w:sz w:val="20"/>
          <w:szCs w:val="20"/>
          <w:color w:val="auto"/>
        </w:rPr>
      </w:pPr>
      <w:r>
        <w:rPr>
          <w:rFonts w:ascii="Times New Roman" w:cs="Times New Roman" w:eastAsia="Times New Roman" w:hAnsi="Times New Roman"/>
          <w:sz w:val="18"/>
          <w:szCs w:val="18"/>
          <w:color w:val="auto"/>
        </w:rPr>
        <w:t>Mr. Schwenk is not able to influence ANY in any way that might prevent ANY from fully pursuing its own separate interests. ANY may purchase radio advertising slots on radio stations not owned by the Radio Group and then sell them to advertisers. Further, one of the key reasons Rezolve acquired ANY was to acquire an existing sales team which could sell Rezolve technology. These separate interests are examples of decisions which Rezolve’s management may pursue without influence from Mr. Schwenk and or the Radio Group.</w:t>
      </w:r>
    </w:p>
    <w:p>
      <w:pPr>
        <w:spacing w:after="0" w:line="81" w:lineRule="exact"/>
        <w:rPr>
          <w:sz w:val="20"/>
          <w:szCs w:val="20"/>
          <w:color w:val="auto"/>
        </w:rPr>
      </w:pPr>
    </w:p>
    <w:p>
      <w:pPr>
        <w:jc w:val="both"/>
        <w:ind w:left="424" w:right="180" w:hanging="424"/>
        <w:spacing w:after="0" w:line="26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disclose and discuss EBITDA and Adjusted EBTIDA prior to disclosing and discussing the comparable GAAP measure.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disclose and discuss the comparable GAAP measure, net income (loss), with equal or greater prominence. Refer to Item 10(e)(1)(i)(A) of Regulation S-K and Question 102.10 of the Compliance and Disclosure Interpretations for Non-GAAP Financial Measures.</w:t>
      </w:r>
    </w:p>
    <w:p>
      <w:pPr>
        <w:spacing w:after="0" w:line="62" w:lineRule="exact"/>
        <w:rPr>
          <w:rFonts w:ascii="Times New Roman" w:cs="Times New Roman" w:eastAsia="Times New Roman" w:hAnsi="Times New Roman"/>
          <w:sz w:val="18"/>
          <w:szCs w:val="18"/>
          <w:color w:val="auto"/>
        </w:rPr>
      </w:pPr>
    </w:p>
    <w:p>
      <w:pPr>
        <w:ind w:left="444" w:right="1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234-237 of the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 and discuss any Non-GAAP measures after disclosing and discussing the comparable GAAP measure.</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84" w:hanging="184"/>
        <w:spacing w:after="0"/>
        <w:tabs>
          <w:tab w:leader="none" w:pos="184"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Basis of presentation and summary of significant accounting policies</w:t>
      </w:r>
    </w:p>
    <w:p>
      <w:pPr>
        <w:spacing w:after="0" w:line="27" w:lineRule="exact"/>
        <w:rPr>
          <w:rFonts w:ascii="Times New Roman" w:cs="Times New Roman" w:eastAsia="Times New Roman" w:hAnsi="Times New Roman"/>
          <w:sz w:val="18"/>
          <w:szCs w:val="18"/>
          <w:u w:val="single" w:color="auto"/>
          <w:color w:val="auto"/>
        </w:rPr>
      </w:pPr>
    </w:p>
    <w:p>
      <w:pPr>
        <w:ind w:left="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2.1 Basis of presentation, page F-9</w:t>
      </w:r>
    </w:p>
    <w:p>
      <w:pPr>
        <w:spacing w:after="0" w:line="108"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comment 28. In this regard:</w:t>
      </w:r>
    </w:p>
    <w:p>
      <w:pPr>
        <w:spacing w:after="0" w:line="94" w:lineRule="exact"/>
        <w:rPr>
          <w:rFonts w:ascii="Times New Roman" w:cs="Times New Roman" w:eastAsia="Times New Roman" w:hAnsi="Times New Roman"/>
          <w:sz w:val="18"/>
          <w:szCs w:val="18"/>
          <w:color w:val="auto"/>
        </w:rPr>
      </w:pPr>
    </w:p>
    <w:p>
      <w:pPr>
        <w:ind w:left="964" w:right="64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Tell us why the draft financial information presented in your February 15, 2023 letter, are significantly different from the financial information in this filing. Your response should address both quantitative and qualitative factors.</w:t>
      </w:r>
    </w:p>
    <w:p>
      <w:pPr>
        <w:spacing w:after="0" w:line="26" w:lineRule="exact"/>
        <w:rPr>
          <w:rFonts w:ascii="Times New Roman" w:cs="Times New Roman" w:eastAsia="Times New Roman" w:hAnsi="Times New Roman"/>
          <w:sz w:val="18"/>
          <w:szCs w:val="18"/>
          <w:color w:val="auto"/>
        </w:rPr>
      </w:pPr>
    </w:p>
    <w:p>
      <w:pPr>
        <w:ind w:left="964" w:right="46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Tell us if the facts and circumstances noted in your February 7, 15, and March 1, 2023 letters, have remained the same, including the timeline as to the disposition of the China business.</w:t>
      </w:r>
    </w:p>
    <w:p>
      <w:pPr>
        <w:spacing w:after="0" w:line="26"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Tell us if you have continued to fund the China business in 2023 and when you plan to seize funding that business.</w:t>
      </w:r>
    </w:p>
    <w:p>
      <w:pPr>
        <w:spacing w:after="0" w:line="90" w:lineRule="exact"/>
        <w:rPr>
          <w:rFonts w:ascii="Times New Roman" w:cs="Times New Roman" w:eastAsia="Times New Roman" w:hAnsi="Times New Roman"/>
          <w:sz w:val="18"/>
          <w:szCs w:val="18"/>
          <w:color w:val="auto"/>
        </w:rPr>
      </w:pPr>
    </w:p>
    <w:p>
      <w:pPr>
        <w:ind w:left="964" w:right="30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disclosure in the filing to clearly, in plain English, discuss the reason(s) for the Demerger, similar to what you stated in your February 7, 2023 letter.</w:t>
      </w:r>
    </w:p>
    <w:p>
      <w:pPr>
        <w:spacing w:after="0" w:line="26" w:lineRule="exact"/>
        <w:rPr>
          <w:rFonts w:ascii="Times New Roman" w:cs="Times New Roman" w:eastAsia="Times New Roman" w:hAnsi="Times New Roman"/>
          <w:sz w:val="18"/>
          <w:szCs w:val="18"/>
          <w:color w:val="auto"/>
        </w:rPr>
      </w:pPr>
    </w:p>
    <w:p>
      <w:pPr>
        <w:ind w:left="444" w:right="740" w:firstLine="96"/>
        <w:spacing w:after="0" w:line="360" w:lineRule="auto"/>
        <w:tabs>
          <w:tab w:leader="none" w:pos="97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Tell us your consideration as to whether the transactions with the China business should be reported as related party transactions. </w:t>
      </w: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set forth its response below.</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1. Draft financial information</w:t>
      </w:r>
    </w:p>
    <w:p>
      <w:pPr>
        <w:spacing w:after="0" w:line="81"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The magnitude of the changes from the supplemental information provided compared to the final financial statements is primarily due to the accounting for demerging Rezolve Shanghai, ANY’s fourth quarter 2022, goodwill impairment review had not yet been concluded and the valuation of share-based payments had not been concluded.</w:t>
      </w:r>
    </w:p>
    <w:p>
      <w:pPr>
        <w:spacing w:after="0" w:line="13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draft financial information as at and for the year ended December 31, 2021 presented in the February 15, 2023 request for supplemental information differs due to the following:</w:t>
      </w:r>
    </w:p>
    <w:p>
      <w:pPr>
        <w:spacing w:after="0" w:line="27" w:lineRule="exact"/>
        <w:rPr>
          <w:sz w:val="20"/>
          <w:szCs w:val="20"/>
          <w:color w:val="auto"/>
        </w:rPr>
      </w:pPr>
    </w:p>
    <w:p>
      <w:pPr>
        <w:ind w:left="964" w:right="280" w:hanging="424"/>
        <w:spacing w:after="0" w:line="258"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 Upon receiving the waiver from the SEC staff to not report the balances and results of its Rezolve Shanghai business for the years ending December 31, 2021 and 2022, the Company reclassified all cash transfers to Rezolve Shanghai. The Company previously accounted for this as an intercompany investment, eliminated upon consolidation. Under the new basis of presentation, as described in Note 2.1 of the Combined Carve-out Financial Statements, the costs have been charged to General &amp; Administrative expenses, increasing the total costs and net loss from continuing operations by $5.2 million.</w:t>
      </w:r>
    </w:p>
    <w:p>
      <w:pPr>
        <w:spacing w:after="0" w:line="48" w:lineRule="exact"/>
        <w:rPr>
          <w:rFonts w:ascii="Times New Roman" w:cs="Times New Roman" w:eastAsia="Times New Roman" w:hAnsi="Times New Roman"/>
          <w:sz w:val="18"/>
          <w:szCs w:val="18"/>
          <w:color w:val="auto"/>
        </w:rPr>
      </w:pPr>
    </w:p>
    <w:p>
      <w:pPr>
        <w:ind w:left="964" w:right="300" w:hanging="424"/>
        <w:spacing w:after="0" w:line="282"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of Other Expenses – The Company included an estimate of Operating loss rather than Net loss from continuing operations before taxes.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and for the Year ended December 31, 2021</w:t>
      </w:r>
    </w:p>
    <w:p>
      <w:pPr>
        <w:spacing w:after="0" w:line="208"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or (loss) from</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4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continuing</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operations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4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before taxes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at</w:t>
            </w:r>
          </w:p>
        </w:tc>
        <w:tc>
          <w:tcPr>
            <w:tcW w:w="4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(after</w:t>
            </w:r>
          </w:p>
        </w:tc>
        <w:tc>
          <w:tcPr>
            <w:tcW w:w="200" w:type="dxa"/>
            <w:vAlign w:val="bottom"/>
          </w:tcPr>
          <w:p>
            <w:pPr>
              <w:spacing w:after="0"/>
              <w:rPr>
                <w:sz w:val="12"/>
                <w:szCs w:val="12"/>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Year</w:t>
            </w:r>
          </w:p>
        </w:tc>
        <w:tc>
          <w:tcPr>
            <w:tcW w:w="1540" w:type="dxa"/>
            <w:vAlign w:val="bottom"/>
            <w:gridSpan w:val="3"/>
          </w:tcPr>
          <w:p>
            <w:pPr>
              <w:jc w:val="center"/>
              <w:ind w:left="135"/>
              <w:spacing w:after="0" w:line="149" w:lineRule="exact"/>
              <w:rPr>
                <w:sz w:val="20"/>
                <w:szCs w:val="20"/>
                <w:color w:val="auto"/>
              </w:rPr>
            </w:pPr>
            <w:r>
              <w:rPr>
                <w:rFonts w:ascii="Times New Roman" w:cs="Times New Roman" w:eastAsia="Times New Roman" w:hAnsi="Times New Roman"/>
                <w:sz w:val="14"/>
                <w:szCs w:val="14"/>
                <w:color w:val="auto"/>
              </w:rPr>
              <w:t>Intercompany</w:t>
            </w: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gridSpan w:val="2"/>
            <w:vMerge w:val="continue"/>
          </w:tcPr>
          <w:p>
            <w:pPr>
              <w:spacing w:after="0"/>
              <w:rPr>
                <w:sz w:val="14"/>
                <w:szCs w:val="1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w:t>
            </w:r>
          </w:p>
        </w:tc>
        <w:tc>
          <w:tcPr>
            <w:tcW w:w="4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eliminations)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February 15, 2023 supplemental information</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Rezolve Limited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Rezolve Shanghai</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Rezolve Limited excluding China</w:t>
            </w:r>
          </w:p>
        </w:tc>
        <w:tc>
          <w:tcPr>
            <w:tcW w:w="38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gridSpan w:val="2"/>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80" w:type="dxa"/>
            <w:vAlign w:val="bottom"/>
            <w:vMerge w:val="continue"/>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380" w:type="dxa"/>
            <w:vAlign w:val="bottom"/>
          </w:tcPr>
          <w:p>
            <w:pPr>
              <w:spacing w:after="0"/>
              <w:rPr>
                <w:sz w:val="18"/>
                <w:szCs w:val="18"/>
                <w:color w:val="auto"/>
              </w:rPr>
            </w:pP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August 9, 2023, first amended F-4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Rezolve Shanghai as a Percentage of Rezolve Limited</w:t>
            </w:r>
          </w:p>
        </w:tc>
        <w:tc>
          <w:tcPr>
            <w:tcW w:w="3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or (loss) from</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4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continuing</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operations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4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before taxes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at</w:t>
            </w:r>
          </w:p>
        </w:tc>
        <w:tc>
          <w:tcPr>
            <w:tcW w:w="4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(after</w:t>
            </w:r>
          </w:p>
        </w:tc>
        <w:tc>
          <w:tcPr>
            <w:tcW w:w="200" w:type="dxa"/>
            <w:vAlign w:val="bottom"/>
          </w:tcPr>
          <w:p>
            <w:pPr>
              <w:spacing w:after="0"/>
              <w:rPr>
                <w:sz w:val="12"/>
                <w:szCs w:val="12"/>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Year</w:t>
            </w:r>
          </w:p>
        </w:tc>
        <w:tc>
          <w:tcPr>
            <w:tcW w:w="1540" w:type="dxa"/>
            <w:vAlign w:val="bottom"/>
            <w:gridSpan w:val="3"/>
          </w:tcPr>
          <w:p>
            <w:pPr>
              <w:jc w:val="center"/>
              <w:ind w:left="135"/>
              <w:spacing w:after="0" w:line="149" w:lineRule="exact"/>
              <w:rPr>
                <w:sz w:val="20"/>
                <w:szCs w:val="20"/>
                <w:color w:val="auto"/>
              </w:rPr>
            </w:pPr>
            <w:r>
              <w:rPr>
                <w:rFonts w:ascii="Times New Roman" w:cs="Times New Roman" w:eastAsia="Times New Roman" w:hAnsi="Times New Roman"/>
                <w:sz w:val="14"/>
                <w:szCs w:val="14"/>
                <w:color w:val="auto"/>
              </w:rPr>
              <w:t>Intercompany</w:t>
            </w: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End</w:t>
            </w:r>
          </w:p>
        </w:tc>
        <w:tc>
          <w:tcPr>
            <w:tcW w:w="4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eliminations)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February 15, 2023 supplemental information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Per August 9, 2023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70"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draft financial information as at and for the year ended December 31, 2022 presented in the February 15, 2023 supplemental information differs due to the following:</w:t>
      </w:r>
    </w:p>
    <w:p>
      <w:pPr>
        <w:spacing w:after="0" w:line="67" w:lineRule="exact"/>
        <w:rPr>
          <w:sz w:val="20"/>
          <w:szCs w:val="20"/>
          <w:color w:val="auto"/>
        </w:rPr>
      </w:pPr>
    </w:p>
    <w:p>
      <w:pPr>
        <w:ind w:left="420" w:right="80" w:hanging="316"/>
        <w:spacing w:after="0" w:line="282"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was a draft and not finalized before the Company had fully completed it’s preparation of the financial statements of the year ended December 31, 2022.</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changed due to:</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goodwill impairment charge of $7.4 million was recognized.</w:t>
      </w:r>
    </w:p>
    <w:p>
      <w:pPr>
        <w:spacing w:after="0" w:line="130" w:lineRule="exact"/>
        <w:rPr>
          <w:rFonts w:ascii="Times New Roman" w:cs="Times New Roman" w:eastAsia="Times New Roman" w:hAnsi="Times New Roman"/>
          <w:sz w:val="18"/>
          <w:szCs w:val="18"/>
          <w:color w:val="auto"/>
        </w:rPr>
      </w:pPr>
    </w:p>
    <w:p>
      <w:pPr>
        <w:ind w:left="1420" w:right="340" w:hanging="331"/>
        <w:spacing w:after="0" w:line="266"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agreement to let a payable to a local partner in China be settled by a receivable from another local partner, reducing the total assets by $16.0 million. The Company adjusted for this in the total assets of Rezolve Shanghai in its request for supplemental information, however due to an oversight, the total assets of Rezolve Limited were not reduced.</w:t>
      </w:r>
    </w:p>
    <w:p>
      <w:pPr>
        <w:spacing w:after="0" w:line="81" w:lineRule="exact"/>
        <w:rPr>
          <w:rFonts w:ascii="Times New Roman" w:cs="Times New Roman" w:eastAsia="Times New Roman" w:hAnsi="Times New Roman"/>
          <w:sz w:val="18"/>
          <w:szCs w:val="18"/>
          <w:color w:val="auto"/>
        </w:rPr>
      </w:pPr>
    </w:p>
    <w:p>
      <w:pPr>
        <w:ind w:left="1420" w:right="500" w:hanging="331"/>
        <w:spacing w:after="0" w:line="282"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financial information included a draft balance sheet results from our Germany operation ANY, upon which finalized resulted in a further $2.0 million in assets.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from continuing operations before taxes (after intercompany eliminations) changed due to:</w:t>
      </w:r>
    </w:p>
    <w:p>
      <w:pPr>
        <w:spacing w:after="0" w:line="130" w:lineRule="exact"/>
        <w:rPr>
          <w:rFonts w:ascii="Times New Roman" w:cs="Times New Roman" w:eastAsia="Times New Roman" w:hAnsi="Times New Roman"/>
          <w:sz w:val="18"/>
          <w:szCs w:val="18"/>
          <w:color w:val="auto"/>
        </w:rPr>
      </w:pPr>
    </w:p>
    <w:p>
      <w:pPr>
        <w:ind w:left="1420" w:right="360" w:hanging="331"/>
        <w:spacing w:after="0" w:line="282"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goodwill impairment charge of $7.4 million was recognized, largely due to adverse changes in the outlook for the Company’s German business, ANY.</w:t>
      </w:r>
    </w:p>
    <w:p>
      <w:pPr>
        <w:spacing w:after="0" w:line="67"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financial information included a income statement of our German subsidiary ANY for the first nine months of 2022. Once the full year results were finalized it resulted in an additional net income of $0.6 million for our German operations.</w:t>
      </w:r>
    </w:p>
    <w:p>
      <w:pPr>
        <w:spacing w:after="0" w:line="67"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 were recorded, largely due to availability of the Company’s year-end financial results and significant grant of share options that occurred in November 2022.</w:t>
      </w:r>
    </w:p>
    <w:p>
      <w:pPr>
        <w:spacing w:after="0" w:line="67" w:lineRule="exact"/>
        <w:rPr>
          <w:rFonts w:ascii="Times New Roman" w:cs="Times New Roman" w:eastAsia="Times New Roman" w:hAnsi="Times New Roman"/>
          <w:sz w:val="18"/>
          <w:szCs w:val="18"/>
          <w:color w:val="auto"/>
        </w:rPr>
      </w:pPr>
    </w:p>
    <w:p>
      <w:pPr>
        <w:ind w:left="1420" w:right="80" w:hanging="331"/>
        <w:spacing w:after="0" w:line="258" w:lineRule="auto"/>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receiving the waiver from the SEC staff to not report the balances and results of its Rezolve Shanghai business for the years ending December 31, 2021 and 2022, the Company expensed all cash transfers to Rezolve Shanghai. The Company previously accounted for this as an intercompany investment, eliminated upon consolidation. Under the new basis of presentation, as described in Note 2.1 of the Combined Carve-out Financial Statements, the costs have been charged to General &amp; Administrative expenses, increasing the total costs and net loss from continuing operations by $7.1 million.</w:t>
      </w:r>
    </w:p>
    <w:p>
      <w:pPr>
        <w:spacing w:after="0" w:line="88"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of $1.6 million were reduced after completing our year-end financial close.</w:t>
      </w:r>
    </w:p>
    <w:p>
      <w:pPr>
        <w:spacing w:after="0" w:line="130" w:lineRule="exact"/>
        <w:rPr>
          <w:rFonts w:ascii="Times New Roman" w:cs="Times New Roman" w:eastAsia="Times New Roman" w:hAnsi="Times New Roman"/>
          <w:sz w:val="18"/>
          <w:szCs w:val="18"/>
          <w:color w:val="auto"/>
        </w:rPr>
      </w:pPr>
    </w:p>
    <w:p>
      <w:pPr>
        <w:ind w:left="420" w:right="380" w:hanging="316"/>
        <w:spacing w:after="0" w:line="282"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changed by $4.1 million due to the final financial statements for ANY having been submitted to the Company. The request for supplemental information included only the results of ANY for the nine months ending September 30, 2022.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the Year ended December 31, 2022</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or (loss) from</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continuing</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operations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before taxes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8"/>
              </w:rPr>
              <w:t>at</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8"/>
              </w:rPr>
              <w:t>(after</w:t>
            </w:r>
          </w:p>
        </w:tc>
        <w:tc>
          <w:tcPr>
            <w:tcW w:w="140" w:type="dxa"/>
            <w:vAlign w:val="bottom"/>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8"/>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5"/>
              </w:rPr>
              <w:t>Year</w:t>
            </w:r>
          </w:p>
        </w:tc>
        <w:tc>
          <w:tcPr>
            <w:tcW w:w="11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Intercompany</w:t>
            </w: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gridSpan w:val="2"/>
            <w:vMerge w:val="continue"/>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End</w:t>
            </w:r>
          </w:p>
        </w:tc>
        <w:tc>
          <w:tcPr>
            <w:tcW w:w="1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eliminations)</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February 15, 2023 request for supplemental information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Rezolve Limited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Rezolve Shanghai</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Rezolve limited excluding China</w:t>
            </w: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China Adjustment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Q4 Financial Performance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 (China)</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August 9, 2023, first amended F-4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Rezolve Shanghai as a Percentage of Rezolve Limited</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February 15, 2023</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Per August 9, 2023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2. Facts and circumstances set out in the February 7, 15, and March 1, 2023 letters</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facts and circumstances set out in the above mentioned letters remain the same, apart from the timeline to complete the disposition of the China business. We expect that the disposition will be completed in October 2023, before close of the Business Combination transaction.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3. Funding of China business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has funded $0.6 million of costs to the China business for the year to date June 30, 2023.</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These costs are to support the run-off of the business and we expect to cease funding the China business once the disposition is complete.</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4. Reasons for the demerger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has amended the disclosures on page [245 and F-9] of the Amendment.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5. Consideration of the transactions with the China business as related party transactions</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Company does not object with the Staff’s comment to report the Business Development costs as “Related party transactions” and has included these in Note 16 of the Company’s Combined Carve-Out Financial Statements for the year ended December 31, 2022.</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2.7 Revenue recognition, page F-12</w:t>
      </w:r>
    </w:p>
    <w:p>
      <w:pPr>
        <w:spacing w:after="0" w:line="127" w:lineRule="exact"/>
        <w:rPr>
          <w:sz w:val="20"/>
          <w:szCs w:val="20"/>
          <w:color w:val="auto"/>
        </w:rPr>
      </w:pPr>
    </w:p>
    <w:p>
      <w:pPr>
        <w:ind w:left="424" w:hanging="424"/>
        <w:spacing w:after="0" w:line="26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in your response to comment 31 you state, “ANY has the entire discretion in establishing the price, as stipulated in 3.3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Marketing Agreement.” However, section 3.3 of the Marketing Agreement states, “Once a year, the radio price lists are coordinated between ANY and the respective radio society. ANY will submit a proposal for this. The respective parties will exchange views on this and reach a consensus within one week.” Please explain this apparent contradiction between your response and the agreement.</w:t>
      </w:r>
    </w:p>
    <w:p>
      <w:pPr>
        <w:spacing w:after="0" w:line="68" w:lineRule="exact"/>
        <w:rPr>
          <w:rFonts w:ascii="Times New Roman" w:cs="Times New Roman" w:eastAsia="Times New Roman" w:hAnsi="Times New Roman"/>
          <w:sz w:val="18"/>
          <w:szCs w:val="18"/>
          <w:color w:val="auto"/>
        </w:rPr>
      </w:pPr>
    </w:p>
    <w:p>
      <w:pPr>
        <w:ind w:left="444" w:right="2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Registrant inadvertently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to 3.3 in the Marketing Agreement in its response, as this section refers to ANY’s ability to negotiate the price it pays the Radio Group for the advertising slots. Section 3.3 of the Marketing Agreement creates ANY’s inventory risk since, when purchasing the radio advertising slots from the Radio Group, it also gives ANY control over the radio advertising slots. Sections 3.1, 3.2 and 4.1 demonstrate control and sale of the radio advertising slots as they discuss the sales process by ANY.</w:t>
      </w:r>
    </w:p>
    <w:p>
      <w:pPr>
        <w:spacing w:after="0" w:line="7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then separately determines the price of the radio advertising slots which it charges the customer.</w:t>
      </w:r>
    </w:p>
    <w:p>
      <w:pPr>
        <w:spacing w:after="0" w:line="117" w:lineRule="exact"/>
        <w:rPr>
          <w:rFonts w:ascii="Times New Roman" w:cs="Times New Roman" w:eastAsia="Times New Roman" w:hAnsi="Times New Roman"/>
          <w:sz w:val="18"/>
          <w:szCs w:val="18"/>
          <w:color w:val="auto"/>
        </w:rPr>
      </w:pPr>
    </w:p>
    <w:p>
      <w:pPr>
        <w:ind w:left="444"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refer to the Registrant’s response to Staff comment 12 and encourage the review of the price sheet sent under separate cover, which supports ANY’s ability to establish the sales price to customers.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comment 31. Regarding your contracts with advertisers, please tell us:</w:t>
      </w:r>
    </w:p>
    <w:p>
      <w:pPr>
        <w:spacing w:after="0" w:line="134"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signs the agreements with the advertiser;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do the advertisers believe is providing the service;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Radio Group has any rights regarding what advertisements are aired and when they are aired.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Also, please provide us with an example of a typical contract with an advertiser.</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set forth its response below.</w:t>
      </w:r>
    </w:p>
    <w:p>
      <w:pPr>
        <w:spacing w:after="0" w:line="135" w:lineRule="exact"/>
        <w:rPr>
          <w:sz w:val="20"/>
          <w:szCs w:val="20"/>
          <w:color w:val="auto"/>
        </w:rPr>
      </w:pPr>
    </w:p>
    <w:p>
      <w:pPr>
        <w:ind w:left="964" w:right="420" w:hanging="424"/>
        <w:spacing w:after="0" w:line="282"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 The Registrant is supplementally providing an example of an advertising contract, which contains the standard terms and conditions found in a typical contract with an advertiser.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signed by an ANY sales employee and the advertiser.</w:t>
      </w:r>
    </w:p>
    <w:p>
      <w:pPr>
        <w:spacing w:after="0" w:line="130" w:lineRule="exact"/>
        <w:rPr>
          <w:rFonts w:ascii="Times New Roman" w:cs="Times New Roman" w:eastAsia="Times New Roman" w:hAnsi="Times New Roman"/>
          <w:sz w:val="18"/>
          <w:szCs w:val="18"/>
          <w:color w:val="auto"/>
        </w:rPr>
      </w:pPr>
    </w:p>
    <w:p>
      <w:pPr>
        <w:ind w:left="964" w:right="80" w:hanging="424"/>
        <w:spacing w:after="0" w:line="266"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advertisers believe that ANY is providing the service as a reseller, due to the fact that ANY is selling the slot to the customer for a specific time on a specific Radio Group Radio Station at a specific price. Furthermore, changes to the booking slots must be made directly with ANY as the seller and not the Radio Group, as noted in the standard General Terms and Conditions.</w:t>
      </w:r>
    </w:p>
    <w:p>
      <w:pPr>
        <w:sectPr>
          <w:pgSz w:w="11900" w:h="16838" w:orient="portrait"/>
          <w:cols w:equalWidth="0" w:num="1">
            <w:col w:w="11004"/>
          </w:cols>
          <w:pgMar w:left="436" w:top="270"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ind w:left="964" w:right="40" w:hanging="424"/>
        <w:spacing w:after="0" w:line="261"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Apart from the requirement to comply with German media regulations, the Radio Group has no rights regarding what advertisements are aired and when they are aired. ANY sells the advertisers the advertising slot to be aired at a specified time on a specific Radio Group radio station. Please refer to the standard terms and conditions which demonstrates ANY’s ability to control the radio advertising slots via clauses 17 and 18 which explains how an advertiser must contact ANY for the scheduling of the radio advertisement slot.</w:t>
      </w:r>
    </w:p>
    <w:p>
      <w:pPr>
        <w:spacing w:after="0" w:line="72" w:lineRule="exact"/>
        <w:rPr>
          <w:sz w:val="20"/>
          <w:szCs w:val="20"/>
          <w:color w:val="auto"/>
        </w:rPr>
      </w:pPr>
    </w:p>
    <w:p>
      <w:pPr>
        <w:ind w:left="444" w:right="640"/>
        <w:spacing w:after="0" w:line="282" w:lineRule="auto"/>
        <w:rPr>
          <w:sz w:val="20"/>
          <w:szCs w:val="20"/>
          <w:color w:val="auto"/>
        </w:rPr>
      </w:pPr>
      <w:r>
        <w:rPr>
          <w:rFonts w:ascii="Times New Roman" w:cs="Times New Roman" w:eastAsia="Times New Roman" w:hAnsi="Times New Roman"/>
          <w:sz w:val="18"/>
          <w:szCs w:val="18"/>
          <w:color w:val="auto"/>
        </w:rPr>
        <w:t>The Registrant is also supplementally providing under separate cover ANY’s price sheet which lists the price for the length, specific radio advertising time and radio station.</w:t>
      </w:r>
    </w:p>
    <w:p>
      <w:pPr>
        <w:spacing w:after="0" w:line="63" w:lineRule="exact"/>
        <w:rPr>
          <w:sz w:val="20"/>
          <w:szCs w:val="20"/>
          <w:color w:val="auto"/>
        </w:rPr>
      </w:pPr>
    </w:p>
    <w:p>
      <w:pPr>
        <w:ind w:left="424" w:right="60" w:hanging="424"/>
        <w:spacing w:after="0" w:line="268"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on page 64 “[t]he terms and conditions of the marketing agreement with Radio Group permit Radio Group to terminate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ability to sell customers radio advertisements on a Radio Group radio station at any time.” In light of this, if Radio were to terminate the marketing agreement, tell us how this would affect your relationship with your customers, the advertisers.</w:t>
      </w:r>
    </w:p>
    <w:p>
      <w:pPr>
        <w:spacing w:after="0" w:line="62" w:lineRule="exact"/>
        <w:rPr>
          <w:rFonts w:ascii="Times New Roman" w:cs="Times New Roman" w:eastAsia="Times New Roman" w:hAnsi="Times New Roman"/>
          <w:sz w:val="18"/>
          <w:szCs w:val="18"/>
          <w:color w:val="auto"/>
        </w:rPr>
      </w:pPr>
    </w:p>
    <w:p>
      <w:pPr>
        <w:ind w:left="444" w:right="1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if the Radio Group were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terminate the marketing agreement, the Registrant may still have a relationship with the advertising customers. However, the ability to sell radio advertisements would be adversely impacted until alternative distribution channels such as other radio station companies are identified.</w:t>
      </w:r>
    </w:p>
    <w:p>
      <w:pPr>
        <w:spacing w:after="0" w:line="76" w:lineRule="exact"/>
        <w:rPr>
          <w:rFonts w:ascii="Times New Roman" w:cs="Times New Roman" w:eastAsia="Times New Roman" w:hAnsi="Times New Roman"/>
          <w:sz w:val="18"/>
          <w:szCs w:val="18"/>
          <w:color w:val="auto"/>
        </w:rPr>
      </w:pPr>
    </w:p>
    <w:p>
      <w:pPr>
        <w:ind w:left="424" w:right="260" w:hanging="424"/>
        <w:spacing w:after="0" w:line="26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on page 227 that you derive revenue through “[t]he sale of radio advertisements in our German subsidiary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Lifestyle Marketing GmbH (“ANY”) to a single customer, Radio Group GmbH and its related companies.” However, on page F-12 you state “ANY’s customers include national advertisers, retailers and merchants.” It appears there is a contradiction in your disclosure as to who is your costumer. Please explain.</w:t>
      </w:r>
    </w:p>
    <w:p>
      <w:pPr>
        <w:spacing w:after="0" w:line="68" w:lineRule="exact"/>
        <w:rPr>
          <w:rFonts w:ascii="Times New Roman" w:cs="Times New Roman" w:eastAsia="Times New Roman" w:hAnsi="Times New Roman"/>
          <w:sz w:val="18"/>
          <w:szCs w:val="18"/>
          <w:color w:val="auto"/>
        </w:rPr>
      </w:pPr>
    </w:p>
    <w:p>
      <w:pPr>
        <w:ind w:left="444" w:right="3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230 of the Amendment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with page F-12.</w:t>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2.17 Shareholders’ deficit and reserves, page F-15</w:t>
      </w:r>
    </w:p>
    <w:p>
      <w:pPr>
        <w:spacing w:after="0" w:line="127" w:lineRule="exact"/>
        <w:rPr>
          <w:sz w:val="20"/>
          <w:szCs w:val="20"/>
          <w:color w:val="auto"/>
        </w:rPr>
      </w:pPr>
    </w:p>
    <w:p>
      <w:pPr>
        <w:ind w:left="424" w:right="640" w:hanging="424"/>
        <w:spacing w:after="0" w:line="268"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comment 32 and your new disclosure on page F-16. Given the significance of the future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to your financial statements, please include similar disclosure at the forefront of your MD&amp;A. Also, tell us your consideration as to whether this expense should be reflected in your pro forma financial statements.</w:t>
      </w:r>
    </w:p>
    <w:p>
      <w:pPr>
        <w:spacing w:after="0" w:line="62" w:lineRule="exact"/>
        <w:rPr>
          <w:rFonts w:ascii="Times New Roman" w:cs="Times New Roman" w:eastAsia="Times New Roman" w:hAnsi="Times New Roman"/>
          <w:sz w:val="18"/>
          <w:szCs w:val="18"/>
          <w:color w:val="auto"/>
        </w:rPr>
      </w:pPr>
    </w:p>
    <w:p>
      <w:pPr>
        <w:ind w:left="44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The Registrant respectfully acknowledges the Staff’s comment and has revised the disclosure on page 240 of the Amendment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MD&amp;A a similar disclosure to the Financial statements, note 2.17 Shareholders’ deficit and reserves. Additionally, this expense has been reflected in the pro forma financial statements.</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14. Expenses and other Non-operating (income) expense, net, page F-30</w:t>
      </w:r>
    </w:p>
    <w:p>
      <w:pPr>
        <w:spacing w:after="0" w:line="127" w:lineRule="exact"/>
        <w:rPr>
          <w:sz w:val="20"/>
          <w:szCs w:val="20"/>
          <w:color w:val="auto"/>
        </w:rPr>
      </w:pPr>
    </w:p>
    <w:p>
      <w:pPr>
        <w:ind w:left="424" w:right="180" w:hanging="424"/>
        <w:spacing w:after="0" w:line="317" w:lineRule="auto"/>
        <w:tabs>
          <w:tab w:leader="none" w:pos="4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Staff’s comment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note your response to comment 35. However, since non-compete arrangements are related to your business operations,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continue to believe a share based payment for a non-compete agreement should be included in operating expenses. Please revise accordingly.</w:t>
      </w:r>
    </w:p>
    <w:p>
      <w:pPr>
        <w:spacing w:after="0" w:line="23" w:lineRule="exact"/>
        <w:rPr>
          <w:rFonts w:ascii="Times New Roman" w:cs="Times New Roman" w:eastAsia="Times New Roman" w:hAnsi="Times New Roman"/>
          <w:sz w:val="17"/>
          <w:szCs w:val="17"/>
          <w:color w:val="auto"/>
        </w:rPr>
      </w:pPr>
    </w:p>
    <w:p>
      <w:pPr>
        <w:ind w:left="484" w:right="360" w:hanging="45"/>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233, 234-237, 240, F-5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F-30 of the Amendment.</w:t>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15. Business Combinations, page F-32</w:t>
      </w:r>
    </w:p>
    <w:p>
      <w:pPr>
        <w:spacing w:after="0" w:line="127" w:lineRule="exact"/>
        <w:rPr>
          <w:sz w:val="20"/>
          <w:szCs w:val="20"/>
          <w:color w:val="auto"/>
        </w:rPr>
      </w:pPr>
    </w:p>
    <w:p>
      <w:pPr>
        <w:ind w:left="424" w:right="240" w:hanging="424"/>
        <w:spacing w:after="0" w:line="286"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36 that Peter Vesco has power of attorney over ANY. Please tell us why Peter Vesco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the power of attorney rather than Rezolve, and why you attribute Peter Vesco’s power to Rezolve.</w:t>
      </w:r>
    </w:p>
    <w:p>
      <w:pPr>
        <w:spacing w:after="0" w:line="4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w:t>
      </w:r>
    </w:p>
    <w:p>
      <w:pPr>
        <w:spacing w:after="0" w:line="121" w:lineRule="exact"/>
        <w:rPr>
          <w:rFonts w:ascii="Times New Roman" w:cs="Times New Roman" w:eastAsia="Times New Roman" w:hAnsi="Times New Roman"/>
          <w:sz w:val="18"/>
          <w:szCs w:val="18"/>
          <w:color w:val="auto"/>
        </w:rPr>
      </w:pPr>
    </w:p>
    <w:p>
      <w:pPr>
        <w:ind w:left="444" w:right="110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Vesco is the Chief Commercial Officer and General Manager, Europe Middle East and Africa (“EMEA”) of Rezolve Limited. Peter Vesco is a German citizen, resides in Germany and German is his native language. ANY is a German entity.</w:t>
      </w:r>
    </w:p>
    <w:p>
      <w:pPr>
        <w:spacing w:after="0" w:line="1" w:lineRule="exact"/>
        <w:rPr>
          <w:rFonts w:ascii="Times New Roman" w:cs="Times New Roman" w:eastAsia="Times New Roman" w:hAnsi="Times New Roman"/>
          <w:sz w:val="18"/>
          <w:szCs w:val="18"/>
          <w:color w:val="auto"/>
        </w:rPr>
      </w:pPr>
    </w:p>
    <w:p>
      <w:pPr>
        <w:ind w:left="444"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Vesco was the officer of Rezolve Limited who identified the advertising sales business of Radio Group, which was later incorporated as ANY, as an acquisition and approached Radio Group to gauge their interest in Rezolve Limited’s offer.</w:t>
      </w:r>
    </w:p>
    <w:p>
      <w:pPr>
        <w:sectPr>
          <w:pgSz w:w="11900" w:h="16838" w:orient="portrait"/>
          <w:cols w:equalWidth="0" w:num="1">
            <w:col w:w="11004"/>
          </w:cols>
          <w:pgMar w:left="436" w:top="270"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Rezolve Limited and its President and CEO, Dan Wagner, decided it was logical to grant Peter Vesco as the “Power of Attorney” since:</w:t>
      </w:r>
    </w:p>
    <w:p>
      <w:pPr>
        <w:spacing w:after="0" w:line="131" w:lineRule="exact"/>
        <w:rPr>
          <w:sz w:val="20"/>
          <w:szCs w:val="20"/>
          <w:color w:val="auto"/>
        </w:rPr>
      </w:pPr>
    </w:p>
    <w:p>
      <w:pPr>
        <w:ind w:left="1424" w:hanging="331"/>
        <w:spacing w:after="0"/>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Vesco is an officer of Rezolve Limited who reports directly to the President and CEO of Rezolve Limited.</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Vesco reads and speaks German, providing him the ability to approve and sign the contracts of ANY.</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Vesco is the key decision maker of ANY and all significant decisions must be approved by him.</w:t>
      </w:r>
    </w:p>
    <w:p>
      <w:pPr>
        <w:spacing w:after="0" w:line="130" w:lineRule="exact"/>
        <w:rPr>
          <w:rFonts w:ascii="Times New Roman" w:cs="Times New Roman" w:eastAsia="Times New Roman" w:hAnsi="Times New Roman"/>
          <w:sz w:val="18"/>
          <w:szCs w:val="18"/>
          <w:color w:val="auto"/>
        </w:rPr>
      </w:pPr>
    </w:p>
    <w:p>
      <w:pPr>
        <w:ind w:left="1424" w:hanging="331"/>
        <w:spacing w:after="0" w:line="266" w:lineRule="auto"/>
        <w:tabs>
          <w:tab w:leader="none" w:pos="1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Vesco’s ultimate employer is Rezolve Limited, and his role at ANY is in furtherance of his role at Rezolve Limited, and not in potential conflict with those obligations to Rezolve Limited. The legal duty of an employee to its employer is not to perform any acts contrary to the interests of the employer while actively employed by the employer.</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It therefore made sense to grant Peter Vesco the Power of Attorney of ANY from August 2021.</w:t>
      </w:r>
    </w:p>
    <w:p>
      <w:pPr>
        <w:spacing w:after="0" w:line="127" w:lineRule="exact"/>
        <w:rPr>
          <w:sz w:val="20"/>
          <w:szCs w:val="20"/>
          <w:color w:val="auto"/>
        </w:rPr>
      </w:pPr>
    </w:p>
    <w:p>
      <w:pPr>
        <w:ind w:left="424" w:right="100" w:hanging="424"/>
        <w:spacing w:after="0" w:line="26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36 that Peter Vesco chairs a weekly executive meeting with ANY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comprise “the decision-making group”. Further you stated that no decision-making is made without Peter Vesco’s approval. Please elaborate on ANY’s management’s involvement in decision-making, and whether ANY’s management is required to approve decisions regarding activities that most significantly affect the economic performance of ANY. Refer to ASC 810-10-25-38A.</w:t>
      </w:r>
    </w:p>
    <w:p>
      <w:pPr>
        <w:spacing w:after="0" w:line="6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is respectfully responding to the Staff’s comment and advises the Staff that:</w:t>
      </w:r>
    </w:p>
    <w:p>
      <w:pPr>
        <w:spacing w:after="0" w:line="12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Vesco is the Chief Commercial Officer and General Manager, Europe Middle East and Africa (“EMEA”) of Rezolve Limited.</w:t>
      </w:r>
    </w:p>
    <w:p>
      <w:pPr>
        <w:spacing w:after="0" w:line="117" w:lineRule="exact"/>
        <w:rPr>
          <w:rFonts w:ascii="Times New Roman" w:cs="Times New Roman" w:eastAsia="Times New Roman" w:hAnsi="Times New Roman"/>
          <w:sz w:val="18"/>
          <w:szCs w:val="18"/>
          <w:color w:val="auto"/>
        </w:rPr>
      </w:pPr>
    </w:p>
    <w:p>
      <w:pPr>
        <w:ind w:left="44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 Wagner is the President and CEO of Rezolve Limited and Chief Decision Maker. Peter Vesco is based in Germany where ANY is located and reports directly to Dan Wagner. Peter Vesco’ s role is to implement all decisions that significantly affect the economic performance of ANY as agreed with Dan Wagner. Peter Vesco also has control over decisions that are less consequential and leads the ANY’s management team.</w:t>
      </w:r>
    </w:p>
    <w:p>
      <w:pPr>
        <w:spacing w:after="0" w:line="67" w:lineRule="exact"/>
        <w:rPr>
          <w:rFonts w:ascii="Times New Roman" w:cs="Times New Roman" w:eastAsia="Times New Roman" w:hAnsi="Times New Roman"/>
          <w:sz w:val="18"/>
          <w:szCs w:val="18"/>
          <w:color w:val="auto"/>
        </w:rPr>
      </w:pPr>
    </w:p>
    <w:p>
      <w:pPr>
        <w:ind w:left="444"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ANY’s local management makes day-to-day operational decisions and report to Peter Vesco. ANY’s management is not required to nor allowed to approve any decisions regarding activities that most significantly affect the economic performance of ANY without Peter Vesco’s approval. Further, any day-to-day operational decisions are unlikely to significantly impact the economic performance of ANY.</w:t>
      </w:r>
    </w:p>
    <w:p>
      <w:pPr>
        <w:spacing w:after="0" w:line="67" w:lineRule="exact"/>
        <w:rPr>
          <w:rFonts w:ascii="Times New Roman" w:cs="Times New Roman" w:eastAsia="Times New Roman" w:hAnsi="Times New Roman"/>
          <w:sz w:val="18"/>
          <w:szCs w:val="18"/>
          <w:color w:val="auto"/>
        </w:rPr>
      </w:pPr>
    </w:p>
    <w:p>
      <w:pPr>
        <w:ind w:left="444" w:right="720"/>
        <w:spacing w:after="0" w:line="3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that significantly affect the economic performance of ANY must be approved first by Peter Vesco and then by Dan Wagner These decisions that most significantly affect the economic performance include:</w:t>
      </w:r>
    </w:p>
    <w:p>
      <w:pPr>
        <w:ind w:left="1424" w:hanging="331"/>
        <w:spacing w:after="0"/>
        <w:tabs>
          <w:tab w:leader="none" w:pos="1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Budgets and forecasts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sheets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which may impact financial performance</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strategy</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termination of key employees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Rezolve Limited’s technology in radio advertising slots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Peter Vesco has control over decisions that are less consequential.</w:t>
      </w:r>
    </w:p>
    <w:p>
      <w:pPr>
        <w:spacing w:after="0" w:line="117" w:lineRule="exact"/>
        <w:rPr>
          <w:sz w:val="20"/>
          <w:szCs w:val="20"/>
          <w:color w:val="auto"/>
        </w:rPr>
      </w:pPr>
    </w:p>
    <w:p>
      <w:pPr>
        <w:ind w:left="444" w:right="400"/>
        <w:spacing w:after="0" w:line="266" w:lineRule="auto"/>
        <w:rPr>
          <w:sz w:val="20"/>
          <w:szCs w:val="20"/>
          <w:color w:val="auto"/>
        </w:rPr>
      </w:pPr>
      <w:r>
        <w:rPr>
          <w:rFonts w:ascii="Times New Roman" w:cs="Times New Roman" w:eastAsia="Times New Roman" w:hAnsi="Times New Roman"/>
          <w:sz w:val="18"/>
          <w:szCs w:val="18"/>
          <w:color w:val="auto"/>
        </w:rPr>
        <w:t>These decisions may directly impact the amount of the gains available to the Registrant from the anticipated sales of its technology to ANY’s advertising customers. These sales would not be possible without the creation of ANY and the acquisition of its customer list and most importantly, the need for Peter Vesco and or Dan Wagner’s approval of all significant decisions.</w:t>
      </w:r>
    </w:p>
    <w:p>
      <w:pPr>
        <w:sectPr>
          <w:pgSz w:w="11900" w:h="16838" w:orient="portrait"/>
          <w:cols w:equalWidth="0" w:num="1">
            <w:col w:w="11004"/>
          </w:cols>
          <w:pgMar w:left="436" w:top="270" w:right="4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9</w:t>
      </w:r>
    </w:p>
    <w:p>
      <w:pPr>
        <w:spacing w:after="0" w:line="135" w:lineRule="exact"/>
        <w:rPr>
          <w:sz w:val="20"/>
          <w:szCs w:val="20"/>
          <w:color w:val="auto"/>
        </w:rPr>
      </w:pPr>
    </w:p>
    <w:p>
      <w:pPr>
        <w:ind w:left="424" w:right="480" w:hanging="424"/>
        <w:spacing w:after="0" w:line="286"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20 that the decision-making authority for ANY rests with Dan Wagner and Peter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Vesco, which appears to contradict your response to comment 36. Please clarify</w:t>
      </w:r>
      <w:r>
        <w:rPr>
          <w:rFonts w:ascii="Times New Roman" w:cs="Times New Roman" w:eastAsia="Times New Roman" w:hAnsi="Times New Roman"/>
          <w:sz w:val="18"/>
          <w:szCs w:val="18"/>
          <w:i w:val="1"/>
          <w:iCs w:val="1"/>
          <w:color w:val="auto"/>
        </w:rPr>
        <w:t>.</w:t>
      </w:r>
    </w:p>
    <w:p>
      <w:pPr>
        <w:spacing w:after="0" w:line="46" w:lineRule="exact"/>
        <w:rPr>
          <w:rFonts w:ascii="Times New Roman" w:cs="Times New Roman" w:eastAsia="Times New Roman" w:hAnsi="Times New Roman"/>
          <w:sz w:val="18"/>
          <w:szCs w:val="18"/>
          <w:color w:val="auto"/>
        </w:rPr>
      </w:pPr>
    </w:p>
    <w:p>
      <w:pPr>
        <w:ind w:left="444"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Peter Vesco is an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Rezolve Limited, and the only Rezolve Limited officer in ANY’s meetings. Peter Vesco’s primary obligation is to Rezolve Limited and his role at ANY is in furtherance of fulfilling his responsibilities to Rezolve Limited. Peter Vesco reports to Dan Wagner, and Dan Wagner is able to direct activity of ANY through Peter Vesco, an officer of Rezolve Limited physically present in Germany where ANY is located.</w:t>
      </w:r>
    </w:p>
    <w:p>
      <w:pPr>
        <w:spacing w:after="0" w:line="72"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has a local management team, which includes Heiko Carstens as the Managing Director. However, no significant decisions are made without Peter Vesco’s approval and Peter Vesco consults with Dan Wagner before approving any such significant decisions.</w:t>
      </w:r>
    </w:p>
    <w:p>
      <w:pPr>
        <w:spacing w:after="0" w:line="53" w:lineRule="exact"/>
        <w:rPr>
          <w:rFonts w:ascii="Times New Roman" w:cs="Times New Roman" w:eastAsia="Times New Roman" w:hAnsi="Times New Roman"/>
          <w:sz w:val="18"/>
          <w:szCs w:val="18"/>
          <w:color w:val="auto"/>
        </w:rPr>
      </w:pPr>
    </w:p>
    <w:p>
      <w:pPr>
        <w:ind w:left="444" w:right="680"/>
        <w:spacing w:after="0" w:line="3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that significantly affect the economic performance of ANY must be approved first by Peter Vesco and then by Dan Wagner. These decisions that most significantly affect the economic performance include:</w:t>
      </w:r>
    </w:p>
    <w:p>
      <w:pPr>
        <w:ind w:left="964" w:hanging="424"/>
        <w:spacing w:after="0"/>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Budgets and forecasts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sheets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which may impact financial performance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strategy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termination of key employees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Rezolve Limited’s technology for use in radio advertising slots</w:t>
      </w:r>
    </w:p>
    <w:p>
      <w:pPr>
        <w:spacing w:after="0" w:line="126" w:lineRule="exact"/>
        <w:rPr>
          <w:rFonts w:ascii="Times New Roman" w:cs="Times New Roman" w:eastAsia="Times New Roman" w:hAnsi="Times New Roman"/>
          <w:sz w:val="18"/>
          <w:szCs w:val="18"/>
          <w:color w:val="auto"/>
        </w:rPr>
      </w:pPr>
    </w:p>
    <w:p>
      <w:pPr>
        <w:ind w:left="424" w:right="100" w:hanging="424"/>
        <w:spacing w:after="0" w:line="259"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36 that Rezolve will be the beneficial owner of revenues and income of ANY and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are obligated to fund losses in ANY. Please explain more clearly Rezolve’s economic rights in, and obligations to, ANY, and the sources for such rights and/or obligations. In addition, explain to us more clearly how they represent variable interests in ANY. In this regard, to the extent you have a service contract with ANY, provide us your analysis of ASC 810-10-25-38J and 55-37 in determining whether the service contract represents a variable interest.</w:t>
      </w:r>
    </w:p>
    <w:p>
      <w:pPr>
        <w:spacing w:after="0" w:line="71" w:lineRule="exact"/>
        <w:rPr>
          <w:rFonts w:ascii="Times New Roman" w:cs="Times New Roman" w:eastAsia="Times New Roman" w:hAnsi="Times New Roman"/>
          <w:sz w:val="18"/>
          <w:szCs w:val="18"/>
          <w:color w:val="auto"/>
        </w:rPr>
      </w:pPr>
    </w:p>
    <w:p>
      <w:pPr>
        <w:ind w:left="444" w:right="400"/>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Response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Registrant respectfully acknowledges the Staff’s comment and respectfully advises that Staff that it does not have any service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contracts with ANY, and therefore has not provided an analysis of a service contract in accordance with ASC 810-10-25-38J and 55-37.</w:t>
      </w:r>
    </w:p>
    <w:p>
      <w:pPr>
        <w:spacing w:after="0" w:line="24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Analysis of economic rights: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“economic right(s)” are not defined in ASC 810.</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the following to be its most significant economic rights in ANY:</w:t>
      </w:r>
    </w:p>
    <w:p>
      <w:pPr>
        <w:spacing w:after="0" w:line="130" w:lineRule="exact"/>
        <w:rPr>
          <w:rFonts w:ascii="Times New Roman" w:cs="Times New Roman" w:eastAsia="Times New Roman" w:hAnsi="Times New Roman"/>
          <w:sz w:val="18"/>
          <w:szCs w:val="18"/>
          <w:color w:val="auto"/>
        </w:rPr>
      </w:pPr>
    </w:p>
    <w:p>
      <w:pPr>
        <w:ind w:left="964" w:right="60" w:hanging="424"/>
        <w:spacing w:after="0" w:line="266"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provided Rezolve with access to and rights to use a customer list of +7,000 merchants and the ability for Rezolve to embed its software into German radio advertisements, creating triggers for mobile phone user’s handsets that have the ANY Lifestyle application installed; such triggered responses can be sold for an additional cost to advertisers.</w:t>
      </w:r>
    </w:p>
    <w:p>
      <w:pPr>
        <w:spacing w:after="0" w:line="81" w:lineRule="exact"/>
        <w:rPr>
          <w:rFonts w:ascii="Times New Roman" w:cs="Times New Roman" w:eastAsia="Times New Roman" w:hAnsi="Times New Roman"/>
          <w:sz w:val="18"/>
          <w:szCs w:val="18"/>
          <w:color w:val="auto"/>
        </w:rPr>
      </w:pPr>
    </w:p>
    <w:p>
      <w:pPr>
        <w:ind w:left="964" w:right="200" w:hanging="424"/>
        <w:spacing w:after="0" w:line="261"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a pecuniary interest in ANY since its creation, as Rezolve may create an application for mobile users co-branded with ANY and generate merchant transaction revenue, both of which when combined with the customer list of ANY, offers the opportunity for Rezolve to participate directly in the profits created by ANY. Nothing forbids Rezolve from making applications for the German market and marketing them to ANY’s customers.</w:t>
      </w:r>
    </w:p>
    <w:p>
      <w:pPr>
        <w:spacing w:after="0" w:line="85" w:lineRule="exact"/>
        <w:rPr>
          <w:rFonts w:ascii="Times New Roman" w:cs="Times New Roman" w:eastAsia="Times New Roman" w:hAnsi="Times New Roman"/>
          <w:sz w:val="18"/>
          <w:szCs w:val="18"/>
          <w:color w:val="auto"/>
        </w:rPr>
      </w:pPr>
    </w:p>
    <w:p>
      <w:pPr>
        <w:ind w:left="964" w:right="60" w:hanging="424"/>
        <w:spacing w:after="0" w:line="266"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30th, 2021, the sellers (Radio Group) of ANY signed and executed an agreement which stated that Rezolve Limited will be the beneficial owner of the revenues and income of ANY. This provides Rezolve with the right to receive all financial benefits from the ongoing operation of ANY that could potentially be significant to ANY.</w:t>
      </w:r>
    </w:p>
    <w:p>
      <w:pPr>
        <w:sectPr>
          <w:pgSz w:w="11900" w:h="16838" w:orient="portrait"/>
          <w:cols w:equalWidth="0" w:num="1">
            <w:col w:w="11004"/>
          </w:cols>
          <w:pgMar w:left="436" w:top="270" w:right="45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10</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refers to the definition of variable interests as described in the master glossary of ASC 810.</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Glossary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810-10-20</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Variable Interests</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i w:val="1"/>
          <w:iCs w:val="1"/>
          <w:color w:val="auto"/>
        </w:rPr>
        <w:t>The investments or other interests that will absorb portions of a variable interest entity’s (VIE’s) expected losses or receive portions of the entity’s expected residual returns are called variable interests. Variable interests in a VIE are contractual, ownership, or other pecuniary interests in a VIE that change with changes in the fair value of the VIE’s net assets exclusive of variable interests. Equity interests with or without voting rights are considered variable interests if the legal entity is a VIE and to the extent that the investment is at risk as described in paragraph 810-10-15-14. Paragraph 810-10-25-55 explains how to determine whether a variable interest in specified assets of a legal entity is a variable interest in the entity. Paragraphs 810-10-55-16 through 55-41 describe various types of variable interests and explain in general how they may affect the determination of the primary beneficiary of a VIE.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810-10-25-54</w:t>
      </w:r>
    </w:p>
    <w:p>
      <w:pPr>
        <w:spacing w:after="0" w:line="115"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reporting entity shall consider whether it holds an </w:t>
      </w:r>
      <w:r>
        <w:rPr>
          <w:rFonts w:ascii="Times New Roman" w:cs="Times New Roman" w:eastAsia="Times New Roman" w:hAnsi="Times New Roman"/>
          <w:sz w:val="18"/>
          <w:szCs w:val="18"/>
          <w:i w:val="1"/>
          <w:iCs w:val="1"/>
          <w:u w:val="single" w:color="auto"/>
          <w:color w:val="auto"/>
        </w:rPr>
        <w:t>implicit variable interest</w:t>
      </w:r>
      <w:r>
        <w:rPr>
          <w:rFonts w:ascii="Times New Roman" w:cs="Times New Roman" w:eastAsia="Times New Roman" w:hAnsi="Times New Roman"/>
          <w:sz w:val="18"/>
          <w:szCs w:val="18"/>
          <w:i w:val="1"/>
          <w:iCs w:val="1"/>
          <w:color w:val="auto"/>
        </w:rPr>
        <w:t xml:space="preserve"> in the VIE or potential VIE. The determination of whether an </w:t>
      </w:r>
      <w:r>
        <w:rPr>
          <w:rFonts w:ascii="Times New Roman" w:cs="Times New Roman" w:eastAsia="Times New Roman" w:hAnsi="Times New Roman"/>
          <w:sz w:val="18"/>
          <w:szCs w:val="18"/>
          <w:i w:val="1"/>
          <w:iCs w:val="1"/>
          <w:u w:val="single" w:color="auto"/>
          <w:color w:val="auto"/>
        </w:rPr>
        <w:t>implicit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variable interest exists shall be based on all facts and circumstances</w:t>
      </w:r>
      <w:r>
        <w:rPr>
          <w:rFonts w:ascii="Times New Roman" w:cs="Times New Roman" w:eastAsia="Times New Roman" w:hAnsi="Times New Roman"/>
          <w:sz w:val="18"/>
          <w:szCs w:val="18"/>
          <w:i w:val="1"/>
          <w:iCs w:val="1"/>
          <w:color w:val="auto"/>
        </w:rPr>
        <w:t xml:space="preserve"> in determining whether the reporting entity may absorb variability of the VIE or potential VIE. A reporting entity that holds an implicit variable interest in a VIE and is a related party to other variable interest holders shall apply the guidance in paragraphs 810-10-25-42 through 25-44B to determine whether it is the primary beneficiary of the VIE. The guidance in paragraphs 810-10-25-49 through 25-54 applies to related parties as defined in paragraph 810-10-25-43. For example, the guidance in paragraphs 810-10-25-49 through 25-54 applies to any of the following situations:</w:t>
      </w:r>
    </w:p>
    <w:p>
      <w:pPr>
        <w:spacing w:after="0" w:line="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a. A reporting entity and a VIE are under common control.</w:t>
      </w:r>
    </w:p>
    <w:p>
      <w:pPr>
        <w:spacing w:after="0" w:line="117" w:lineRule="exact"/>
        <w:rPr>
          <w:sz w:val="20"/>
          <w:szCs w:val="20"/>
          <w:color w:val="auto"/>
        </w:rPr>
      </w:pPr>
    </w:p>
    <w:p>
      <w:pPr>
        <w:ind w:left="444" w:right="60"/>
        <w:spacing w:after="0" w:line="284" w:lineRule="auto"/>
        <w:rPr>
          <w:sz w:val="20"/>
          <w:szCs w:val="20"/>
          <w:color w:val="auto"/>
        </w:rPr>
      </w:pPr>
      <w:r>
        <w:rPr>
          <w:rFonts w:ascii="Times New Roman" w:cs="Times New Roman" w:eastAsia="Times New Roman" w:hAnsi="Times New Roman"/>
          <w:sz w:val="18"/>
          <w:szCs w:val="18"/>
          <w:i w:val="1"/>
          <w:iCs w:val="1"/>
          <w:color w:val="auto"/>
        </w:rPr>
        <w:t>b. A reporting entity has an interest in, or other involvement with, a VIE and an officer of that reporting entity has a variable interest in the same VIE.</w:t>
      </w:r>
    </w:p>
    <w:p>
      <w:pPr>
        <w:spacing w:after="0" w:line="50" w:lineRule="exact"/>
        <w:rPr>
          <w:sz w:val="20"/>
          <w:szCs w:val="20"/>
          <w:color w:val="auto"/>
        </w:rPr>
      </w:pPr>
    </w:p>
    <w:p>
      <w:pPr>
        <w:ind w:left="444" w:right="860"/>
        <w:spacing w:after="0" w:line="284" w:lineRule="auto"/>
        <w:rPr>
          <w:sz w:val="20"/>
          <w:szCs w:val="20"/>
          <w:color w:val="auto"/>
        </w:rPr>
      </w:pPr>
      <w:r>
        <w:rPr>
          <w:rFonts w:ascii="Times New Roman" w:cs="Times New Roman" w:eastAsia="Times New Roman" w:hAnsi="Times New Roman"/>
          <w:sz w:val="18"/>
          <w:szCs w:val="18"/>
          <w:i w:val="1"/>
          <w:iCs w:val="1"/>
          <w:color w:val="auto"/>
        </w:rPr>
        <w:t>c. A reporting entity enters into a contractual arrangement with an unrelated third party that has a variable interest in a VIE and that arrangement establishes a related party relationship</w:t>
      </w:r>
    </w:p>
    <w:p>
      <w:pPr>
        <w:spacing w:after="0" w:line="52"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ANY was formed in August 2021 using a structure which was designed by Rezolve’s general legal counsel. ANY was designed to allow Rezolve to benefit from the assets of ANY, including the customer list, and enjoy the benefit from sales of advertisements on the Radio Group stations while remaining in compliance with local laws related to the ownership of media organizations.</w:t>
      </w:r>
    </w:p>
    <w:p>
      <w:pPr>
        <w:spacing w:after="0" w:line="68"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Should a significant customer such as a national advertiser be lost from ANY, Rezolve’s pecuniary interest would be adversely impacted by the loss in value of ANY’s customer list which may also adversely impact Rezolve’s net assets and revenues. This is key to identifying whether a variable interest exists since the net assets of ANY would be adversely impacted and thus impacting Rezolve.</w:t>
      </w:r>
    </w:p>
    <w:p>
      <w:pPr>
        <w:spacing w:after="0" w:line="68"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Rezolve has an obligation to ANY to fund all working capital shortfalls. This was an oral arrangement at inception of ANY since the Company did not have any credit history and had no means of raising external financing. As at June 30, 2023, ANY owes Radio Group $793,356, which Rezolve will have to fund.</w:t>
      </w:r>
    </w:p>
    <w:p>
      <w:pPr>
        <w:spacing w:after="0" w:line="77" w:lineRule="exact"/>
        <w:rPr>
          <w:sz w:val="20"/>
          <w:szCs w:val="20"/>
          <w:color w:val="auto"/>
        </w:rPr>
      </w:pPr>
    </w:p>
    <w:p>
      <w:pPr>
        <w:ind w:left="424" w:right="60" w:hanging="424"/>
        <w:spacing w:after="0" w:line="291" w:lineRule="auto"/>
        <w:tabs>
          <w:tab w:leader="none" w:pos="42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Staff’s comment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It appears that you filed the May 24, 2023 purchase agreement for the equity interests. Please provide us with the agreement(s)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or around August 30, 2021, that gave rise to Peter Vesco’s power of attorney and also defined the consideration ANY is obligated to pay Rezolve for its services. Provide us with any amendments to the agreements that defined the rights and obligations of the parties.</w:t>
      </w:r>
    </w:p>
    <w:p>
      <w:pPr>
        <w:spacing w:after="0" w:line="44"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w:t>
      </w:r>
    </w:p>
    <w:p>
      <w:pPr>
        <w:spacing w:after="0" w:line="134" w:lineRule="exact"/>
        <w:rPr>
          <w:rFonts w:ascii="Times New Roman" w:cs="Times New Roman" w:eastAsia="Times New Roman" w:hAnsi="Times New Roman"/>
          <w:sz w:val="17"/>
          <w:szCs w:val="17"/>
          <w:color w:val="auto"/>
        </w:rPr>
      </w:pPr>
    </w:p>
    <w:p>
      <w:pPr>
        <w:ind w:left="964" w:hanging="424"/>
        <w:spacing w:after="0"/>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does not have a service agreement with Rezolve,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the rights to ANY’s income,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an obligation to fund ANY.</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Registrant is supplementally providing Peter Vesco’s Power of Attorney under separate cover.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Registrant wishes to also clarify that:</w:t>
      </w:r>
    </w:p>
    <w:p>
      <w:pPr>
        <w:spacing w:after="0" w:line="131" w:lineRule="exact"/>
        <w:rPr>
          <w:sz w:val="20"/>
          <w:szCs w:val="20"/>
          <w:color w:val="auto"/>
        </w:rPr>
      </w:pPr>
    </w:p>
    <w:p>
      <w:pPr>
        <w:ind w:left="964" w:hanging="424"/>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Vesco was also appointed Chairman of ANY as of August 28th, 2021.</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2021, Heiko Carstens commenced his role as Managing Director of ANY, replacing Stephan Schwenk who served as the interim Managing Director of ANY.</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Carstens reports to Mr. Vesco.</w:t>
      </w:r>
    </w:p>
    <w:p>
      <w:pPr>
        <w:sectPr>
          <w:pgSz w:w="11900" w:h="16838" w:orient="portrait"/>
          <w:cols w:equalWidth="0" w:num="1">
            <w:col w:w="10924"/>
          </w:cols>
          <w:pgMar w:left="436" w:top="270" w:right="53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11</w:t>
      </w:r>
    </w:p>
    <w:p>
      <w:pPr>
        <w:spacing w:after="0" w:line="13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Registrant is supplementally providing Mr. Carstens employment contract under separate cover.</w:t>
      </w:r>
    </w:p>
    <w:p>
      <w:pPr>
        <w:spacing w:after="0" w:line="248" w:lineRule="exact"/>
        <w:rPr>
          <w:sz w:val="20"/>
          <w:szCs w:val="20"/>
          <w:color w:val="auto"/>
        </w:rPr>
      </w:pPr>
    </w:p>
    <w:p>
      <w:pPr>
        <w:ind w:left="424" w:right="200" w:hanging="424"/>
        <w:spacing w:after="0" w:line="268"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explain to us the reason for the acquisition of the equity interests of ANY in February 2022, the subsequent loss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interests in December 2022, and potential re-acquisition of the equity interests in 2023, in light of your reported controlling financial interest since August 2021.</w:t>
      </w:r>
    </w:p>
    <w:p>
      <w:pPr>
        <w:spacing w:after="0" w:line="62" w:lineRule="exact"/>
        <w:rPr>
          <w:rFonts w:ascii="Times New Roman" w:cs="Times New Roman" w:eastAsia="Times New Roman" w:hAnsi="Times New Roman"/>
          <w:sz w:val="18"/>
          <w:szCs w:val="18"/>
          <w:color w:val="auto"/>
        </w:rPr>
      </w:pPr>
    </w:p>
    <w:p>
      <w:pPr>
        <w:ind w:left="444"/>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 xml:space="preserve">Response: </w:t>
      </w:r>
      <w:r>
        <w:rPr>
          <w:rFonts w:ascii="Times New Roman" w:cs="Times New Roman" w:eastAsia="Times New Roman" w:hAnsi="Times New Roman"/>
          <w:sz w:val="17"/>
          <w:szCs w:val="17"/>
          <w:color w:val="auto"/>
        </w:rPr>
        <w:t>The Registrant respectfully acknowledges the Staff’s comment and respectfully advises the Staff that ANY was a newly created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(incorporated August 13, 2021). The purpose of its creation was to provide Rezolve with an established sales organization who have decades of experience in selling radio advertising slots to major German advertisers and brands. The sales organization was previously part of the Radio Group GmbH (“the Radio Group”) and two subsidiaries. By leveraging the relationships that the sales organization had with their customers, Rezolve was given a clear path to upsell its technology to those very same advertisers rather needing to create a new sales organization which takes time and is often fraught with recruitment and training challenges and costs. In addition, with the sale of radio advertising slots, Rezolve could incentivize advertisers to run Rezolve enabled radio advertising slots, using Rezolve audio watermarks and other triggers.</w:t>
      </w:r>
    </w:p>
    <w:p>
      <w:pPr>
        <w:spacing w:after="0" w:line="67" w:lineRule="exact"/>
        <w:rPr>
          <w:rFonts w:ascii="Times New Roman" w:cs="Times New Roman" w:eastAsia="Times New Roman" w:hAnsi="Times New Roman"/>
          <w:sz w:val="18"/>
          <w:szCs w:val="18"/>
          <w:color w:val="auto"/>
        </w:rPr>
      </w:pPr>
    </w:p>
    <w:p>
      <w:pPr>
        <w:ind w:left="444"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Radio Group intended to carve-out its sales organization for the benefit of receiving shares in Rezolve, for which the benefit would be realized by the Radio Group shareholders upon a future listing of Rezolve.</w:t>
      </w:r>
    </w:p>
    <w:p>
      <w:pPr>
        <w:spacing w:after="0" w:line="5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 shareholders of ANY from incorporation to February 11, 2022 were three legal entities of the Radio Group.</w:t>
      </w:r>
    </w:p>
    <w:p>
      <w:pPr>
        <w:spacing w:after="0" w:line="117" w:lineRule="exact"/>
        <w:rPr>
          <w:rFonts w:ascii="Times New Roman" w:cs="Times New Roman" w:eastAsia="Times New Roman" w:hAnsi="Times New Roman"/>
          <w:sz w:val="18"/>
          <w:szCs w:val="18"/>
          <w:color w:val="auto"/>
        </w:rPr>
      </w:pPr>
    </w:p>
    <w:p>
      <w:pPr>
        <w:ind w:left="444"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2021, the Company signed a binding term sheet (“the binding term sheet”) to acquire a controlling interest in ANY, in an all-stock deal.</w:t>
      </w:r>
    </w:p>
    <w:p>
      <w:pPr>
        <w:spacing w:after="0" w:line="53" w:lineRule="exact"/>
        <w:rPr>
          <w:rFonts w:ascii="Times New Roman" w:cs="Times New Roman" w:eastAsia="Times New Roman" w:hAnsi="Times New Roman"/>
          <w:sz w:val="18"/>
          <w:szCs w:val="18"/>
          <w:color w:val="auto"/>
        </w:rPr>
      </w:pPr>
    </w:p>
    <w:p>
      <w:pPr>
        <w:ind w:left="444"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consideration of ANY was settled by issuing an aggregate of 14,427,185 ordinary shares of Rezolve on February 11, 2022 at which point the legal ownership of the shares in ANY was obtained by Rezolve.</w:t>
      </w:r>
    </w:p>
    <w:p>
      <w:pPr>
        <w:spacing w:after="0" w:line="26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February 2022 – Acquisition of ANY interests</w:t>
      </w:r>
    </w:p>
    <w:p>
      <w:pPr>
        <w:spacing w:after="0" w:line="121"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the equity interests in February 2022 was due to an administrative lag despite the binding term sheet being signed and executed in August 2021.</w:t>
      </w:r>
    </w:p>
    <w:p>
      <w:pPr>
        <w:spacing w:after="0" w:line="26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December 2022 - Subsequent loss of equity interests</w:t>
      </w:r>
    </w:p>
    <w:p>
      <w:pPr>
        <w:spacing w:after="0" w:line="121" w:lineRule="exact"/>
        <w:rPr>
          <w:rFonts w:ascii="Times New Roman" w:cs="Times New Roman" w:eastAsia="Times New Roman" w:hAnsi="Times New Roman"/>
          <w:sz w:val="18"/>
          <w:szCs w:val="18"/>
          <w:color w:val="auto"/>
        </w:rPr>
      </w:pPr>
    </w:p>
    <w:p>
      <w:pPr>
        <w:ind w:left="44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binding term sheet contained clauses under which the purchase consideration could be adjusted depending on the valuation of the Company after completion of an Initial Public Offering or Business Combination. If the Company had not yet listed by June 30, 2022, the ownership of ANY would have reverted automatically to the sellers. In June 2022, the Company and the Sellers agreed to extend this deadline to December 2022. The listing had not yet happened by December 2022, and in accordance with the binding term sheet the ownership automatically triggered back to the sellers under local law as no further extensions has been executed by that point. Prior to this, the Company and the sellers began negotiating the amended purchase consideration. In December 2022 the purchase consideration of 14,427,185 ordinary shares was reclassified as deferred shares in accordance with the original binding term sheet.</w:t>
      </w:r>
    </w:p>
    <w:p>
      <w:pPr>
        <w:spacing w:after="0" w:line="29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Intended re-acquisition in 2023</w:t>
      </w:r>
    </w:p>
    <w:p>
      <w:pPr>
        <w:spacing w:after="0" w:line="121" w:lineRule="exact"/>
        <w:rPr>
          <w:rFonts w:ascii="Times New Roman" w:cs="Times New Roman" w:eastAsia="Times New Roman" w:hAnsi="Times New Roman"/>
          <w:sz w:val="18"/>
          <w:szCs w:val="18"/>
          <w:color w:val="auto"/>
        </w:rPr>
      </w:pPr>
    </w:p>
    <w:p>
      <w:pPr>
        <w:ind w:left="444"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re-acquire the equity interests of ANY at the earlier of 1) Close of a Business Combination with Armada Acquisition Corp I and Initial Public Offering or 2) Having sufficient funds to pay for the amended purchase consideration.</w:t>
      </w:r>
    </w:p>
    <w:p>
      <w:pPr>
        <w:spacing w:after="0" w:line="53"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control of ANY under the Variable Interest Entity model is not impacted by any of these changes.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0"/>
          <w:szCs w:val="20"/>
          <w:color w:val="auto"/>
        </w:rPr>
      </w:pPr>
    </w:p>
    <w:p>
      <w:pPr>
        <w:ind w:left="424" w:right="100" w:hanging="424"/>
        <w:spacing w:after="0" w:line="28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update your filing to include the financial statements of Armand Acquisition Corp. I for the nine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w:t>
      </w:r>
    </w:p>
    <w:p>
      <w:pPr>
        <w:spacing w:after="0" w:line="46" w:lineRule="exact"/>
        <w:rPr>
          <w:rFonts w:ascii="Times New Roman" w:cs="Times New Roman" w:eastAsia="Times New Roman" w:hAnsi="Times New Roman"/>
          <w:sz w:val="18"/>
          <w:szCs w:val="18"/>
          <w:color w:val="auto"/>
        </w:rPr>
      </w:pPr>
    </w:p>
    <w:p>
      <w:pPr>
        <w:ind w:left="444" w:right="4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included the financial statements for Armada for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2023 on pages F-95-99 of the Amendment.</w:t>
      </w:r>
    </w:p>
    <w:p>
      <w:pPr>
        <w:spacing w:after="0" w:line="158" w:lineRule="exact"/>
        <w:rPr>
          <w:rFonts w:ascii="Times New Roman" w:cs="Times New Roman" w:eastAsia="Times New Roman" w:hAnsi="Times New Roman"/>
          <w:sz w:val="18"/>
          <w:szCs w:val="18"/>
          <w:color w:val="auto"/>
        </w:rPr>
      </w:pPr>
    </w:p>
    <w:p>
      <w:pPr>
        <w:ind w:left="5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0964"/>
          </w:cols>
          <w:pgMar w:left="436" w:top="270" w:right="49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22,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We hope that the foregoing has been responsive to the Staff’s comments. If you have any questions related to this letter, please contact Gerry Williams at</w:t>
      </w:r>
    </w:p>
    <w:p>
      <w:pPr>
        <w:spacing w:after="0" w:line="39" w:lineRule="exact"/>
        <w:rPr>
          <w:sz w:val="20"/>
          <w:szCs w:val="20"/>
          <w:color w:val="auto"/>
        </w:rPr>
      </w:pPr>
    </w:p>
    <w:p>
      <w:pPr>
        <w:ind w:left="6624" w:right="1300" w:hanging="6624"/>
        <w:spacing w:after="0" w:line="503" w:lineRule="auto"/>
        <w:tabs>
          <w:tab w:leader="none" w:pos="4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736-7891 or Penny Minna at (410) 580-4228 should you have any questions concerning this letter or require further information. Sincerely,</w:t>
      </w:r>
    </w:p>
    <w:p>
      <w:pPr>
        <w:spacing w:after="0" w:line="1" w:lineRule="exact"/>
        <w:rPr>
          <w:rFonts w:ascii="Times New Roman" w:cs="Times New Roman" w:eastAsia="Times New Roman" w:hAnsi="Times New Roman"/>
          <w:sz w:val="18"/>
          <w:szCs w:val="18"/>
          <w:color w:val="auto"/>
        </w:rPr>
      </w:pPr>
    </w:p>
    <w:p>
      <w:pPr>
        <w:ind w:left="6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26" w:lineRule="exact"/>
        <w:rPr>
          <w:sz w:val="20"/>
          <w:szCs w:val="20"/>
          <w:color w:val="auto"/>
        </w:rPr>
      </w:pPr>
    </w:p>
    <w:p>
      <w:pPr>
        <w:ind w:left="444" w:right="9040" w:hanging="444"/>
        <w:spacing w:after="0" w:line="312" w:lineRule="auto"/>
        <w:tabs>
          <w:tab w:leader="none" w:pos="4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p>
      <w:pPr>
        <w:spacing w:after="0" w:line="139"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Michael C. Labriola</w:t>
      </w:r>
    </w:p>
    <w:p>
      <w:pPr>
        <w:spacing w:after="0" w:line="27"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Wilson Sonsini Goodrich &amp; Rosati P.C.</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decimal"/>
      <w:start w:val="4"/>
    </w:lvl>
  </w:abstractNum>
  <w:abstractNum w:abstractNumId="4">
    <w:nsid w:val="6B68079A"/>
    <w:multiLevelType w:val="hybridMultilevel"/>
    <w:lvl w:ilvl="0">
      <w:lvlJc w:val="left"/>
      <w:lvlText w:val="%1."/>
      <w:numFmt w:val="decimal"/>
      <w:start w:val="7"/>
    </w:lvl>
  </w:abstractNum>
  <w:abstractNum w:abstractNumId="5">
    <w:nsid w:val="4E6AFB66"/>
    <w:multiLevelType w:val="hybridMultilevel"/>
    <w:lvl w:ilvl="0">
      <w:lvlJc w:val="left"/>
      <w:lvlText w:val="%1."/>
      <w:numFmt w:val="decimal"/>
      <w:start w:val="8"/>
    </w:lvl>
  </w:abstractNum>
  <w:abstractNum w:abstractNumId="6">
    <w:nsid w:val="25E45D32"/>
    <w:multiLevelType w:val="hybridMultilevel"/>
    <w:lvl w:ilvl="0">
      <w:lvlJc w:val="left"/>
      <w:lvlText w:val="%1."/>
      <w:numFmt w:val="decimal"/>
      <w:start w:val="9"/>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10"/>
    </w:lvl>
    <w:lvl w:ilvl="1">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lvl w:ilvl="1">
      <w:lvlJc w:val="left"/>
      <w:lvlText w:val="•"/>
      <w:numFmt w:val="bullet"/>
      <w:start w:val="1"/>
    </w:lvl>
  </w:abstractNum>
  <w:abstractNum w:abstractNumId="11">
    <w:nsid w:val="257130A3"/>
    <w:multiLevelType w:val="hybridMultilevel"/>
    <w:lvl w:ilvl="0">
      <w:lvlJc w:val="left"/>
      <w:lvlText w:val="%1."/>
      <w:numFmt w:val="decimal"/>
      <w:start w:val="11"/>
    </w:lvl>
    <w:lvl w:ilvl="1">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3"/>
    </w:lvl>
  </w:abstractNum>
  <w:abstractNum w:abstractNumId="15">
    <w:nsid w:val="333AB105"/>
    <w:multiLevelType w:val="hybridMultilevel"/>
    <w:lvl w:ilvl="0">
      <w:lvlJc w:val="left"/>
      <w:lvlText w:val="%1."/>
      <w:numFmt w:val="decimal"/>
      <w:start w:val="15"/>
    </w:lvl>
  </w:abstractNum>
  <w:abstractNum w:abstractNumId="16">
    <w:nsid w:val="721DA317"/>
    <w:multiLevelType w:val="hybridMultilevel"/>
    <w:lvl w:ilvl="0">
      <w:lvlJc w:val="left"/>
      <w:lvlText w:val="%1."/>
      <w:numFmt w:val="decimal"/>
      <w:start w:val="16"/>
    </w:lvl>
  </w:abstractNum>
  <w:abstractNum w:abstractNumId="17">
    <w:nsid w:val="2443A858"/>
    <w:multiLevelType w:val="hybridMultilevel"/>
    <w:lvl w:ilvl="0">
      <w:lvlJc w:val="left"/>
      <w:lvlText w:val="%1."/>
      <w:numFmt w:val="decimal"/>
      <w:start w:val="17"/>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8"/>
    </w:lvl>
    <w:lvl w:ilvl="1">
      <w:lvlJc w:val="left"/>
      <w:lvlText w:val="•"/>
      <w:numFmt w:val="bullet"/>
      <w:start w:val="1"/>
    </w:lvl>
  </w:abstractNum>
  <w:abstractNum w:abstractNumId="20">
    <w:nsid w:val="75A2A8D4"/>
    <w:multiLevelType w:val="hybridMultilevel"/>
    <w:lvl w:ilvl="0">
      <w:lvlJc w:val="left"/>
      <w:lvlText w:val="%1."/>
      <w:numFmt w:val="decimal"/>
      <w:start w:val="19"/>
    </w:lvl>
    <w:lvl w:ilvl="1">
      <w:lvlJc w:val="left"/>
      <w:lvlText w:val="•"/>
      <w:numFmt w:val="bullet"/>
      <w:start w:val="1"/>
    </w:lvl>
  </w:abstractNum>
  <w:abstractNum w:abstractNumId="21">
    <w:nsid w:val="8EDBDAB"/>
    <w:multiLevelType w:val="hybridMultilevel"/>
    <w:lvl w:ilvl="0">
      <w:lvlJc w:val="left"/>
      <w:lvlText w:val="%1."/>
      <w:numFmt w:val="decimal"/>
      <w:start w:val="21"/>
    </w:lvl>
    <w:lvl w:ilvl="1">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22"/>
    </w:lvl>
  </w:abstractNum>
  <w:abstractNum w:abstractNumId="24">
    <w:nsid w:val="B03E0C6"/>
    <w:multiLevelType w:val="hybridMultilevel"/>
    <w:lvl w:ilvl="0">
      <w:lvlJc w:val="left"/>
      <w:lvlText w:val="%1."/>
      <w:numFmt w:val="decimal"/>
      <w:start w:val="23"/>
    </w:lvl>
    <w:lvl w:ilvl="1">
      <w:lvlJc w:val="left"/>
      <w:lvlText w:val="*"/>
      <w:numFmt w:val="bullet"/>
      <w:start w:val="1"/>
    </w:lvl>
  </w:abstractNum>
  <w:abstractNum w:abstractNumId="25">
    <w:nsid w:val="189A769B"/>
    <w:multiLevelType w:val="hybridMultilevel"/>
    <w:lvl w:ilvl="0">
      <w:lvlJc w:val="left"/>
      <w:lvlText w:val="(%1)"/>
      <w:numFmt w:val="decimal"/>
      <w:start w:val="404"/>
    </w:lvl>
  </w:abstractNum>
  <w:abstractNum w:abstractNumId="26">
    <w:nsid w:val="54E49EB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2024-08-07T23:08:35Z</dcterms:created>
  <dcterms:modified xsi:type="dcterms:W3CDTF">2024-08-07T23:08:35Z</dcterms:modified>
</cp:coreProperties>
</file>