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Rezolve AI Limited</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3rd Floor, 80 New Bond Street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London, W1S 1SB</w:t>
      </w:r>
    </w:p>
    <w:p>
      <w:pPr>
        <w:spacing w:after="0"/>
        <w:rPr>
          <w:sz w:val="20"/>
          <w:szCs w:val="20"/>
          <w:color w:val="auto"/>
        </w:rPr>
      </w:pPr>
      <w:r>
        <w:rPr>
          <w:rFonts w:ascii="Times New Roman" w:cs="Times New Roman" w:eastAsia="Times New Roman" w:hAnsi="Times New Roman"/>
          <w:sz w:val="20"/>
          <w:szCs w:val="20"/>
          <w:color w:val="auto"/>
        </w:rPr>
        <w:t>United Kingdom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October 28, 2024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rPr>
          <w:sz w:val="20"/>
          <w:szCs w:val="20"/>
          <w:color w:val="auto"/>
        </w:rPr>
      </w:pPr>
      <w:r>
        <w:rPr>
          <w:rFonts w:ascii="Times New Roman" w:cs="Times New Roman" w:eastAsia="Times New Roman" w:hAnsi="Times New Roman"/>
          <w:sz w:val="20"/>
          <w:szCs w:val="20"/>
          <w:color w:val="auto"/>
        </w:rPr>
        <w:t>Office of Technology</w:t>
      </w: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20549-3628</w:t>
      </w:r>
    </w:p>
    <w:p>
      <w:pPr>
        <w:spacing w:after="0" w:line="207" w:lineRule="exact"/>
        <w:rPr>
          <w:sz w:val="24"/>
          <w:szCs w:val="24"/>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Jeff Kauten</w:t>
      </w:r>
    </w:p>
    <w:p>
      <w:pPr>
        <w:spacing w:after="0" w:line="22" w:lineRule="exact"/>
        <w:rPr>
          <w:sz w:val="24"/>
          <w:szCs w:val="24"/>
          <w:color w:val="auto"/>
        </w:rPr>
      </w:pPr>
    </w:p>
    <w:p>
      <w:pPr>
        <w:jc w:val="center"/>
        <w:ind w:right="9140"/>
        <w:spacing w:after="0"/>
        <w:rPr>
          <w:sz w:val="20"/>
          <w:szCs w:val="20"/>
          <w:color w:val="auto"/>
        </w:rPr>
      </w:pPr>
      <w:r>
        <w:rPr>
          <w:rFonts w:ascii="Times New Roman" w:cs="Times New Roman" w:eastAsia="Times New Roman" w:hAnsi="Times New Roman"/>
          <w:sz w:val="20"/>
          <w:szCs w:val="20"/>
          <w:color w:val="auto"/>
        </w:rPr>
        <w:t>Matthew Derby</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Rezolve AI Limited</w:t>
      </w:r>
    </w:p>
    <w:p>
      <w:pPr>
        <w:spacing w:after="0" w:line="2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Registration Statement on Form F-1</w:t>
      </w:r>
    </w:p>
    <w:p>
      <w:pPr>
        <w:ind w:left="760"/>
        <w:spacing w:after="0"/>
        <w:rPr>
          <w:sz w:val="20"/>
          <w:szCs w:val="20"/>
          <w:color w:val="auto"/>
        </w:rPr>
      </w:pPr>
      <w:r>
        <w:rPr>
          <w:rFonts w:ascii="Times New Roman" w:cs="Times New Roman" w:eastAsia="Times New Roman" w:hAnsi="Times New Roman"/>
          <w:sz w:val="20"/>
          <w:szCs w:val="20"/>
          <w:b w:val="1"/>
          <w:bCs w:val="1"/>
          <w:color w:val="auto"/>
        </w:rPr>
        <w:t>Filed September 9, 2024</w:t>
      </w:r>
    </w:p>
    <w:p>
      <w:pPr>
        <w:ind w:left="760"/>
        <w:spacing w:after="0"/>
        <w:rPr>
          <w:sz w:val="20"/>
          <w:szCs w:val="20"/>
          <w:color w:val="auto"/>
        </w:rPr>
      </w:pPr>
      <w:r>
        <w:rPr>
          <w:rFonts w:ascii="Times New Roman" w:cs="Times New Roman" w:eastAsia="Times New Roman" w:hAnsi="Times New Roman"/>
          <w:sz w:val="20"/>
          <w:szCs w:val="20"/>
          <w:b w:val="1"/>
          <w:bCs w:val="1"/>
          <w:color w:val="auto"/>
        </w:rPr>
        <w:t>File No. 333-282004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9"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This letter is submitted in response to the comments of the staff of the Division of Corporation Finance (the “</w:t>
      </w:r>
      <w:r>
        <w:rPr>
          <w:rFonts w:ascii="Times New Roman" w:cs="Times New Roman" w:eastAsia="Times New Roman" w:hAnsi="Times New Roman"/>
          <w:sz w:val="20"/>
          <w:szCs w:val="20"/>
          <w:u w:val="single" w:color="auto"/>
          <w:color w:val="auto"/>
        </w:rPr>
        <w:t>Staff</w:t>
      </w:r>
      <w:r>
        <w:rPr>
          <w:rFonts w:ascii="Times New Roman" w:cs="Times New Roman" w:eastAsia="Times New Roman" w:hAnsi="Times New Roman"/>
          <w:sz w:val="20"/>
          <w:szCs w:val="20"/>
          <w:color w:val="auto"/>
        </w:rPr>
        <w:t>”) as set forth in the Staff’s comment letter dated September 20, 2024 (the “</w:t>
      </w:r>
      <w:r>
        <w:rPr>
          <w:rFonts w:ascii="Times New Roman" w:cs="Times New Roman" w:eastAsia="Times New Roman" w:hAnsi="Times New Roman"/>
          <w:sz w:val="20"/>
          <w:szCs w:val="20"/>
          <w:u w:val="single" w:color="auto"/>
          <w:color w:val="auto"/>
        </w:rPr>
        <w:t>Comment Letter</w:t>
      </w:r>
      <w:r>
        <w:rPr>
          <w:rFonts w:ascii="Times New Roman" w:cs="Times New Roman" w:eastAsia="Times New Roman" w:hAnsi="Times New Roman"/>
          <w:sz w:val="20"/>
          <w:szCs w:val="20"/>
          <w:color w:val="auto"/>
        </w:rPr>
        <w:t>”), in respect of Rezolve AI Limited’s (the “</w:t>
      </w:r>
      <w:r>
        <w:rPr>
          <w:rFonts w:ascii="Times New Roman" w:cs="Times New Roman" w:eastAsia="Times New Roman" w:hAnsi="Times New Roman"/>
          <w:sz w:val="20"/>
          <w:szCs w:val="20"/>
          <w:u w:val="single" w:color="auto"/>
          <w:color w:val="auto"/>
        </w:rPr>
        <w:t>Registrant</w:t>
      </w:r>
      <w:r>
        <w:rPr>
          <w:rFonts w:ascii="Times New Roman" w:cs="Times New Roman" w:eastAsia="Times New Roman" w:hAnsi="Times New Roman"/>
          <w:sz w:val="20"/>
          <w:szCs w:val="20"/>
          <w:color w:val="auto"/>
        </w:rPr>
        <w:t>”) Registration Statement on Form F-1, filed with the Commission on September 9, 2024 (the “Registration Statement”).</w:t>
      </w:r>
    </w:p>
    <w:p>
      <w:pPr>
        <w:spacing w:after="0" w:line="188" w:lineRule="exact"/>
        <w:rPr>
          <w:sz w:val="24"/>
          <w:szCs w:val="24"/>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In order to facilitate your review, we have restated the Staff’s comments in this letter, and we have set forth the Registrant’s responses immediately below the Staff’s comments.</w:t>
      </w:r>
    </w:p>
    <w:p>
      <w:pPr>
        <w:spacing w:after="0" w:line="173" w:lineRule="exact"/>
        <w:rPr>
          <w:sz w:val="24"/>
          <w:szCs w:val="24"/>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In addition, the Registrant has revised the Registration Statement in response to the Staff’s comments and is filing an amendment to the Registration Statement (the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concurrently with this letter, which reflects the revisions and clarifies certain other information. The page numbers in the text of the Registrant’s responses correspond to the page numbers in the Amendment. Unless otherwise indicated, capitalized terms used herein have the meanings assigned to them in the Amendment.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Registration Statement on Form F-1</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Selling Holders, page 88</w:t>
      </w:r>
    </w:p>
    <w:p>
      <w:pPr>
        <w:spacing w:after="0" w:line="225" w:lineRule="exact"/>
        <w:rPr>
          <w:sz w:val="24"/>
          <w:szCs w:val="24"/>
          <w:color w:val="auto"/>
        </w:rPr>
      </w:pPr>
    </w:p>
    <w:p>
      <w:pPr>
        <w:ind w:left="380" w:right="60" w:hanging="372"/>
        <w:spacing w:after="0" w:line="247" w:lineRule="auto"/>
        <w:tabs>
          <w:tab w:leader="none" w:pos="3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Staff’s comment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Please revise your disclosure to indicate whether the selling stockholders are broker-dealers or affiliates of broker-dealers. If any are registered broker-dealers who acquired their shares as investments, rather than as transaction-based compensation for the performance of investment banking or similar services, they should be named as underwriters. With respect to any affiliates of registered broker-dealers, you should indicate whether they acquired the securities to be resold in the ordinary course of business. Also indicate whether at the time of the acquisition they had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28, 2024</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any agreements, understandings or arrangements with any other persons, either directly or indirectly, to dispose of the securities.</w:t>
      </w:r>
    </w:p>
    <w:p>
      <w:pPr>
        <w:spacing w:after="0" w:line="225" w:lineRule="exact"/>
        <w:rPr>
          <w:sz w:val="20"/>
          <w:szCs w:val="20"/>
          <w:color w:val="auto"/>
        </w:rPr>
      </w:pPr>
    </w:p>
    <w:p>
      <w:pPr>
        <w:ind w:left="380" w:right="6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Response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Registrant respectfully acknowledges the Staff’s comment and has revised the disclosure on pages 103-116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Amendment.</w:t>
      </w:r>
    </w:p>
    <w:p>
      <w:pPr>
        <w:spacing w:after="0" w:line="165" w:lineRule="exact"/>
        <w:rPr>
          <w:sz w:val="20"/>
          <w:szCs w:val="20"/>
          <w:color w:val="auto"/>
        </w:rPr>
      </w:pPr>
    </w:p>
    <w:p>
      <w:pPr>
        <w:ind w:left="380" w:right="240" w:hanging="372"/>
        <w:spacing w:after="0" w:line="273" w:lineRule="auto"/>
        <w:tabs>
          <w:tab w:leader="none" w:pos="3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Staff’s comment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Please provide disclosure of any material relationship each selling security holder has had with the company and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affiliates during the prior three years. Refer to Item 507 of Regulation S-K.</w:t>
      </w:r>
    </w:p>
    <w:p>
      <w:pPr>
        <w:spacing w:after="0" w:line="394" w:lineRule="exact"/>
        <w:rPr>
          <w:rFonts w:ascii="Times New Roman" w:cs="Times New Roman" w:eastAsia="Times New Roman" w:hAnsi="Times New Roman"/>
          <w:sz w:val="20"/>
          <w:szCs w:val="20"/>
          <w:color w:val="auto"/>
        </w:rPr>
      </w:pPr>
    </w:p>
    <w:p>
      <w:pPr>
        <w:ind w:left="380" w:right="62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Response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Registrant respectfully acknowledges the Staff’s comment and has revised the disclosure on pages 103-116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Amendment.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Plan of Distribution, page 117</w:t>
      </w:r>
    </w:p>
    <w:p>
      <w:pPr>
        <w:spacing w:after="0" w:line="225" w:lineRule="exact"/>
        <w:rPr>
          <w:sz w:val="20"/>
          <w:szCs w:val="20"/>
          <w:color w:val="auto"/>
        </w:rPr>
      </w:pPr>
    </w:p>
    <w:p>
      <w:pPr>
        <w:ind w:left="380" w:hanging="372"/>
        <w:spacing w:after="0" w:line="250" w:lineRule="auto"/>
        <w:tabs>
          <w:tab w:leader="none" w:pos="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Staff’s comment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note your disclosure on page 117 that your selling securityholders may sell their securities in one or more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underwritten offerings. Please confirm your understanding that the retention by a selling stockholder of an underwriter would constitute a material change to your plan of distribution requiring a post-effective amendment. Refer to your undertaking provided pursuant to Item 512(a)(1)(iii) of Regulation S-K.</w:t>
      </w:r>
    </w:p>
    <w:p>
      <w:pPr>
        <w:spacing w:after="0" w:line="200" w:lineRule="exact"/>
        <w:rPr>
          <w:rFonts w:ascii="Times New Roman" w:cs="Times New Roman" w:eastAsia="Times New Roman" w:hAnsi="Times New Roman"/>
          <w:sz w:val="20"/>
          <w:szCs w:val="20"/>
          <w:color w:val="auto"/>
        </w:rPr>
      </w:pPr>
    </w:p>
    <w:p>
      <w:pPr>
        <w:spacing w:after="0" w:line="218" w:lineRule="exact"/>
        <w:rPr>
          <w:rFonts w:ascii="Times New Roman" w:cs="Times New Roman" w:eastAsia="Times New Roman" w:hAnsi="Times New Roman"/>
          <w:sz w:val="20"/>
          <w:szCs w:val="20"/>
          <w:color w:val="auto"/>
        </w:rPr>
      </w:pPr>
    </w:p>
    <w:p>
      <w:pPr>
        <w:ind w:left="380" w:right="24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Response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Registrant respectfully acknowledges the Staff’s comment and confirms that the Registrant understands such a change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would require a post-effective amendment.</w:t>
      </w:r>
    </w:p>
    <w:p>
      <w:pPr>
        <w:spacing w:after="0" w:line="398" w:lineRule="exact"/>
        <w:rPr>
          <w:rFonts w:ascii="Times New Roman" w:cs="Times New Roman" w:eastAsia="Times New Roman" w:hAnsi="Times New Roman"/>
          <w:sz w:val="20"/>
          <w:szCs w:val="20"/>
          <w:color w:val="auto"/>
        </w:rPr>
      </w:pPr>
    </w:p>
    <w:p>
      <w:pPr>
        <w:ind w:left="54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28, 2024</w:t>
      </w: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Thank you for your attention to this matter. We hope that the foregoing responses address the issues raised in the Comment Letter and would be happy to discuss with you any remaining questions or concerns that you may have. Please contact Penny Minna at (410) 580-4228 should you have any questions concerning this letter or require further information.</w:t>
      </w:r>
    </w:p>
    <w:p>
      <w:pPr>
        <w:spacing w:after="0" w:line="18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/s/ Daniel Wagner</w:t>
      </w:r>
    </w:p>
    <w:p>
      <w:pPr>
        <w:spacing w:after="0" w:line="2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-140335</wp:posOffset>
            </wp:positionV>
            <wp:extent cx="3326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7" w:lineRule="exact"/>
        <w:rPr>
          <w:sz w:val="20"/>
          <w:szCs w:val="20"/>
          <w:color w:val="auto"/>
        </w:rPr>
      </w:pPr>
    </w:p>
    <w:p>
      <w:pPr>
        <w:ind w:left="400" w:right="9060" w:hanging="392"/>
        <w:spacing w:after="0" w:line="295" w:lineRule="auto"/>
        <w:tabs>
          <w:tab w:leader="none" w:pos="4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Penny Minna, Esq. </w:t>
      </w:r>
      <w:r>
        <w:rPr>
          <w:rFonts w:ascii="Times New Roman" w:cs="Times New Roman" w:eastAsia="Times New Roman" w:hAnsi="Times New Roman"/>
          <w:sz w:val="19"/>
          <w:szCs w:val="19"/>
          <w:i w:val="1"/>
          <w:i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40"/>
      </w:cols>
      <w:pgMar w:left="320" w:top="76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lvl w:ilvl="1">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2024-12-27T23:12:05Z</dcterms:created>
  <dcterms:modified xsi:type="dcterms:W3CDTF">2024-12-27T23:12:05Z</dcterms:modified>
</cp:coreProperties>
</file>