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Rezolve AI plc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7370</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(Primary Standard Industrial</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4360" w:space="720"/>
            <w:col w:w="3080" w:space="720"/>
            <w:col w:w="2320"/>
          </w:cols>
          <w:pgMar w:left="320" w:top="1440" w:right="379" w:bottom="144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Rezolve AI Limited Long Term Incentive Plan</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(Full titles of the plans)</w:t>
      </w:r>
    </w:p>
    <w:p>
      <w:pPr>
        <w:sectPr>
          <w:pgSz w:w="11900" w:h="16838" w:orient="portrait"/>
          <w:cols w:equalWidth="0" w:num="1">
            <w:col w:w="11200"/>
          </w:cols>
          <w:pgMar w:left="320" w:top="1440" w:right="379" w:bottom="1440" w:gutter="0" w:footer="0" w:header="0"/>
          <w:type w:val="continuous"/>
        </w:sectPr>
      </w:pPr>
    </w:p>
    <w:p>
      <w:pPr>
        <w:spacing w:after="0" w:line="20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Telephone: +44 204 625 9700</w:t>
      </w:r>
    </w:p>
    <w:p>
      <w:pPr>
        <w:spacing w:after="0" w:line="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Telephone: +1 (212) 947-7200</w:t>
      </w:r>
    </w:p>
    <w:p>
      <w:pPr>
        <w:spacing w:after="0" w:line="9"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22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“accelerated filer”, “smaller reporting company”, and “emerging growth company” in Rule 12b-2 of the Exchange Act.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is being filed by Rezolve AI plc (the “Company” and the “Registrant”) for the purpose of registering 16,775,137 additional ordinary shares of the Company, nominal value of £0.0001 per share, issuable under the Rezolve AI Limited Long Term Incentive Plan, as amended and restated. This Registration Statement relates to securities of the same class as those that were previously registered by the registrant on Registration Statement on Form S-8 filed with the Securities and Exchange Commission on January 7, 2025 (File No. 333-284174).</w:t>
      </w:r>
    </w:p>
    <w:p>
      <w:pPr>
        <w:spacing w:after="0" w:line="180"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Pursuant to General Instruction E to Form S-8 regarding registration of additional securities, the entire contents of the Prior Registration Statements are incorporated herein by reference, except to the extent supplemented, amended or superseded by the information set forth 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plans covered by this Registration Statement as specified by Rule 428(b)(1)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Commission, are incorporated by reference into this Registration Statement:</w:t>
      </w:r>
    </w:p>
    <w:p>
      <w:pPr>
        <w:spacing w:after="0" w:line="162" w:lineRule="exact"/>
        <w:rPr>
          <w:sz w:val="20"/>
          <w:szCs w:val="20"/>
          <w:color w:val="auto"/>
        </w:rPr>
      </w:pPr>
    </w:p>
    <w:p>
      <w:pPr>
        <w:ind w:left="580" w:hanging="451"/>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0">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April 24, 2025;</w:t>
      </w:r>
    </w:p>
    <w:p>
      <w:pPr>
        <w:spacing w:after="0" w:line="225" w:lineRule="exact"/>
        <w:rPr>
          <w:rFonts w:ascii="Times New Roman" w:cs="Times New Roman" w:eastAsia="Times New Roman" w:hAnsi="Times New Roman"/>
          <w:sz w:val="18"/>
          <w:szCs w:val="18"/>
          <w:color w:val="auto"/>
        </w:rPr>
      </w:pPr>
    </w:p>
    <w:p>
      <w:pPr>
        <w:ind w:left="580" w:right="40" w:hanging="451"/>
        <w:spacing w:after="0" w:line="282" w:lineRule="auto"/>
        <w:tabs>
          <w:tab w:leader="none" w:pos="580" w:val="left"/>
        </w:tabs>
        <w:numPr>
          <w:ilvl w:val="0"/>
          <w:numId w:val="1"/>
        </w:numPr>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auto"/>
          </w:rPr>
          <w:t xml:space="preserve">The Registrant’s Report of Foreign Private Issuer on Form 6-K filed with the SEC on </w:t>
        </w:r>
        <w:r>
          <w:rPr>
            <w:rFonts w:ascii="Times New Roman" w:cs="Times New Roman" w:eastAsia="Times New Roman" w:hAnsi="Times New Roman"/>
            <w:sz w:val="18"/>
            <w:szCs w:val="18"/>
            <w:u w:val="single" w:color="auto"/>
            <w:color w:val="0000FF"/>
          </w:rPr>
          <w:t>October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10, 2025</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22, 2025</w:t>
        </w:r>
        <w:r>
          <w:rPr>
            <w:rFonts w:ascii="Times New Roman" w:cs="Times New Roman" w:eastAsia="Times New Roman" w:hAnsi="Times New Roman"/>
            <w:sz w:val="18"/>
            <w:szCs w:val="18"/>
            <w:color w:val="0000FF"/>
          </w:rPr>
          <w:t xml:space="preserve">, </w:t>
        </w:r>
      </w:hyperlink>
      <w:hyperlink r:id="rId12">
        <w:r>
          <w:rPr>
            <w:rFonts w:ascii="Times New Roman" w:cs="Times New Roman" w:eastAsia="Times New Roman" w:hAnsi="Times New Roman"/>
            <w:sz w:val="18"/>
            <w:szCs w:val="18"/>
            <w:u w:val="single" w:color="auto"/>
            <w:color w:val="0000FF"/>
          </w:rPr>
          <w:t>December 1, 2025</w:t>
        </w:r>
      </w:hyperlink>
      <w:hyperlink r:id="rId11">
        <w:r>
          <w:rPr>
            <w:rFonts w:ascii="Times New Roman" w:cs="Times New Roman" w:eastAsia="Times New Roman" w:hAnsi="Times New Roman"/>
            <w:sz w:val="18"/>
            <w:szCs w:val="18"/>
            <w:color w:val="0000FF"/>
          </w:rPr>
          <w:t xml:space="preserve">, </w:t>
        </w:r>
      </w:hyperlink>
      <w:hyperlink r:id="rId13">
        <w:r>
          <w:rPr>
            <w:rFonts w:ascii="Times New Roman" w:cs="Times New Roman" w:eastAsia="Times New Roman" w:hAnsi="Times New Roman"/>
            <w:sz w:val="18"/>
            <w:szCs w:val="18"/>
            <w:u w:val="single" w:color="auto"/>
            <w:color w:val="0000FF"/>
          </w:rPr>
          <w:t xml:space="preserve">December 5, 2025 </w:t>
        </w:r>
      </w:hyperlink>
      <w:hyperlink r:id="rId1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2">
        <w:r>
          <w:rPr>
            <w:rFonts w:ascii="Times New Roman" w:cs="Times New Roman" w:eastAsia="Times New Roman" w:hAnsi="Times New Roman"/>
            <w:sz w:val="18"/>
            <w:szCs w:val="18"/>
            <w:u w:val="single" w:color="auto"/>
            <w:color w:val="0000FF"/>
          </w:rPr>
          <w:t>December 15, 2025</w:t>
        </w:r>
      </w:hyperlink>
      <w:hyperlink r:id="rId11">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FF"/>
        </w:rPr>
      </w:pPr>
    </w:p>
    <w:p>
      <w:pPr>
        <w:ind w:left="580" w:hanging="451"/>
        <w:spacing w:after="0" w:line="282"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Ordinary Shares which is contained in a registration statement on </w:t>
      </w:r>
      <w:hyperlink r:id="rId14">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August 15, 2024 (File No. 001-42254) under the Exchange Act, including any amendments or reports filed for the purpose of updating such description.</w:t>
      </w:r>
    </w:p>
    <w:p>
      <w:pPr>
        <w:spacing w:after="0" w:line="162" w:lineRule="exact"/>
        <w:rPr>
          <w:rFonts w:ascii="Times New Roman" w:cs="Times New Roman" w:eastAsia="Times New Roman" w:hAnsi="Times New Roman"/>
          <w:sz w:val="18"/>
          <w:szCs w:val="18"/>
          <w:color w:val="0000FF"/>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Securities Exchange Act of 1934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180" w:lineRule="exact"/>
        <w:rPr>
          <w:rFonts w:ascii="Times New Roman" w:cs="Times New Roman" w:eastAsia="Times New Roman" w:hAnsi="Times New Roman"/>
          <w:sz w:val="18"/>
          <w:szCs w:val="18"/>
          <w:color w:val="0000FF"/>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1553210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8"/>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1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4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Memorandum and Articles of Association of the Registrant (incorporated by reference to Exhibit 1.1 of the</w:t>
              </w:r>
            </w:hyperlink>
          </w:p>
        </w:tc>
        <w:tc>
          <w:tcPr>
            <w:tcW w:w="660" w:type="dxa"/>
            <w:vAlign w:val="bottom"/>
          </w:tcPr>
          <w:p>
            <w:pPr>
              <w:spacing w:after="0"/>
              <w:rPr>
                <w:sz w:val="14"/>
                <w:szCs w:val="1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Registrant's Shell Company Report on Form 20-F, filed with the SEC on August 22, 2024).</w:t>
              </w:r>
            </w:hyperlink>
          </w:p>
        </w:tc>
        <w:tc>
          <w:tcPr>
            <w:tcW w:w="3560" w:type="dxa"/>
            <w:vAlign w:val="bottom"/>
            <w:gridSpan w:val="4"/>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Opinion of Taylor Wessing LLP.</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7"/>
                <w:szCs w:val="17"/>
                <w:color w:val="auto"/>
              </w:rPr>
            </w:pPr>
          </w:p>
        </w:tc>
        <w:tc>
          <w:tcPr>
            <w:tcW w:w="26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Grassi &amp; Co., CPAs, PC.</w:t>
            </w:r>
          </w:p>
        </w:tc>
        <w:tc>
          <w:tcPr>
            <w:tcW w:w="7500" w:type="dxa"/>
            <w:vAlign w:val="bottom"/>
            <w:gridSpan w:val="7"/>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MNP LLP.</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SingerLewak LLP</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ba audit gmbh Wirtschaftsprüfungsgesellschaft</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Taylor Wessing LLP (included in Exhibit 5.1).</w:t>
            </w:r>
          </w:p>
        </w:tc>
        <w:tc>
          <w:tcPr>
            <w:tcW w:w="20" w:type="dxa"/>
            <w:vAlign w:val="bottom"/>
            <w:tcBorders>
              <w:top w:val="single" w:sz="8" w:color="0000FF"/>
            </w:tcBorders>
          </w:tcPr>
          <w:p>
            <w:pPr>
              <w:spacing w:after="0"/>
              <w:rPr>
                <w:sz w:val="17"/>
                <w:szCs w:val="17"/>
                <w:color w:val="auto"/>
              </w:rPr>
            </w:pPr>
          </w:p>
        </w:tc>
        <w:tc>
          <w:tcPr>
            <w:tcW w:w="5920" w:type="dxa"/>
            <w:vAlign w:val="bottom"/>
            <w:gridSpan w:val="5"/>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(contained on the signature page of this registration statement on Form S-8).</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Rezolve AI plc Long Term Incentive Plan, effective as of August 15, 2024 and amended on December 12, 2025.</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16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Form of Deed of Grant</w:t>
            </w:r>
          </w:p>
        </w:tc>
        <w:tc>
          <w:tcPr>
            <w:tcW w:w="6440" w:type="dxa"/>
            <w:vAlign w:val="bottom"/>
            <w:tcBorders>
              <w:top w:val="single" w:sz="8" w:color="0000FF"/>
            </w:tcBorders>
            <w:gridSpan w:val="9"/>
          </w:tcPr>
          <w:p>
            <w:pPr>
              <w:spacing w:after="0"/>
              <w:rPr>
                <w:sz w:val="17"/>
                <w:szCs w:val="17"/>
                <w:color w:val="auto"/>
              </w:rPr>
            </w:pPr>
          </w:p>
        </w:tc>
        <w:tc>
          <w:tcPr>
            <w:tcW w:w="2040" w:type="dxa"/>
            <w:vAlign w:val="bottom"/>
            <w:gridSpan w:val="2"/>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Form of Award Certificate</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7"/>
                <w:szCs w:val="17"/>
                <w:color w:val="auto"/>
              </w:rPr>
            </w:pPr>
          </w:p>
        </w:tc>
        <w:tc>
          <w:tcPr>
            <w:tcW w:w="12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Filing Fee Table.</w:t>
            </w:r>
          </w:p>
        </w:tc>
        <w:tc>
          <w:tcPr>
            <w:tcW w:w="680" w:type="dxa"/>
            <w:vAlign w:val="bottom"/>
            <w:tcBorders>
              <w:top w:val="single" w:sz="8" w:color="0000FF"/>
            </w:tcBorders>
            <w:gridSpan w:val="3"/>
          </w:tcPr>
          <w:p>
            <w:pPr>
              <w:spacing w:after="0"/>
              <w:rPr>
                <w:sz w:val="17"/>
                <w:szCs w:val="17"/>
                <w:color w:val="auto"/>
              </w:rPr>
            </w:pPr>
          </w:p>
        </w:tc>
        <w:tc>
          <w:tcPr>
            <w:tcW w:w="8220" w:type="dxa"/>
            <w:vAlign w:val="bottom"/>
            <w:gridSpan w:val="10"/>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the 19th day of December,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tc>
        <w:tc>
          <w:tcPr>
            <w:tcW w:w="8600" w:type="dxa"/>
            <w:vAlign w:val="bottom"/>
          </w:tcPr>
          <w:p>
            <w:pPr>
              <w:spacing w:after="0"/>
              <w:rPr>
                <w:sz w:val="20"/>
                <w:szCs w:val="20"/>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191"/>
        </w:trPr>
        <w:tc>
          <w:tcPr>
            <w:tcW w:w="2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Daniel Wagner and Arthur Yao, and each of them, as his or her true and lawful attorney-in-fact and agent with the full power of substitution, for him or her in any and all capacities, to sign any and all amendments to this Registration Statement (and any additional registration statement related hereto permitted by Rule 462(b) promulgated under the Securities Act), including any and all pre-effective and post-effective amendments and to file such amendments thereto, with exhibits thereto and other documents in connection therewith, with the SEC,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each of said attorneys-in-fact and agents, or his or her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7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Daniel Wagner</w:t>
            </w:r>
          </w:p>
        </w:tc>
        <w:tc>
          <w:tcPr>
            <w:tcW w:w="1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Daniel Wagner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Arthur Yao</w:t>
            </w:r>
          </w:p>
        </w:tc>
        <w:tc>
          <w:tcPr>
            <w:tcW w:w="12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c>
          <w:tcPr>
            <w:tcW w:w="12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Arthur Yao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 Anthony Sharp</w:t>
            </w:r>
          </w:p>
        </w:tc>
        <w:tc>
          <w:tcPr>
            <w:tcW w:w="1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18"/>
                <w:szCs w:val="18"/>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Anthony Sharp</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Sir David Wright</w:t>
            </w:r>
          </w:p>
        </w:tc>
        <w:tc>
          <w:tcPr>
            <w:tcW w:w="120" w:type="dxa"/>
            <w:vAlign w:val="bottom"/>
          </w:tcPr>
          <w:p>
            <w:pPr>
              <w:spacing w:after="0"/>
              <w:rPr>
                <w:sz w:val="24"/>
                <w:szCs w:val="24"/>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Stephen Perry</w:t>
            </w:r>
          </w:p>
        </w:tc>
        <w:tc>
          <w:tcPr>
            <w:tcW w:w="120" w:type="dxa"/>
            <w:vAlign w:val="bottom"/>
          </w:tcPr>
          <w:p>
            <w:pPr>
              <w:spacing w:after="0"/>
              <w:rPr>
                <w:sz w:val="24"/>
                <w:szCs w:val="24"/>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 Perry</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 Derek Smith</w:t>
            </w:r>
          </w:p>
        </w:tc>
        <w:tc>
          <w:tcPr>
            <w:tcW w:w="120" w:type="dxa"/>
            <w:vAlign w:val="bottom"/>
          </w:tcPr>
          <w:p>
            <w:pPr>
              <w:spacing w:after="0"/>
              <w:rPr>
                <w:sz w:val="24"/>
                <w:szCs w:val="24"/>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December 19,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0"/>
        </w:trPr>
        <w:tc>
          <w:tcPr>
            <w:tcW w:w="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New York, on the 19th day of December, 2025.</w:t>
      </w:r>
    </w:p>
    <w:p>
      <w:pPr>
        <w:spacing w:after="0" w:line="200" w:lineRule="exact"/>
        <w:rPr>
          <w:sz w:val="20"/>
          <w:szCs w:val="20"/>
          <w:color w:val="auto"/>
        </w:rPr>
      </w:pPr>
    </w:p>
    <w:p>
      <w:pPr>
        <w:spacing w:after="0" w:line="22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5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DeVries</w:t>
            </w:r>
          </w:p>
        </w:tc>
      </w:tr>
      <w:tr>
        <w:trPr>
          <w:trHeight w:val="191"/>
        </w:trPr>
        <w:tc>
          <w:tcPr>
            <w:tcW w:w="7100" w:type="dxa"/>
            <w:vAlign w:val="bottom"/>
          </w:tcPr>
          <w:p>
            <w:pPr>
              <w:spacing w:after="0"/>
              <w:rPr>
                <w:sz w:val="16"/>
                <w:szCs w:val="16"/>
                <w:color w:val="auto"/>
              </w:rPr>
            </w:pP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DeVries</w:t>
            </w:r>
          </w:p>
        </w:tc>
      </w:tr>
      <w:tr>
        <w:trPr>
          <w:trHeight w:val="234"/>
        </w:trPr>
        <w:tc>
          <w:tcPr>
            <w:tcW w:w="71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tc>
      </w:tr>
      <w:tr>
        <w:trPr>
          <w:trHeight w:val="1641"/>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4888865</wp:posOffset>
            </wp:positionH>
            <wp:positionV relativeFrom="page">
              <wp:posOffset>706120</wp:posOffset>
            </wp:positionV>
            <wp:extent cx="155130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2400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9"/>
          <w:szCs w:val="19"/>
          <w:b w:val="1"/>
          <w:bCs w:val="1"/>
          <w:color w:val="auto"/>
        </w:rPr>
        <w:t>Exhibit 5.1</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19 December 2025</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Rezolve Ai plc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21 Sackville Street</w:t>
      </w:r>
    </w:p>
    <w:p>
      <w:pPr>
        <w:spacing w:after="0" w:line="237" w:lineRule="auto"/>
        <w:rPr>
          <w:sz w:val="20"/>
          <w:szCs w:val="20"/>
          <w:color w:val="auto"/>
        </w:rPr>
      </w:pPr>
      <w:r>
        <w:rPr>
          <w:rFonts w:ascii="Arial" w:cs="Arial" w:eastAsia="Arial" w:hAnsi="Arial"/>
          <w:sz w:val="19"/>
          <w:szCs w:val="19"/>
          <w:color w:val="auto"/>
        </w:rPr>
        <w:t>London</w:t>
      </w:r>
    </w:p>
    <w:p>
      <w:pPr>
        <w:spacing w:after="0" w:line="237" w:lineRule="auto"/>
        <w:rPr>
          <w:sz w:val="20"/>
          <w:szCs w:val="20"/>
          <w:color w:val="auto"/>
        </w:rPr>
      </w:pPr>
      <w:r>
        <w:rPr>
          <w:rFonts w:ascii="Arial" w:cs="Arial" w:eastAsia="Arial" w:hAnsi="Arial"/>
          <w:sz w:val="19"/>
          <w:szCs w:val="19"/>
          <w:color w:val="auto"/>
        </w:rPr>
        <w:t>England</w:t>
      </w:r>
    </w:p>
    <w:p>
      <w:pPr>
        <w:spacing w:after="0"/>
        <w:rPr>
          <w:sz w:val="20"/>
          <w:szCs w:val="20"/>
          <w:color w:val="auto"/>
        </w:rPr>
      </w:pPr>
      <w:r>
        <w:rPr>
          <w:rFonts w:ascii="Arial" w:cs="Arial" w:eastAsia="Arial" w:hAnsi="Arial"/>
          <w:sz w:val="19"/>
          <w:szCs w:val="19"/>
          <w:color w:val="auto"/>
        </w:rPr>
        <w:t>W1S 3DN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 Rezolve Ai plc – Registration Statement on Form S-8</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760" w:hanging="748"/>
        <w:spacing w:after="0" w:line="259" w:lineRule="auto"/>
        <w:tabs>
          <w:tab w:leader="none" w:pos="7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acted as English legal advisers to Rezolve Ai plc, a public limited company incorporated in England and Wales with company number 14573691 and with its registered office at 21 Sackville Street, London, England W1S 3DN (the “</w:t>
      </w:r>
      <w:r>
        <w:rPr>
          <w:rFonts w:ascii="Arial" w:cs="Arial" w:eastAsia="Arial" w:hAnsi="Arial"/>
          <w:sz w:val="19"/>
          <w:szCs w:val="19"/>
          <w:b w:val="1"/>
          <w:bCs w:val="1"/>
          <w:color w:val="auto"/>
        </w:rPr>
        <w:t>Company</w:t>
      </w:r>
      <w:r>
        <w:rPr>
          <w:rFonts w:ascii="Arial" w:cs="Arial" w:eastAsia="Arial" w:hAnsi="Arial"/>
          <w:sz w:val="19"/>
          <w:szCs w:val="19"/>
          <w:color w:val="auto"/>
        </w:rPr>
        <w:t>”).</w:t>
      </w:r>
    </w:p>
    <w:p>
      <w:pPr>
        <w:spacing w:after="0" w:line="157"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The Company is to file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on Form S-8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 for the purposes of registering with the Commission under the Securities Act the potential issue from time to time of certain ordinary shares of £0.0001 each in the capital of the Company (the “</w:t>
      </w:r>
      <w:r>
        <w:rPr>
          <w:rFonts w:ascii="Arial" w:cs="Arial" w:eastAsia="Arial" w:hAnsi="Arial"/>
          <w:sz w:val="19"/>
          <w:szCs w:val="19"/>
          <w:b w:val="1"/>
          <w:bCs w:val="1"/>
          <w:color w:val="auto"/>
        </w:rPr>
        <w:t>Ordinary Shares</w:t>
      </w:r>
      <w:r>
        <w:rPr>
          <w:rFonts w:ascii="Arial" w:cs="Arial" w:eastAsia="Arial" w:hAnsi="Arial"/>
          <w:sz w:val="19"/>
          <w:szCs w:val="19"/>
          <w:color w:val="auto"/>
        </w:rPr>
        <w:t>”), comprised of up to 16,775,137 Ordinary Shares that may be issued pursuant to the Company's Long Term Incentive Plan (being a plan on the terms exhibited to the Form S-8 and a copy of which is annexed hereto (the "</w:t>
      </w:r>
      <w:r>
        <w:rPr>
          <w:rFonts w:ascii="Arial" w:cs="Arial" w:eastAsia="Arial" w:hAnsi="Arial"/>
          <w:sz w:val="19"/>
          <w:szCs w:val="19"/>
          <w:b w:val="1"/>
          <w:bCs w:val="1"/>
          <w:color w:val="auto"/>
        </w:rPr>
        <w:t>Plan</w:t>
      </w:r>
      <w:r>
        <w:rPr>
          <w:rFonts w:ascii="Arial" w:cs="Arial" w:eastAsia="Arial" w:hAnsi="Arial"/>
          <w:sz w:val="19"/>
          <w:szCs w:val="19"/>
          <w:color w:val="auto"/>
        </w:rPr>
        <w:t>")) (the "</w:t>
      </w:r>
      <w:r>
        <w:rPr>
          <w:rFonts w:ascii="Arial" w:cs="Arial" w:eastAsia="Arial" w:hAnsi="Arial"/>
          <w:sz w:val="19"/>
          <w:szCs w:val="19"/>
          <w:b w:val="1"/>
          <w:bCs w:val="1"/>
          <w:color w:val="auto"/>
        </w:rPr>
        <w:t>Plan Shares</w:t>
      </w:r>
      <w:r>
        <w:rPr>
          <w:rFonts w:ascii="Arial" w:cs="Arial" w:eastAsia="Arial" w:hAnsi="Arial"/>
          <w:sz w:val="19"/>
          <w:szCs w:val="19"/>
          <w:color w:val="auto"/>
        </w:rPr>
        <w:t>" or the "</w:t>
      </w:r>
      <w:r>
        <w:rPr>
          <w:rFonts w:ascii="Arial" w:cs="Arial" w:eastAsia="Arial" w:hAnsi="Arial"/>
          <w:sz w:val="19"/>
          <w:szCs w:val="19"/>
          <w:b w:val="1"/>
          <w:bCs w:val="1"/>
          <w:color w:val="auto"/>
        </w:rPr>
        <w:t>Registration Shares</w:t>
      </w:r>
      <w:r>
        <w:rPr>
          <w:rFonts w:ascii="Arial" w:cs="Arial" w:eastAsia="Arial" w:hAnsi="Arial"/>
          <w:sz w:val="19"/>
          <w:szCs w:val="19"/>
          <w:color w:val="auto"/>
        </w:rPr>
        <w:t>")</w:t>
      </w:r>
    </w:p>
    <w:p>
      <w:pPr>
        <w:spacing w:after="0" w:line="173"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Registration Statement on Form S-8 to be filed with the Commission on the date hereof under the Securities Act and the Rules. We have taken instruction in this regard solely from the Company.</w:t>
      </w:r>
    </w:p>
    <w:p>
      <w:pPr>
        <w:spacing w:after="0" w:line="170"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8"/>
          <w:szCs w:val="18"/>
          <w:color w:val="auto"/>
        </w:rPr>
        <w:t>For the purposes of this opinion, we have examined:</w:t>
      </w:r>
    </w:p>
    <w:p>
      <w:pPr>
        <w:spacing w:after="0" w:line="214" w:lineRule="exact"/>
        <w:rPr>
          <w:sz w:val="20"/>
          <w:szCs w:val="20"/>
          <w:color w:val="auto"/>
        </w:rPr>
      </w:pPr>
    </w:p>
    <w:p>
      <w:pPr>
        <w:ind w:left="1500" w:hanging="743"/>
        <w:spacing w:after="0"/>
        <w:tabs>
          <w:tab w:leader="none" w:pos="1500" w:val="left"/>
        </w:tabs>
        <w:numPr>
          <w:ilvl w:val="0"/>
          <w:numId w:val="4"/>
        </w:numPr>
        <w:rPr>
          <w:rFonts w:ascii="Arial" w:cs="Arial" w:eastAsia="Arial" w:hAnsi="Arial"/>
          <w:sz w:val="19"/>
          <w:szCs w:val="19"/>
          <w:color w:val="auto"/>
        </w:rPr>
      </w:pPr>
      <w:r>
        <w:rPr>
          <w:rFonts w:ascii="Arial" w:cs="Arial" w:eastAsia="Arial" w:hAnsi="Arial"/>
          <w:sz w:val="19"/>
          <w:szCs w:val="19"/>
          <w:color w:val="auto"/>
        </w:rPr>
        <w:t>a board resolution dated 18 December 2025 ("</w:t>
      </w:r>
      <w:r>
        <w:rPr>
          <w:rFonts w:ascii="Arial" w:cs="Arial" w:eastAsia="Arial" w:hAnsi="Arial"/>
          <w:sz w:val="19"/>
          <w:szCs w:val="19"/>
          <w:b w:val="1"/>
          <w:bCs w:val="1"/>
          <w:color w:val="auto"/>
        </w:rPr>
        <w:t>Board Resolution</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1500" w:right="20" w:hanging="743"/>
        <w:spacing w:after="0" w:line="245" w:lineRule="auto"/>
        <w:tabs>
          <w:tab w:leader="none" w:pos="1500" w:val="left"/>
        </w:tabs>
        <w:numPr>
          <w:ilvl w:val="0"/>
          <w:numId w:val="4"/>
        </w:numPr>
        <w:rPr>
          <w:rFonts w:ascii="Arial" w:cs="Arial" w:eastAsia="Arial" w:hAnsi="Arial"/>
          <w:sz w:val="19"/>
          <w:szCs w:val="19"/>
          <w:color w:val="auto"/>
        </w:rPr>
      </w:pPr>
      <w:r>
        <w:rPr>
          <w:rFonts w:ascii="Arial" w:cs="Arial" w:eastAsia="Arial" w:hAnsi="Arial"/>
          <w:sz w:val="19"/>
          <w:szCs w:val="19"/>
          <w:color w:val="auto"/>
        </w:rPr>
        <w:t>a written shareholders resolution dated 3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shares having an aggregate nominal amount of up to £3,183.04 for the purposes of granting options under an employee benefit scheme of the Company and a</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UKMATTERS:85837248.3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9" w:lineRule="exact"/>
        <w:rPr>
          <w:sz w:val="20"/>
          <w:szCs w:val="20"/>
          <w:color w:val="auto"/>
        </w:rPr>
      </w:pPr>
    </w:p>
    <w:p>
      <w:pPr>
        <w:jc w:val="both"/>
        <w:ind w:left="1500" w:right="20"/>
        <w:spacing w:after="0" w:line="252" w:lineRule="auto"/>
        <w:rPr>
          <w:sz w:val="20"/>
          <w:szCs w:val="20"/>
          <w:color w:val="auto"/>
        </w:rPr>
      </w:pPr>
      <w:r>
        <w:rPr>
          <w:rFonts w:ascii="Arial" w:cs="Arial" w:eastAsia="Arial" w:hAnsi="Arial"/>
          <w:sz w:val="19"/>
          <w:szCs w:val="19"/>
          <w:color w:val="auto"/>
        </w:rPr>
        <w:t>written shareholders resolution dated 28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shares having an aggregate nominal amount of up to £30,000 ("</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(together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500" w:right="20" w:hanging="743"/>
        <w:spacing w:after="0" w:line="270" w:lineRule="auto"/>
        <w:tabs>
          <w:tab w:leader="none" w:pos="15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17 December 2025 at 14:59 (London time); and</w:t>
      </w:r>
    </w:p>
    <w:p>
      <w:pPr>
        <w:spacing w:after="0" w:line="15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5"/>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17 December 2025 at 14:54 (London time) which revealed that as at that date no petition has been lodged for the winding-up of the Company.</w:t>
      </w:r>
    </w:p>
    <w:p>
      <w:pPr>
        <w:spacing w:after="0" w:line="170"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5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In relation to insolvency proceedings, the search and enquiry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1"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w:t>
      </w:r>
    </w:p>
    <w:p>
      <w:pPr>
        <w:spacing w:after="0" w:line="156" w:lineRule="exact"/>
        <w:rPr>
          <w:sz w:val="20"/>
          <w:szCs w:val="20"/>
          <w:color w:val="auto"/>
        </w:rPr>
      </w:pPr>
    </w:p>
    <w:p>
      <w:pPr>
        <w:ind w:left="760" w:hanging="752"/>
        <w:spacing w:after="0"/>
        <w:tabs>
          <w:tab w:leader="none" w:pos="76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760" w:right="20" w:hanging="748"/>
        <w:spacing w:after="0" w:line="270" w:lineRule="auto"/>
        <w:tabs>
          <w:tab w:leader="none" w:pos="74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70"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color w:val="auto"/>
        </w:rPr>
        <w:t>For the purposes of this opinion, we have not examined any of the corporate or other records of the Company (apart from those set out in paragraph 2.4 or revealed by the</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UKMATTERS:85837248.3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9"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search and enquiry mentioned in paragraph 2.5) 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500" w:hanging="743"/>
        <w:spacing w:after="0" w:line="270"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500" w:right="20" w:hanging="743"/>
        <w:spacing w:after="0" w:line="254"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aggregate nominal value of the number of Registration Shares allotted and isused together with those to be allotted and issued as contemplated by the Registration Statement and those shares already allotted pursuant to the Corporate Approvals not being greater than the aggregate nominal value specified in the Corporate Approvals;</w:t>
      </w:r>
    </w:p>
    <w:p>
      <w:pPr>
        <w:spacing w:after="0" w:line="170" w:lineRule="exact"/>
        <w:rPr>
          <w:rFonts w:ascii="Arial" w:cs="Arial" w:eastAsia="Arial" w:hAnsi="Arial"/>
          <w:sz w:val="19"/>
          <w:szCs w:val="19"/>
          <w:color w:val="auto"/>
        </w:rPr>
      </w:pPr>
    </w:p>
    <w:p>
      <w:pPr>
        <w:jc w:val="both"/>
        <w:ind w:left="1500" w:hanging="743"/>
        <w:spacing w:after="0" w:line="248"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allotment and issue of Registration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transactions set out in the Registration Statement;</w:t>
      </w:r>
    </w:p>
    <w:p>
      <w:pPr>
        <w:spacing w:after="0" w:line="17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receipt in full of payment for the Registration Shares in an amount of “cash consideration” (as defined in section 583(3) of the Companies Act) of not less than the aggregate nominal value for such Registration Shares and any applicable share premium;</w:t>
      </w:r>
    </w:p>
    <w:p>
      <w:pPr>
        <w:spacing w:after="0" w:line="170" w:lineRule="exact"/>
        <w:rPr>
          <w:rFonts w:ascii="Arial" w:cs="Arial" w:eastAsia="Arial" w:hAnsi="Arial"/>
          <w:sz w:val="19"/>
          <w:szCs w:val="19"/>
          <w:color w:val="auto"/>
        </w:rPr>
      </w:pPr>
    </w:p>
    <w:p>
      <w:pPr>
        <w:jc w:val="both"/>
        <w:ind w:left="1500" w:hanging="743"/>
        <w:spacing w:after="0" w:line="241"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and the articles (as in force from time to time) or English law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the meeting and voted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85" w:lineRule="exact"/>
        <w:rPr>
          <w:rFonts w:ascii="Arial" w:cs="Arial" w:eastAsia="Arial" w:hAnsi="Arial"/>
          <w:sz w:val="19"/>
          <w:szCs w:val="19"/>
          <w:color w:val="auto"/>
        </w:rPr>
      </w:pPr>
    </w:p>
    <w:p>
      <w:pPr>
        <w:ind w:left="1500" w:hanging="7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that all relevant board and shareholder approvals for the adoption of the Plan have been duly and validly passed;</w:t>
      </w:r>
    </w:p>
    <w:p>
      <w:pPr>
        <w:spacing w:after="0" w:line="213"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Registration Shares in the books and registers of the Company;</w:t>
      </w:r>
    </w:p>
    <w:p>
      <w:pPr>
        <w:spacing w:after="0" w:line="15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170" w:lineRule="exact"/>
        <w:rPr>
          <w:rFonts w:ascii="Arial" w:cs="Arial" w:eastAsia="Arial" w:hAnsi="Arial"/>
          <w:sz w:val="19"/>
          <w:szCs w:val="19"/>
          <w:color w:val="auto"/>
        </w:rPr>
      </w:pPr>
    </w:p>
    <w:p>
      <w:pPr>
        <w:ind w:left="1500" w:hanging="7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213"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articles of association of the Company as registered at Companies House as at the date hereof remain in full force and effect, and no alteration has been made or will be made to such articles of association except for amendments required to convert the Company into a public company limited by shares, in each case</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UKMATTERS:85837248.3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9"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prior to each date of allotment and issue of the Registration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214" w:lineRule="exact"/>
        <w:rPr>
          <w:sz w:val="20"/>
          <w:szCs w:val="20"/>
          <w:color w:val="auto"/>
        </w:rPr>
      </w:pPr>
    </w:p>
    <w:p>
      <w:pPr>
        <w:jc w:val="both"/>
        <w:ind w:left="1460" w:hanging="743"/>
        <w:spacing w:after="0" w:line="254"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on each Allotment Date, the Company will comply with all applicable laws as to any offering of and as to the allotment and issue of the Registration Shares and the Company will receive such amounts as are necessary to fully pay the nominal value of the Registration Shares and any applicable share premium;</w:t>
      </w:r>
    </w:p>
    <w:p>
      <w:pPr>
        <w:spacing w:after="0" w:line="170"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Board Resolution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each Allotment Date;</w:t>
      </w:r>
    </w:p>
    <w:p>
      <w:pPr>
        <w:spacing w:after="0" w:line="180"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respect of the Board Resolution (i) in passing such resolutions the directors of the Company were acting in good faith, (ii) the transactions and other matters referred to in the Board Resolution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1460" w:hanging="743"/>
        <w:spacing w:after="0" w:line="248"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issuance of all Registration Shares were or will be validly passed and have not been and will not be revoked or varied and remain in full force and effect and will remain so as at each Allotment Date;</w:t>
      </w:r>
    </w:p>
    <w:p>
      <w:pPr>
        <w:spacing w:after="0" w:line="17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shall have sufficient powers conferred on them to allot the Registration Shares and to grant rights to subscribe for Registration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shall not issue (or purport to issue) Registration Shares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1460" w:hanging="743"/>
        <w:spacing w:after="0" w:line="245"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relation to the allotment and issue of the Registration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0" w:lineRule="exact"/>
        <w:rPr>
          <w:rFonts w:ascii="Arial" w:cs="Arial" w:eastAsia="Arial" w:hAnsi="Arial"/>
          <w:sz w:val="19"/>
          <w:szCs w:val="19"/>
          <w:color w:val="auto"/>
        </w:rPr>
      </w:pPr>
    </w:p>
    <w:p>
      <w:pPr>
        <w:jc w:val="both"/>
        <w:ind w:left="1460" w:hanging="743"/>
        <w:spacing w:after="0" w:line="254" w:lineRule="auto"/>
        <w:tabs>
          <w:tab w:leader="none" w:pos="146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Resolutions or otherwise by the Company’s shareholders will remain unutilised to the extent necessary to permit the allotment and issue of the Registration Shares;</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UKMATTERS:85837248.3</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0" w:name="page11"/>
    <w:bookmarkEnd w:id="10"/>
    <w:p>
      <w:pPr>
        <w:spacing w:after="0" w:line="9" w:lineRule="exact"/>
        <w:rPr>
          <w:sz w:val="20"/>
          <w:szCs w:val="20"/>
          <w:color w:val="auto"/>
        </w:rPr>
      </w:pPr>
    </w:p>
    <w:p>
      <w:pPr>
        <w:jc w:val="both"/>
        <w:ind w:left="1460" w:hanging="743"/>
        <w:spacing w:after="0" w:line="254" w:lineRule="auto"/>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ind w:left="1460" w:right="20" w:hanging="743"/>
        <w:spacing w:after="0" w:line="270" w:lineRule="auto"/>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156"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1460" w:hanging="743"/>
        <w:spacing w:after="0"/>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1460" w:hanging="743"/>
        <w:spacing w:after="0" w:line="270" w:lineRule="auto"/>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ind w:left="2220" w:right="20" w:hanging="755"/>
        <w:spacing w:after="0" w:line="270" w:lineRule="auto"/>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56" w:lineRule="exact"/>
        <w:rPr>
          <w:rFonts w:ascii="Arial" w:cs="Arial" w:eastAsia="Arial" w:hAnsi="Arial"/>
          <w:sz w:val="19"/>
          <w:szCs w:val="19"/>
          <w:color w:val="auto"/>
        </w:rPr>
      </w:pPr>
    </w:p>
    <w:p>
      <w:pPr>
        <w:ind w:left="2220" w:hanging="755"/>
        <w:spacing w:after="0"/>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213" w:lineRule="exact"/>
        <w:rPr>
          <w:rFonts w:ascii="Arial" w:cs="Arial" w:eastAsia="Arial" w:hAnsi="Arial"/>
          <w:sz w:val="19"/>
          <w:szCs w:val="19"/>
          <w:color w:val="auto"/>
        </w:rPr>
      </w:pPr>
    </w:p>
    <w:p>
      <w:pPr>
        <w:jc w:val="both"/>
        <w:ind w:left="2220" w:right="20" w:hanging="755"/>
        <w:spacing w:after="0" w:line="254" w:lineRule="auto"/>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2220" w:hanging="755"/>
        <w:spacing w:after="0" w:line="254" w:lineRule="auto"/>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0" w:lineRule="exact"/>
        <w:rPr>
          <w:rFonts w:ascii="Arial" w:cs="Arial" w:eastAsia="Arial" w:hAnsi="Arial"/>
          <w:sz w:val="19"/>
          <w:szCs w:val="19"/>
          <w:color w:val="auto"/>
        </w:rPr>
      </w:pPr>
    </w:p>
    <w:p>
      <w:pPr>
        <w:jc w:val="both"/>
        <w:ind w:left="2220" w:hanging="755"/>
        <w:spacing w:after="0" w:line="254" w:lineRule="auto"/>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rFonts w:ascii="Arial" w:cs="Arial" w:eastAsia="Arial" w:hAnsi="Arial"/>
          <w:sz w:val="19"/>
          <w:szCs w:val="19"/>
          <w:color w:val="auto"/>
        </w:rPr>
      </w:pPr>
    </w:p>
    <w:p>
      <w:pPr>
        <w:ind w:left="2220" w:hanging="755"/>
        <w:spacing w:after="0" w:line="270" w:lineRule="auto"/>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2220" w:hanging="755"/>
        <w:spacing w:after="0" w:line="270" w:lineRule="auto"/>
        <w:tabs>
          <w:tab w:leader="none" w:pos="2220"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156" w:lineRule="exact"/>
        <w:rPr>
          <w:rFonts w:ascii="Arial" w:cs="Arial" w:eastAsia="Arial" w:hAnsi="Arial"/>
          <w:sz w:val="19"/>
          <w:szCs w:val="19"/>
          <w:color w:val="auto"/>
        </w:rPr>
      </w:pPr>
    </w:p>
    <w:p>
      <w:pPr>
        <w:jc w:val="both"/>
        <w:ind w:left="1460" w:hanging="743"/>
        <w:spacing w:after="0" w:line="242" w:lineRule="auto"/>
        <w:tabs>
          <w:tab w:leader="none" w:pos="1460"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w:t>
      </w: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DOCPROPERTY DocID \* MERGEFORMAT UKMATTERS:85837248.3</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480060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1" w:name="page12"/>
    <w:bookmarkEnd w:id="11"/>
    <w:p>
      <w:pPr>
        <w:spacing w:after="0" w:line="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contemplated herein, is not insolvent and has not been dissolved or declared bankrupt;</w:t>
      </w:r>
    </w:p>
    <w:p>
      <w:pPr>
        <w:spacing w:after="0" w:line="214" w:lineRule="exact"/>
        <w:rPr>
          <w:sz w:val="20"/>
          <w:szCs w:val="20"/>
          <w:color w:val="auto"/>
        </w:rPr>
      </w:pPr>
    </w:p>
    <w:p>
      <w:pPr>
        <w:jc w:val="both"/>
        <w:ind w:left="1500" w:hanging="743"/>
        <w:spacing w:after="0" w:line="243" w:lineRule="auto"/>
        <w:tabs>
          <w:tab w:leader="none" w:pos="15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and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184"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3.8(v) or any other insolvency procedure has occurred in respect of the Company in a country other than England and that no steps have been taken to subject either of them to such a procedure;</w:t>
      </w:r>
    </w:p>
    <w:p>
      <w:pPr>
        <w:spacing w:after="0" w:line="170" w:lineRule="exact"/>
        <w:rPr>
          <w:rFonts w:ascii="Arial" w:cs="Arial" w:eastAsia="Arial" w:hAnsi="Arial"/>
          <w:sz w:val="19"/>
          <w:szCs w:val="19"/>
          <w:color w:val="auto"/>
        </w:rPr>
      </w:pPr>
    </w:p>
    <w:p>
      <w:pPr>
        <w:jc w:val="both"/>
        <w:ind w:left="1500" w:hanging="743"/>
        <w:spacing w:after="0" w:line="245" w:lineRule="auto"/>
        <w:tabs>
          <w:tab w:leader="none" w:pos="15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connection with the transactions contemplated by the Registration Statement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81" w:lineRule="exact"/>
        <w:rPr>
          <w:sz w:val="20"/>
          <w:szCs w:val="20"/>
          <w:color w:val="auto"/>
        </w:rPr>
      </w:pPr>
    </w:p>
    <w:p>
      <w:pPr>
        <w:jc w:val="both"/>
        <w:ind w:left="1500" w:hanging="743"/>
        <w:spacing w:after="0" w:line="248" w:lineRule="auto"/>
        <w:tabs>
          <w:tab w:leader="none" w:pos="15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to extent that the entry into of a document in connection with the transactions contemplated by the Registration Statement by the Company constitutes a regulated activity for the purposes of the Financial Services and Markets Act 2000 the Company will be in compliance with all applicable requirements of that Act and any regulations or rules made under that Act;</w:t>
      </w:r>
    </w:p>
    <w:p>
      <w:pPr>
        <w:spacing w:after="0" w:line="176"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that there are no written or oral representations made in connection with documents in connection with the transactions contemplated by the Registration Statement which have not been disclosed to us;</w:t>
      </w:r>
    </w:p>
    <w:p>
      <w:pPr>
        <w:spacing w:after="0" w:line="156" w:lineRule="exact"/>
        <w:rPr>
          <w:rFonts w:ascii="Arial" w:cs="Arial" w:eastAsia="Arial" w:hAnsi="Arial"/>
          <w:sz w:val="19"/>
          <w:szCs w:val="19"/>
          <w:color w:val="auto"/>
        </w:rPr>
      </w:pPr>
    </w:p>
    <w:p>
      <w:pPr>
        <w:ind w:left="1500" w:right="20" w:hanging="743"/>
        <w:spacing w:after="0" w:line="270" w:lineRule="auto"/>
        <w:tabs>
          <w:tab w:leader="none" w:pos="15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that there are no written or oral agreements modifying the terms of the documents in connection with the transactions contemplated by the Registration Statement which have not been disclosed to us;</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500" w:hanging="743"/>
        <w:spacing w:after="0" w:line="270" w:lineRule="auto"/>
        <w:tabs>
          <w:tab w:leader="none" w:pos="15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156" w:lineRule="exact"/>
        <w:rPr>
          <w:rFonts w:ascii="Arial" w:cs="Arial" w:eastAsia="Arial" w:hAnsi="Arial"/>
          <w:sz w:val="19"/>
          <w:szCs w:val="19"/>
          <w:color w:val="auto"/>
        </w:rPr>
      </w:pPr>
    </w:p>
    <w:p>
      <w:pPr>
        <w:ind w:left="760" w:hanging="752"/>
        <w:spacing w:after="0"/>
        <w:tabs>
          <w:tab w:leader="none" w:pos="76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 the Registration Shares will, when registered in the name of the recipient in the register of members of the Company and when paid for and issued pursuant to the terms of their subscription and in accordance with the terms of the Plan and the related agreements be duly and validly authorised and issued, fully paid or credited as fully paid.</w:t>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UKMATTERS:85837248.3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25"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760" w:hanging="748"/>
        <w:spacing w:after="0" w:line="254" w:lineRule="auto"/>
        <w:tabs>
          <w:tab w:leader="none" w:pos="74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w:t>
      </w:r>
    </w:p>
    <w:p>
      <w:pPr>
        <w:spacing w:after="0" w:line="170"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77"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of liability</w:t>
      </w:r>
    </w:p>
    <w:p>
      <w:pPr>
        <w:spacing w:after="0" w:line="213" w:lineRule="exact"/>
        <w:rPr>
          <w:rFonts w:ascii="Arial" w:cs="Arial" w:eastAsia="Arial" w:hAnsi="Arial"/>
          <w:sz w:val="19"/>
          <w:szCs w:val="19"/>
          <w:b w:val="1"/>
          <w:bCs w:val="1"/>
          <w:color w:val="auto"/>
        </w:rPr>
      </w:pPr>
    </w:p>
    <w:p>
      <w:pPr>
        <w:ind w:left="760"/>
        <w:spacing w:after="0"/>
        <w:rPr>
          <w:rFonts w:ascii="Arial" w:cs="Arial" w:eastAsia="Arial" w:hAnsi="Arial"/>
          <w:sz w:val="19"/>
          <w:szCs w:val="19"/>
          <w:b w:val="1"/>
          <w:bCs w:val="1"/>
          <w:color w:val="auto"/>
        </w:rPr>
      </w:pPr>
      <w:r>
        <w:rPr>
          <w:rFonts w:ascii="Arial" w:cs="Arial" w:eastAsia="Arial" w:hAnsi="Arial"/>
          <w:sz w:val="19"/>
          <w:szCs w:val="19"/>
          <w:color w:val="auto"/>
        </w:rPr>
        <w:t>Our liability under this letter is limited to an aggregate total of $25 million.</w:t>
      </w:r>
    </w:p>
    <w:p>
      <w:pPr>
        <w:spacing w:after="0" w:line="213" w:lineRule="exact"/>
        <w:rPr>
          <w:rFonts w:ascii="Arial" w:cs="Arial" w:eastAsia="Arial" w:hAnsi="Arial"/>
          <w:sz w:val="19"/>
          <w:szCs w:val="19"/>
          <w:b w:val="1"/>
          <w:bCs w:val="1"/>
          <w:color w:val="auto"/>
        </w:rPr>
      </w:pPr>
    </w:p>
    <w:p>
      <w:pPr>
        <w:ind w:left="760" w:hanging="752"/>
        <w:spacing w:after="0"/>
        <w:tabs>
          <w:tab w:leader="none" w:pos="76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9"/>
          <w:szCs w:val="19"/>
          <w:color w:val="auto"/>
        </w:rPr>
        <w:t>This letter is rendered to you for your benefit in connection with the Registration Statement. We consent to the filing of this letter as an exhibit to the Registration Statement. We further consent to the incorporation by reference of this letter and consent into any registration statement filed under the Securities Act with respect to the Registration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jc w:val="both"/>
        <w:ind w:left="760" w:hanging="748"/>
        <w:spacing w:after="0" w:line="270" w:lineRule="auto"/>
        <w:tabs>
          <w:tab w:leader="none" w:pos="74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40589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4058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Taylor Wessing LLP</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DOCPROPERTY DocID \* MERGEFORMAT UKMATTERS:85837248.3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1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April 23, 2025, except for Note 17, as to which the date is September 9, 2025, with respects to our audits of the consolidated financial statements of Rezolve AI plc, as of and for the years ended December 31, 2024 and 2023 included in the Annual Report on Form 20-F of Rezolve AI plc for the year ended December 31, 2024 filed with the U.S.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99" w:lineRule="exact"/>
        <w:rPr>
          <w:sz w:val="20"/>
          <w:szCs w:val="20"/>
          <w:color w:val="auto"/>
        </w:rPr>
      </w:pPr>
    </w:p>
    <w:p>
      <w:pPr>
        <w:ind w:right="540"/>
        <w:spacing w:after="0" w:line="245"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April 14, 2025 with respect to the combined consolidated financial statements of GroupBy</w:t>
      </w:r>
    </w:p>
    <w:p>
      <w:pPr>
        <w:ind w:right="3040"/>
        <w:spacing w:after="0" w:line="250" w:lineRule="auto"/>
        <w:rPr>
          <w:sz w:val="20"/>
          <w:szCs w:val="20"/>
          <w:color w:val="auto"/>
        </w:rPr>
      </w:pPr>
      <w:r>
        <w:rPr>
          <w:rFonts w:ascii="Arial" w:cs="Arial" w:eastAsia="Arial" w:hAnsi="Arial"/>
          <w:sz w:val="18"/>
          <w:szCs w:val="18"/>
          <w:color w:val="auto"/>
        </w:rPr>
        <w:t>Group of Companies as at December 31, 2024 and 2023 and for each of the years then ended, as filed with the United States Securities and Exchange Commission.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34" w:lineRule="auto"/>
        <w:rPr>
          <w:sz w:val="20"/>
          <w:szCs w:val="20"/>
          <w:color w:val="auto"/>
        </w:rPr>
      </w:pPr>
      <w:r>
        <w:rPr>
          <w:rFonts w:ascii="Arial" w:cs="Arial" w:eastAsia="Arial" w:hAnsi="Arial"/>
          <w:sz w:val="18"/>
          <w:szCs w:val="18"/>
          <w:color w:val="auto"/>
        </w:rPr>
        <w:t>Toronto, Canada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S-8 of Rezolve AI plc of our report dated July 31, 2025, except for Note 3, as to which the date is October 31, 2025, relating to the consolidated financial statements of Crownpeak Intermediate Holdings, Inc. and Subsidiaries, appearing in the Report of Foreign Private Issuer on Form 6-K filed by Rezolve AI plc on December 15, 2025.</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SingerLewak LLP</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23.4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00" w:lineRule="exact"/>
        <w:rPr>
          <w:sz w:val="20"/>
          <w:szCs w:val="20"/>
          <w:color w:val="auto"/>
        </w:rPr>
      </w:pP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this Registration Statement on Form S-8 of Rezolve AI plc of our reports dated July 11, 2025 and July 31, 2024, relating to the financial statements of Crownpeak Technology GmbH, Dortmund, Germany, as of and for the years ended January 31, 2025 and 2024 included as an Exhibit to the Report of Foreign Private Issuer on Form 6-K dated December 15, 2025 filed with the U.S. Securities and Exchange Commission.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ba audit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Wirtschaftspruefungsgesellschaft</w:t>
      </w:r>
    </w:p>
    <w:p>
      <w:pPr>
        <w:spacing w:after="0" w:line="234" w:lineRule="auto"/>
        <w:rPr>
          <w:sz w:val="20"/>
          <w:szCs w:val="20"/>
          <w:color w:val="auto"/>
        </w:rPr>
      </w:pPr>
      <w:r>
        <w:rPr>
          <w:rFonts w:ascii="Arial" w:cs="Arial" w:eastAsia="Arial" w:hAnsi="Arial"/>
          <w:sz w:val="18"/>
          <w:szCs w:val="18"/>
          <w:color w:val="auto"/>
        </w:rPr>
        <w:t>Berlin, Germany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August 15, 2024 and amended on December 12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127" w:lineRule="exact"/>
        <w:rPr>
          <w:sz w:val="20"/>
          <w:szCs w:val="20"/>
          <w:color w:val="auto"/>
        </w:rPr>
      </w:pPr>
    </w:p>
    <w:p>
      <w:pPr>
        <w:ind w:left="1020" w:right="180" w:hanging="675"/>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154" w:lineRule="exact"/>
        <w:rPr>
          <w:rFonts w:ascii="Times New Roman" w:cs="Times New Roman" w:eastAsia="Times New Roman" w:hAnsi="Times New Roman"/>
          <w:sz w:val="18"/>
          <w:szCs w:val="18"/>
          <w:color w:val="auto"/>
        </w:rPr>
      </w:pPr>
    </w:p>
    <w:p>
      <w:pPr>
        <w:ind w:left="1020" w:right="140" w:hanging="675"/>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154" w:lineRule="exact"/>
        <w:rPr>
          <w:rFonts w:ascii="Times New Roman" w:cs="Times New Roman" w:eastAsia="Times New Roman" w:hAnsi="Times New Roman"/>
          <w:sz w:val="18"/>
          <w:szCs w:val="18"/>
          <w:color w:val="auto"/>
        </w:rPr>
      </w:pPr>
    </w:p>
    <w:p>
      <w:pPr>
        <w:ind w:left="1020" w:right="40" w:hanging="675"/>
        <w:spacing w:after="0" w:line="25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206" w:lineRule="exact"/>
        <w:rPr>
          <w:rFonts w:ascii="Times New Roman" w:cs="Times New Roman" w:eastAsia="Times New Roman" w:hAnsi="Times New Roman"/>
          <w:sz w:val="18"/>
          <w:szCs w:val="18"/>
          <w:color w:val="auto"/>
        </w:rPr>
      </w:pPr>
    </w:p>
    <w:p>
      <w:pPr>
        <w:ind w:left="1020" w:right="60" w:hanging="553"/>
        <w:spacing w:after="0" w:line="256" w:lineRule="auto"/>
        <w:tabs>
          <w:tab w:leader="none" w:pos="1020"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Tax Liability</w:t>
      </w:r>
      <w:r>
        <w:rPr>
          <w:rFonts w:ascii="Times New Roman" w:cs="Times New Roman" w:eastAsia="Times New Roman" w:hAnsi="Times New Roman"/>
          <w:sz w:val="18"/>
          <w:szCs w:val="18"/>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 liability arising after the termination of the Participant's employment for whatever reason and which:</w:t>
      </w:r>
    </w:p>
    <w:p>
      <w:pPr>
        <w:spacing w:after="0" w:line="3"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9"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4"/>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108" w:lineRule="exact"/>
        <w:rPr>
          <w:rFonts w:ascii="Times New Roman" w:cs="Times New Roman" w:eastAsia="Times New Roman" w:hAnsi="Times New Roman"/>
          <w:sz w:val="18"/>
          <w:szCs w:val="18"/>
          <w:color w:val="auto"/>
        </w:rPr>
      </w:pPr>
    </w:p>
    <w:p>
      <w:pPr>
        <w:ind w:left="860" w:hanging="519"/>
        <w:spacing w:after="0"/>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means any award of Units or an Option under the Plan;</w:t>
      </w:r>
    </w:p>
    <w:p>
      <w:pPr>
        <w:spacing w:after="0" w:line="225" w:lineRule="exact"/>
        <w:rPr>
          <w:rFonts w:ascii="Times New Roman" w:cs="Times New Roman" w:eastAsia="Times New Roman" w:hAnsi="Times New Roman"/>
          <w:sz w:val="18"/>
          <w:szCs w:val="18"/>
          <w:color w:val="auto"/>
        </w:rPr>
      </w:pPr>
    </w:p>
    <w:p>
      <w:pPr>
        <w:ind w:left="860" w:hanging="519"/>
        <w:spacing w:after="0"/>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Certificate</w:t>
      </w:r>
      <w:r>
        <w:rPr>
          <w:rFonts w:ascii="Times New Roman" w:cs="Times New Roman" w:eastAsia="Times New Roman" w:hAnsi="Times New Roman"/>
          <w:sz w:val="18"/>
          <w:szCs w:val="18"/>
          <w:color w:val="auto"/>
        </w:rPr>
        <w:t>" means a certificate setting out the terms of an Award;</w:t>
      </w:r>
    </w:p>
    <w:p>
      <w:pPr>
        <w:spacing w:after="0" w:line="31" w:lineRule="exact"/>
        <w:rPr>
          <w:rFonts w:ascii="Times New Roman" w:cs="Times New Roman" w:eastAsia="Times New Roman" w:hAnsi="Times New Roman"/>
          <w:sz w:val="18"/>
          <w:szCs w:val="18"/>
          <w:color w:val="auto"/>
        </w:rPr>
      </w:pPr>
    </w:p>
    <w:p>
      <w:pPr>
        <w:ind w:left="860" w:right="2040" w:hanging="519"/>
        <w:spacing w:after="0" w:line="253" w:lineRule="auto"/>
        <w:tabs>
          <w:tab w:leader="none" w:pos="8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 June 2023 pursuant to a deed of release, amendment and restatement entered into by the Company, the New Company, CaymanCo, MergerSub, and Armada (each as defined in such deed) on 16 June 2023;</w:t>
      </w:r>
    </w:p>
    <w:p>
      <w:pPr>
        <w:spacing w:after="0" w:line="88" w:lineRule="exact"/>
        <w:rPr>
          <w:rFonts w:ascii="Times New Roman" w:cs="Times New Roman" w:eastAsia="Times New Roman" w:hAnsi="Times New Roman"/>
          <w:sz w:val="18"/>
          <w:szCs w:val="18"/>
          <w:color w:val="auto"/>
        </w:rPr>
      </w:pPr>
    </w:p>
    <w:p>
      <w:pPr>
        <w:ind w:left="1020" w:right="180" w:hanging="567"/>
        <w:spacing w:after="0" w:line="286" w:lineRule="auto"/>
        <w:tabs>
          <w:tab w:leader="none" w:pos="10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 to any particular functions of the board of directors, as set forth herein;</w:t>
      </w:r>
    </w:p>
    <w:p>
      <w:pPr>
        <w:spacing w:after="0" w:line="60" w:lineRule="exact"/>
        <w:rPr>
          <w:rFonts w:ascii="Times New Roman" w:cs="Times New Roman" w:eastAsia="Times New Roman" w:hAnsi="Times New Roman"/>
          <w:sz w:val="18"/>
          <w:szCs w:val="18"/>
          <w:color w:val="auto"/>
        </w:rPr>
      </w:pPr>
    </w:p>
    <w:p>
      <w:pPr>
        <w:ind w:left="1020" w:right="20" w:hanging="567"/>
        <w:spacing w:after="0" w:line="286" w:lineRule="auto"/>
        <w:tabs>
          <w:tab w:leader="none" w:pos="102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682625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left="567" w:right="120" w:hanging="553"/>
        <w:spacing w:after="0" w:line="317" w:lineRule="auto"/>
        <w:tabs>
          <w:tab w:leader="none" w:pos="5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w:t>
      </w:r>
      <w:r>
        <w:rPr>
          <w:rFonts w:ascii="Times New Roman" w:cs="Times New Roman" w:eastAsia="Times New Roman" w:hAnsi="Times New Roman"/>
          <w:sz w:val="17"/>
          <w:szCs w:val="17"/>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37" w:lineRule="exact"/>
        <w:rPr>
          <w:rFonts w:ascii="Times New Roman" w:cs="Times New Roman" w:eastAsia="Times New Roman" w:hAnsi="Times New Roman"/>
          <w:sz w:val="17"/>
          <w:szCs w:val="17"/>
          <w:color w:val="auto"/>
        </w:rPr>
      </w:pPr>
    </w:p>
    <w:p>
      <w:pPr>
        <w:ind w:left="567" w:right="800" w:hanging="553"/>
        <w:spacing w:after="0" w:line="286" w:lineRule="auto"/>
        <w:tabs>
          <w:tab w:leader="none" w:pos="5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64" w:lineRule="exact"/>
        <w:rPr>
          <w:rFonts w:ascii="Times New Roman" w:cs="Times New Roman" w:eastAsia="Times New Roman" w:hAnsi="Times New Roman"/>
          <w:sz w:val="18"/>
          <w:szCs w:val="18"/>
          <w:color w:val="auto"/>
        </w:rPr>
      </w:pPr>
    </w:p>
    <w:p>
      <w:pPr>
        <w:ind w:left="1127" w:right="140" w:hanging="560"/>
        <w:spacing w:after="0" w:line="258" w:lineRule="auto"/>
        <w:tabs>
          <w:tab w:leader="none" w:pos="11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88" w:lineRule="exact"/>
        <w:rPr>
          <w:rFonts w:ascii="Times New Roman" w:cs="Times New Roman" w:eastAsia="Times New Roman" w:hAnsi="Times New Roman"/>
          <w:sz w:val="18"/>
          <w:szCs w:val="18"/>
          <w:color w:val="auto"/>
        </w:rPr>
      </w:pPr>
    </w:p>
    <w:p>
      <w:pPr>
        <w:ind w:left="1127" w:right="60" w:hanging="560"/>
        <w:spacing w:after="0" w:line="254" w:lineRule="auto"/>
        <w:tabs>
          <w:tab w:leader="none" w:pos="11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 (A)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97" w:lineRule="exact"/>
        <w:rPr>
          <w:rFonts w:ascii="Times New Roman" w:cs="Times New Roman" w:eastAsia="Times New Roman" w:hAnsi="Times New Roman"/>
          <w:sz w:val="18"/>
          <w:szCs w:val="18"/>
          <w:color w:val="auto"/>
        </w:rPr>
      </w:pPr>
    </w:p>
    <w:p>
      <w:pPr>
        <w:ind w:left="1127" w:hanging="560"/>
        <w:spacing w:after="0" w:line="256" w:lineRule="auto"/>
        <w:tabs>
          <w:tab w:leader="none" w:pos="11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 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92" w:lineRule="exact"/>
        <w:rPr>
          <w:rFonts w:ascii="Times New Roman" w:cs="Times New Roman" w:eastAsia="Times New Roman" w:hAnsi="Times New Roman"/>
          <w:sz w:val="18"/>
          <w:szCs w:val="18"/>
          <w:color w:val="auto"/>
        </w:rPr>
      </w:pPr>
    </w:p>
    <w:p>
      <w:pPr>
        <w:ind w:left="1127" w:right="180" w:hanging="560"/>
        <w:spacing w:after="0" w:line="258" w:lineRule="auto"/>
        <w:tabs>
          <w:tab w:leader="none" w:pos="11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179" w:lineRule="exact"/>
        <w:rPr>
          <w:rFonts w:ascii="Times New Roman" w:cs="Times New Roman" w:eastAsia="Times New Roman" w:hAnsi="Times New Roman"/>
          <w:sz w:val="18"/>
          <w:szCs w:val="18"/>
          <w:color w:val="auto"/>
        </w:rPr>
      </w:pPr>
    </w:p>
    <w:p>
      <w:pPr>
        <w:ind w:left="1127" w:right="220" w:hanging="560"/>
        <w:spacing w:after="0" w:line="262" w:lineRule="auto"/>
        <w:tabs>
          <w:tab w:leader="none" w:pos="11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and solely for the purpose of determining the</w:t>
      </w:r>
    </w:p>
    <w:p>
      <w:pPr>
        <w:spacing w:after="0" w:line="27" w:lineRule="exact"/>
        <w:rPr>
          <w:rFonts w:ascii="Times New Roman" w:cs="Times New Roman" w:eastAsia="Times New Roman" w:hAnsi="Times New Roman"/>
          <w:sz w:val="18"/>
          <w:szCs w:val="18"/>
          <w:color w:val="auto"/>
        </w:rPr>
      </w:pPr>
    </w:p>
    <w:p>
      <w:pPr>
        <w:ind w:left="1127"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timing of payment or timing of distribution of any compensation or benefit that constitutes “nonqualified deferred compensation” within the meaning of Section 409A of the US Internal Revenue Code of 1986, as amended, a Change of Control shall not be deemed to occur under this Plan unless the Change of Control also constitutes a “change in the ownership” of the Company, a “change in</w:t>
      </w:r>
    </w:p>
    <w:p>
      <w:pPr>
        <w:ind w:left="1127" w:right="220"/>
        <w:spacing w:after="0" w:line="250" w:lineRule="auto"/>
        <w:rPr>
          <w:sz w:val="20"/>
          <w:szCs w:val="20"/>
          <w:color w:val="auto"/>
        </w:rPr>
      </w:pPr>
      <w:r>
        <w:rPr>
          <w:rFonts w:ascii="Times New Roman" w:cs="Times New Roman" w:eastAsia="Times New Roman" w:hAnsi="Times New Roman"/>
          <w:sz w:val="18"/>
          <w:szCs w:val="18"/>
          <w:color w:val="auto"/>
        </w:rPr>
        <w:t>effective control” of the Company, or a “change in the ownership of a substantial portion of the assets” of the Company under U.S. Treasury Regulations § 1.409A-3(i)(5), or any successor provision;</w:t>
      </w:r>
    </w:p>
    <w:p>
      <w:pPr>
        <w:spacing w:after="0" w:line="1" w:lineRule="exact"/>
        <w:rPr>
          <w:sz w:val="20"/>
          <w:szCs w:val="20"/>
          <w:color w:val="auto"/>
        </w:rPr>
      </w:pPr>
    </w:p>
    <w:p>
      <w:pPr>
        <w:ind w:left="1127" w:hanging="560"/>
        <w:spacing w:after="0"/>
        <w:tabs>
          <w:tab w:leader="none" w:pos="112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108" w:lineRule="exact"/>
        <w:rPr>
          <w:rFonts w:ascii="Times New Roman" w:cs="Times New Roman" w:eastAsia="Times New Roman" w:hAnsi="Times New Roman"/>
          <w:sz w:val="18"/>
          <w:szCs w:val="18"/>
          <w:color w:val="auto"/>
        </w:rPr>
      </w:pPr>
    </w:p>
    <w:p>
      <w:pPr>
        <w:ind w:left="567" w:right="280" w:hanging="567"/>
        <w:spacing w:after="0" w:line="286" w:lineRule="auto"/>
        <w:tabs>
          <w:tab w:leader="none" w:pos="6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Plc, a company incorporated in England with company number 14573691, whose registered office is at 5 New Street Square, London, United Kingdom, EC4A 3TW;</w:t>
      </w:r>
    </w:p>
    <w:p>
      <w:pPr>
        <w:spacing w:after="0" w:line="154" w:lineRule="exact"/>
        <w:rPr>
          <w:rFonts w:ascii="Times New Roman" w:cs="Times New Roman" w:eastAsia="Times New Roman" w:hAnsi="Times New Roman"/>
          <w:sz w:val="18"/>
          <w:szCs w:val="18"/>
          <w:color w:val="auto"/>
        </w:rPr>
      </w:pPr>
    </w:p>
    <w:p>
      <w:pPr>
        <w:ind w:left="567" w:right="100" w:hanging="567"/>
        <w:spacing w:after="0" w:line="286" w:lineRule="auto"/>
        <w:tabs>
          <w:tab w:leader="none" w:pos="5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collectively: (i) the series A preferred shares, designated as “Series A Shares” pursuant to the Company Articles of Association; and (ii) the ordinary shares designated as "Ordinary Shares" pursuant to the Company's Articles of Association;</w:t>
      </w:r>
    </w:p>
    <w:p>
      <w:pPr>
        <w:spacing w:after="0" w:line="15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225" w:lineRule="exact"/>
        <w:rPr>
          <w:rFonts w:ascii="Times New Roman" w:cs="Times New Roman" w:eastAsia="Times New Roman" w:hAnsi="Times New Roman"/>
          <w:sz w:val="18"/>
          <w:szCs w:val="18"/>
          <w:color w:val="auto"/>
        </w:rPr>
      </w:pPr>
    </w:p>
    <w:p>
      <w:pPr>
        <w:ind w:left="567" w:right="280" w:hanging="567"/>
        <w:spacing w:after="0" w:line="286" w:lineRule="auto"/>
        <w:tabs>
          <w:tab w:leader="none" w:pos="5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665480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7"/>
          </w:cols>
          <w:pgMar w:left="773" w:top="765" w:right="339" w:bottom="1440" w:gutter="0" w:footer="0" w:header="0"/>
        </w:sectPr>
      </w:pPr>
    </w:p>
    <w:bookmarkStart w:id="19" w:name="page20"/>
    <w:bookmarkEnd w:id="19"/>
    <w:p>
      <w:pPr>
        <w:ind w:left="567" w:right="160" w:hanging="553"/>
        <w:spacing w:after="0" w:line="268" w:lineRule="auto"/>
        <w:tabs>
          <w:tab w:leader="none" w:pos="56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either the Grant Agreement pursuant to which the applicable Award was granted or if the Award is granted by unilateral deed of grant, as evidenced by the applicable Award Certificate;</w:t>
      </w:r>
    </w:p>
    <w:p>
      <w:pPr>
        <w:spacing w:after="0" w:line="76" w:lineRule="exact"/>
        <w:rPr>
          <w:rFonts w:ascii="Times New Roman" w:cs="Times New Roman" w:eastAsia="Times New Roman" w:hAnsi="Times New Roman"/>
          <w:sz w:val="18"/>
          <w:szCs w:val="18"/>
          <w:color w:val="auto"/>
        </w:rPr>
      </w:pPr>
    </w:p>
    <w:p>
      <w:pPr>
        <w:ind w:left="567" w:right="160" w:hanging="553"/>
        <w:spacing w:after="0" w:line="286" w:lineRule="auto"/>
        <w:tabs>
          <w:tab w:leader="none" w:pos="56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60" w:lineRule="exact"/>
        <w:rPr>
          <w:rFonts w:ascii="Times New Roman" w:cs="Times New Roman" w:eastAsia="Times New Roman" w:hAnsi="Times New Roman"/>
          <w:sz w:val="18"/>
          <w:szCs w:val="18"/>
          <w:color w:val="auto"/>
        </w:rPr>
      </w:pPr>
    </w:p>
    <w:p>
      <w:pPr>
        <w:ind w:left="567" w:right="40" w:hanging="567"/>
        <w:spacing w:after="0" w:line="268" w:lineRule="auto"/>
        <w:tabs>
          <w:tab w:leader="none" w:pos="5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 agreed to participate in the Plan and to whom Deferred Share Units have or will be granted thereunder;</w:t>
      </w:r>
    </w:p>
    <w:p>
      <w:pPr>
        <w:spacing w:after="0" w:line="76" w:lineRule="exact"/>
        <w:rPr>
          <w:rFonts w:ascii="Times New Roman" w:cs="Times New Roman" w:eastAsia="Times New Roman" w:hAnsi="Times New Roman"/>
          <w:sz w:val="18"/>
          <w:szCs w:val="18"/>
          <w:color w:val="auto"/>
        </w:rPr>
      </w:pPr>
    </w:p>
    <w:p>
      <w:pPr>
        <w:ind w:left="567" w:right="220" w:hanging="567"/>
        <w:spacing w:after="0" w:line="286" w:lineRule="auto"/>
        <w:tabs>
          <w:tab w:leader="none" w:pos="5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 the Fiscal Year following the Fiscal Year in which the DSU Termination Date occurred;</w:t>
      </w:r>
    </w:p>
    <w:p>
      <w:pPr>
        <w:spacing w:after="0" w:line="60" w:lineRule="exact"/>
        <w:rPr>
          <w:rFonts w:ascii="Times New Roman" w:cs="Times New Roman" w:eastAsia="Times New Roman" w:hAnsi="Times New Roman"/>
          <w:sz w:val="18"/>
          <w:szCs w:val="18"/>
          <w:color w:val="auto"/>
        </w:rPr>
      </w:pPr>
    </w:p>
    <w:p>
      <w:pPr>
        <w:ind w:left="567" w:right="320" w:hanging="567"/>
        <w:spacing w:after="0" w:line="286" w:lineRule="auto"/>
        <w:tabs>
          <w:tab w:leader="none" w:pos="5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60" w:lineRule="exact"/>
        <w:rPr>
          <w:rFonts w:ascii="Times New Roman" w:cs="Times New Roman" w:eastAsia="Times New Roman" w:hAnsi="Times New Roman"/>
          <w:sz w:val="18"/>
          <w:szCs w:val="18"/>
          <w:color w:val="auto"/>
        </w:rPr>
      </w:pPr>
    </w:p>
    <w:p>
      <w:pPr>
        <w:ind w:left="587" w:right="120" w:hanging="573"/>
        <w:spacing w:after="0" w:line="268" w:lineRule="auto"/>
        <w:tabs>
          <w:tab w:leader="none" w:pos="5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 employee) of the Company for any reason including, without limiting the generality of the foregoing, as a result of retirement, death, voluntary or involuntary termination without cause, or Incapacity;</w:t>
      </w:r>
    </w:p>
    <w:p>
      <w:pPr>
        <w:spacing w:after="0" w:line="76" w:lineRule="exact"/>
        <w:rPr>
          <w:sz w:val="20"/>
          <w:szCs w:val="20"/>
          <w:color w:val="auto"/>
        </w:rPr>
      </w:pPr>
    </w:p>
    <w:p>
      <w:pPr>
        <w:ind w:left="547" w:hanging="547"/>
        <w:spacing w:after="0"/>
        <w:tabs>
          <w:tab w:leader="none" w:pos="5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13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157"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3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203" w:lineRule="exact"/>
        <w:rPr>
          <w:sz w:val="20"/>
          <w:szCs w:val="20"/>
          <w:color w:val="auto"/>
        </w:rPr>
      </w:pPr>
    </w:p>
    <w:p>
      <w:pPr>
        <w:ind w:left="567" w:right="40" w:hanging="567"/>
        <w:spacing w:after="0" w:line="286" w:lineRule="auto"/>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 appreciation, phantom stock, profit participation or similar rights);</w:t>
      </w:r>
    </w:p>
    <w:p>
      <w:pPr>
        <w:spacing w:after="0" w:line="60" w:lineRule="exact"/>
        <w:rPr>
          <w:rFonts w:ascii="Times New Roman" w:cs="Times New Roman" w:eastAsia="Times New Roman" w:hAnsi="Times New Roman"/>
          <w:sz w:val="18"/>
          <w:szCs w:val="18"/>
          <w:color w:val="auto"/>
        </w:rPr>
      </w:pPr>
    </w:p>
    <w:p>
      <w:pPr>
        <w:ind w:left="567" w:right="140" w:hanging="567"/>
        <w:spacing w:after="0" w:line="291" w:lineRule="auto"/>
        <w:tabs>
          <w:tab w:leader="none" w:pos="56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Expire</w:t>
      </w:r>
      <w:r>
        <w:rPr>
          <w:rFonts w:ascii="Times New Roman" w:cs="Times New Roman" w:eastAsia="Times New Roman" w:hAnsi="Times New Roman"/>
          <w:sz w:val="17"/>
          <w:szCs w:val="17"/>
          <w:color w:val="auto"/>
        </w:rPr>
        <w:t>” means, with respect to a Unit, the termination of such Unit, on the occurrence of which such Unit is void, incapable of settlement, and of no value whatsoever; and with respect to an Option, the termination or lapsing of such Option, on the occurrence of which such Option is void, incapable of exercise or settlement, and of no value whatsoever; and Expires and Expired have a similar meaning;</w:t>
      </w:r>
    </w:p>
    <w:p>
      <w:pPr>
        <w:spacing w:after="0" w:line="58" w:lineRule="exact"/>
        <w:rPr>
          <w:rFonts w:ascii="Times New Roman" w:cs="Times New Roman" w:eastAsia="Times New Roman" w:hAnsi="Times New Roman"/>
          <w:sz w:val="17"/>
          <w:szCs w:val="17"/>
          <w:color w:val="auto"/>
        </w:rPr>
      </w:pPr>
    </w:p>
    <w:p>
      <w:pPr>
        <w:ind w:left="567" w:right="120" w:hanging="567"/>
        <w:spacing w:after="0" w:line="286" w:lineRule="auto"/>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6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3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108" w:lineRule="exact"/>
        <w:rPr>
          <w:rFonts w:ascii="Times New Roman" w:cs="Times New Roman" w:eastAsia="Times New Roman" w:hAnsi="Times New Roman"/>
          <w:sz w:val="18"/>
          <w:szCs w:val="18"/>
          <w:color w:val="auto"/>
        </w:rPr>
      </w:pPr>
    </w:p>
    <w:p>
      <w:pPr>
        <w:ind w:left="567" w:right="440" w:hanging="567"/>
        <w:spacing w:after="0" w:line="286" w:lineRule="auto"/>
        <w:tabs>
          <w:tab w:leader="none" w:pos="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60" w:lineRule="exact"/>
        <w:rPr>
          <w:rFonts w:ascii="Times New Roman" w:cs="Times New Roman" w:eastAsia="Times New Roman" w:hAnsi="Times New Roman"/>
          <w:sz w:val="18"/>
          <w:szCs w:val="18"/>
          <w:color w:val="auto"/>
        </w:rPr>
      </w:pPr>
    </w:p>
    <w:p>
      <w:pPr>
        <w:ind w:left="567" w:hanging="553"/>
        <w:spacing w:after="0"/>
        <w:tabs>
          <w:tab w:leader="none" w:pos="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130" w:lineRule="exact"/>
        <w:rPr>
          <w:rFonts w:ascii="Times New Roman" w:cs="Times New Roman" w:eastAsia="Times New Roman" w:hAnsi="Times New Roman"/>
          <w:sz w:val="18"/>
          <w:szCs w:val="18"/>
          <w:color w:val="auto"/>
        </w:rPr>
      </w:pPr>
    </w:p>
    <w:p>
      <w:pPr>
        <w:jc w:val="both"/>
        <w:ind w:left="567" w:right="140" w:hanging="553"/>
        <w:spacing w:after="0" w:line="259" w:lineRule="auto"/>
        <w:tabs>
          <w:tab w:leader="none" w:pos="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ISU</w:t>
      </w:r>
      <w:r>
        <w:rPr>
          <w:rFonts w:ascii="Times New Roman" w:cs="Times New Roman" w:eastAsia="Times New Roman" w:hAnsi="Times New Roman"/>
          <w:sz w:val="18"/>
          <w:szCs w:val="18"/>
          <w:color w:val="auto"/>
        </w:rPr>
        <w:t>” means a unit granted or credited to a ISU Participant’s notional account pursuant to the terms of this Plan that, subject to the provisions hereof, entitles a ISU Participant to receive one Share or the Cash Equivalent in accordance with the terms set forth in the Plan;</w:t>
      </w:r>
    </w:p>
    <w:p>
      <w:pPr>
        <w:ind w:left="567" w:right="220" w:hanging="553"/>
        <w:spacing w:after="0" w:line="250" w:lineRule="auto"/>
        <w:tabs>
          <w:tab w:leader="none" w:pos="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Incentive Share Unit has been granted or will be granted thereunder;</w:t>
      </w:r>
    </w:p>
    <w:p>
      <w:pPr>
        <w:ind w:left="567" w:hanging="553"/>
        <w:spacing w:after="0"/>
        <w:tabs>
          <w:tab w:leader="none" w:pos="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 has the meaning given to that term in Section 7.1(1);</w:t>
      </w:r>
    </w:p>
    <w:p>
      <w:pPr>
        <w:spacing w:after="0" w:line="202" w:lineRule="exact"/>
        <w:rPr>
          <w:rFonts w:ascii="Times New Roman" w:cs="Times New Roman" w:eastAsia="Times New Roman" w:hAnsi="Times New Roman"/>
          <w:sz w:val="18"/>
          <w:szCs w:val="18"/>
          <w:color w:val="auto"/>
        </w:rPr>
      </w:pPr>
    </w:p>
    <w:p>
      <w:pPr>
        <w:ind w:left="567" w:right="360" w:hanging="553"/>
        <w:spacing w:after="0" w:line="263" w:lineRule="auto"/>
        <w:tabs>
          <w:tab w:leader="none" w:pos="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Settlement Notice</w:t>
      </w:r>
      <w:r>
        <w:rPr>
          <w:rFonts w:ascii="Times New Roman" w:cs="Times New Roman" w:eastAsia="Times New Roman" w:hAnsi="Times New Roman"/>
          <w:sz w:val="18"/>
          <w:szCs w:val="18"/>
          <w:color w:val="auto"/>
        </w:rPr>
        <w:t>” means a notice, in a form determined by the Board, by an ISU Participant to the Company electing the desired form of settlement of vested Incentive Share Units;</w:t>
      </w:r>
    </w:p>
    <w:p>
      <w:pPr>
        <w:ind w:left="567" w:hanging="553"/>
        <w:spacing w:after="0" w:line="253" w:lineRule="auto"/>
        <w:tabs>
          <w:tab w:leader="none" w:pos="5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means the date on which an ISU Participant ceases to be an Eligible Person as a result of a termination of employment with the Company or a Group Company for any reason, including death, retirement, or resignation. For the purposes of the Plan, an ISU Participant’s employment with the Company or a Group Company shall be considered to have terminated effective on the last day of the ISU Participant’s actual and active employment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547370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7"/>
          </w:cols>
          <w:pgMar w:left="773" w:top="1008" w:right="359" w:bottom="1440" w:gutter="0" w:footer="0" w:header="0"/>
        </w:sectPr>
      </w:pPr>
    </w:p>
    <w:bookmarkStart w:id="20" w:name="page21"/>
    <w:bookmarkEnd w:id="20"/>
    <w:p>
      <w:pPr>
        <w:ind w:left="611" w:right="160"/>
        <w:spacing w:after="0" w:line="254" w:lineRule="auto"/>
        <w:rPr>
          <w:sz w:val="20"/>
          <w:szCs w:val="20"/>
          <w:color w:val="auto"/>
        </w:rPr>
      </w:pPr>
      <w:r>
        <w:rPr>
          <w:rFonts w:ascii="Times New Roman" w:cs="Times New Roman" w:eastAsia="Times New Roman" w:hAnsi="Times New Roman"/>
          <w:sz w:val="18"/>
          <w:szCs w:val="18"/>
          <w:color w:val="auto"/>
        </w:rPr>
        <w:t>Company or Group Company, whether such day is selected by agreement with the individual, or unilaterally by the ISU Participant or the Company or Group Company, and whether with or without advance notice to the ISU Participant. For the avoidance of doubt, no period of notice or pay in lieu of notice that is given or that ought to have been given under applicable law in respect of such termination of employment that follows or is in respect of a period after the ISU Participant’s last day of actual and active employment shall be considered as extending the ISU Participant’s period of employment for the purposes of determining his or her entitlement under the Plan;</w:t>
      </w:r>
    </w:p>
    <w:p>
      <w:pPr>
        <w:spacing w:after="0" w:line="3" w:lineRule="exact"/>
        <w:rPr>
          <w:sz w:val="20"/>
          <w:szCs w:val="20"/>
          <w:color w:val="auto"/>
        </w:rPr>
      </w:pPr>
    </w:p>
    <w:p>
      <w:pPr>
        <w:ind w:left="611" w:hanging="553"/>
        <w:spacing w:after="0" w:line="255" w:lineRule="auto"/>
        <w:tabs>
          <w:tab w:leader="none" w:pos="611"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ISU Vesting Date</w:t>
      </w:r>
      <w:r>
        <w:rPr>
          <w:rFonts w:ascii="Times New Roman" w:cs="Times New Roman" w:eastAsia="Times New Roman" w:hAnsi="Times New Roman"/>
          <w:sz w:val="18"/>
          <w:szCs w:val="18"/>
          <w:color w:val="auto"/>
        </w:rPr>
        <w:t>” means the date or dates determined in accordance with the terms of the Grant Agreement or deed of grant entered into in respect of such Incentive Share Units (as described in Section 6.4), on and after which a particular Incentive Share Unit will be settled, subject to amendment or acceleration from time to time in accordance with the terms hereof;</w:t>
      </w:r>
    </w:p>
    <w:p>
      <w:pPr>
        <w:spacing w:after="0" w:line="208" w:lineRule="exact"/>
        <w:rPr>
          <w:rFonts w:ascii="Times New Roman" w:cs="Times New Roman" w:eastAsia="Times New Roman" w:hAnsi="Times New Roman"/>
          <w:sz w:val="18"/>
          <w:szCs w:val="18"/>
          <w:color w:val="auto"/>
        </w:rPr>
      </w:pPr>
    </w:p>
    <w:p>
      <w:pPr>
        <w:ind w:left="591" w:hanging="547"/>
        <w:spacing w:after="0"/>
        <w:tabs>
          <w:tab w:leader="none" w:pos="5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means the founder of the Company, being Daniel Wagner;</w:t>
      </w:r>
    </w:p>
    <w:p>
      <w:pPr>
        <w:spacing w:after="0" w:line="130" w:lineRule="exact"/>
        <w:rPr>
          <w:rFonts w:ascii="Times New Roman" w:cs="Times New Roman" w:eastAsia="Times New Roman" w:hAnsi="Times New Roman"/>
          <w:sz w:val="18"/>
          <w:szCs w:val="18"/>
          <w:color w:val="auto"/>
        </w:rPr>
      </w:pPr>
    </w:p>
    <w:p>
      <w:pPr>
        <w:ind w:left="611" w:right="20" w:hanging="553"/>
        <w:spacing w:after="0" w:line="256" w:lineRule="auto"/>
        <w:tabs>
          <w:tab w:leader="none" w:pos="61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 on the NASDAQ for the five (5) preceding days on which the Shares were traded, or on any other share exchange as selected by the Board for these purposes. In the event that such Shares are not listed and posted for trading on any share exchange, the Market Value shall be the fair market value of such Shares as determined by the Board in its sole and absolute discretion;</w:t>
      </w:r>
    </w:p>
    <w:p>
      <w:pPr>
        <w:spacing w:after="0" w:line="3" w:lineRule="exact"/>
        <w:rPr>
          <w:rFonts w:ascii="Times New Roman" w:cs="Times New Roman" w:eastAsia="Times New Roman" w:hAnsi="Times New Roman"/>
          <w:sz w:val="18"/>
          <w:szCs w:val="18"/>
          <w:color w:val="auto"/>
        </w:rPr>
      </w:pPr>
    </w:p>
    <w:p>
      <w:pPr>
        <w:ind w:left="611" w:hanging="553"/>
        <w:spacing w:after="0"/>
        <w:tabs>
          <w:tab w:leader="none" w:pos="61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108" w:lineRule="exact"/>
        <w:rPr>
          <w:rFonts w:ascii="Times New Roman" w:cs="Times New Roman" w:eastAsia="Times New Roman" w:hAnsi="Times New Roman"/>
          <w:sz w:val="18"/>
          <w:szCs w:val="18"/>
          <w:color w:val="auto"/>
        </w:rPr>
      </w:pPr>
    </w:p>
    <w:p>
      <w:pPr>
        <w:ind w:left="731" w:right="2160" w:hanging="731"/>
        <w:spacing w:after="0" w:line="259" w:lineRule="auto"/>
        <w:tabs>
          <w:tab w:leader="none" w:pos="7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share option granted to an Option Participant pursuant to the terms of this Plan that, subject to the provisions hereof, entitles an Option Participant to receive one Share or the Option Cash Equivalent in accordance with the terms set forth in the Plan;</w:t>
      </w:r>
    </w:p>
    <w:p>
      <w:pPr>
        <w:ind w:left="731" w:right="2160" w:hanging="731"/>
        <w:spacing w:after="0" w:line="250" w:lineRule="auto"/>
        <w:tabs>
          <w:tab w:leader="none" w:pos="7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Cash Equivalent</w:t>
      </w:r>
      <w:r>
        <w:rPr>
          <w:rFonts w:ascii="Times New Roman" w:cs="Times New Roman" w:eastAsia="Times New Roman" w:hAnsi="Times New Roman"/>
          <w:sz w:val="18"/>
          <w:szCs w:val="18"/>
          <w:color w:val="auto"/>
        </w:rPr>
        <w:t>" means the amount of money expressed in British Pound Sterling equal to: (a) the Market Value multiplied by the number of Shares in respect of which the Option is being exercised and which is to be settled by cash; (b) less the Option Price applicable to such Shares;</w:t>
      </w:r>
    </w:p>
    <w:p>
      <w:pPr>
        <w:spacing w:after="0" w:line="1" w:lineRule="exact"/>
        <w:rPr>
          <w:rFonts w:ascii="Times New Roman" w:cs="Times New Roman" w:eastAsia="Times New Roman" w:hAnsi="Times New Roman"/>
          <w:sz w:val="18"/>
          <w:szCs w:val="18"/>
          <w:color w:val="auto"/>
        </w:rPr>
      </w:pPr>
    </w:p>
    <w:p>
      <w:pPr>
        <w:ind w:left="731" w:right="2160" w:hanging="731"/>
        <w:spacing w:after="0" w:line="250" w:lineRule="auto"/>
        <w:tabs>
          <w:tab w:leader="none" w:pos="7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spacing w:after="0" w:line="1" w:lineRule="exact"/>
        <w:rPr>
          <w:rFonts w:ascii="Times New Roman" w:cs="Times New Roman" w:eastAsia="Times New Roman" w:hAnsi="Times New Roman"/>
          <w:sz w:val="18"/>
          <w:szCs w:val="18"/>
          <w:color w:val="auto"/>
        </w:rPr>
      </w:pPr>
    </w:p>
    <w:p>
      <w:pPr>
        <w:ind w:left="731" w:right="2060" w:hanging="731"/>
        <w:spacing w:after="0" w:line="250" w:lineRule="auto"/>
        <w:tabs>
          <w:tab w:leader="none" w:pos="7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ind w:left="731" w:right="2040" w:hanging="731"/>
        <w:spacing w:after="0" w:line="251" w:lineRule="auto"/>
        <w:tabs>
          <w:tab w:leader="none" w:pos="7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 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215" w:lineRule="exact"/>
        <w:rPr>
          <w:rFonts w:ascii="Times New Roman" w:cs="Times New Roman" w:eastAsia="Times New Roman" w:hAnsi="Times New Roman"/>
          <w:sz w:val="18"/>
          <w:szCs w:val="18"/>
          <w:color w:val="auto"/>
        </w:rPr>
      </w:pPr>
    </w:p>
    <w:p>
      <w:pPr>
        <w:ind w:left="611" w:hanging="553"/>
        <w:spacing w:after="0"/>
        <w:tabs>
          <w:tab w:leader="none" w:pos="61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130" w:lineRule="exact"/>
        <w:rPr>
          <w:rFonts w:ascii="Times New Roman" w:cs="Times New Roman" w:eastAsia="Times New Roman" w:hAnsi="Times New Roman"/>
          <w:sz w:val="18"/>
          <w:szCs w:val="18"/>
          <w:color w:val="auto"/>
        </w:rPr>
      </w:pPr>
    </w:p>
    <w:p>
      <w:pPr>
        <w:ind w:left="611" w:right="320" w:hanging="567"/>
        <w:spacing w:after="0" w:line="263" w:lineRule="auto"/>
        <w:tabs>
          <w:tab w:leader="none" w:pos="6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 Affiliate;</w:t>
      </w:r>
    </w:p>
    <w:p>
      <w:pPr>
        <w:ind w:left="611" w:right="20" w:hanging="567"/>
        <w:spacing w:after="0" w:line="255" w:lineRule="auto"/>
        <w:tabs>
          <w:tab w:leader="none" w:pos="6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 or the duly appointed administrators of his estate) who in either case have provided the Board with satisfactory evidence of their appointment</w:t>
      </w:r>
    </w:p>
    <w:p>
      <w:pPr>
        <w:spacing w:after="0" w:line="208" w:lineRule="exact"/>
        <w:rPr>
          <w:rFonts w:ascii="Times New Roman" w:cs="Times New Roman" w:eastAsia="Times New Roman" w:hAnsi="Times New Roman"/>
          <w:sz w:val="18"/>
          <w:szCs w:val="18"/>
          <w:color w:val="auto"/>
        </w:rPr>
      </w:pPr>
    </w:p>
    <w:p>
      <w:pPr>
        <w:ind w:left="631" w:hanging="573"/>
        <w:spacing w:after="0"/>
        <w:tabs>
          <w:tab w:leader="none" w:pos="631"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252" w:lineRule="exact"/>
        <w:rPr>
          <w:rFonts w:ascii="Times New Roman" w:cs="Times New Roman" w:eastAsia="Times New Roman" w:hAnsi="Times New Roman"/>
          <w:sz w:val="18"/>
          <w:szCs w:val="18"/>
          <w:color w:val="auto"/>
        </w:rPr>
      </w:pPr>
    </w:p>
    <w:p>
      <w:pPr>
        <w:ind w:left="611" w:right="220" w:hanging="553"/>
        <w:spacing w:after="0" w:line="268" w:lineRule="auto"/>
        <w:tabs>
          <w:tab w:leader="none" w:pos="611"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 Participant to receive one Share or the Cash Equivalent in accordance with the terms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615315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1"/>
          </w:cols>
          <w:pgMar w:left="729" w:top="769" w:right="339" w:bottom="1440" w:gutter="0" w:footer="0" w:header="0"/>
        </w:sectPr>
      </w:pPr>
    </w:p>
    <w:bookmarkStart w:id="21" w:name="page22"/>
    <w:bookmarkEnd w:id="21"/>
    <w:p>
      <w:pPr>
        <w:ind w:left="1040" w:right="140" w:hanging="573"/>
        <w:spacing w:after="0" w:line="286" w:lineRule="auto"/>
        <w:tabs>
          <w:tab w:leader="none" w:pos="104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 Restricted Share Unit has been granted or will be granted thereunder;</w:t>
      </w:r>
    </w:p>
    <w:p>
      <w:pPr>
        <w:spacing w:after="0" w:line="87"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130" w:lineRule="exact"/>
        <w:rPr>
          <w:rFonts w:ascii="Times New Roman" w:cs="Times New Roman" w:eastAsia="Times New Roman" w:hAnsi="Times New Roman"/>
          <w:sz w:val="18"/>
          <w:szCs w:val="18"/>
          <w:color w:val="auto"/>
        </w:rPr>
      </w:pPr>
    </w:p>
    <w:p>
      <w:pPr>
        <w:ind w:left="1020" w:right="240" w:hanging="567"/>
        <w:spacing w:after="0" w:line="286" w:lineRule="auto"/>
        <w:tabs>
          <w:tab w:leader="none" w:pos="102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60" w:lineRule="exact"/>
        <w:rPr>
          <w:rFonts w:ascii="Times New Roman" w:cs="Times New Roman" w:eastAsia="Times New Roman" w:hAnsi="Times New Roman"/>
          <w:sz w:val="18"/>
          <w:szCs w:val="18"/>
          <w:color w:val="auto"/>
        </w:rPr>
      </w:pPr>
    </w:p>
    <w:p>
      <w:pPr>
        <w:ind w:left="1020" w:hanging="553"/>
        <w:spacing w:after="0" w:line="254" w:lineRule="auto"/>
        <w:tabs>
          <w:tab w:leader="none" w:pos="102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means the date on which an RSU Participant ceases to be an Eligible Person as a result of a termination of employment with the Company or a Group Company for any reason, including death, retirement, or resignation. For the purposes of the 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 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 active employment shall be considered as extending the RSU Participant’s period of employment or retention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ind w:left="1020" w:right="120" w:hanging="553"/>
        <w:spacing w:after="0" w:line="259" w:lineRule="auto"/>
        <w:tabs>
          <w:tab w:leader="none" w:pos="102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or deed of grant entered into in respect of such Restricted Share Units (as described in Section 3.4), on and after which a particular Restricted Share Unit will be settled, subject to amendment or acceleration from time to time in accordance with the terms hereof;</w:t>
      </w:r>
    </w:p>
    <w:p>
      <w:pPr>
        <w:ind w:left="1020" w:right="180" w:hanging="553"/>
        <w:spacing w:after="0" w:line="260" w:lineRule="auto"/>
        <w:tabs>
          <w:tab w:leader="none" w:pos="102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82"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130" w:lineRule="exact"/>
        <w:rPr>
          <w:rFonts w:ascii="Times New Roman" w:cs="Times New Roman" w:eastAsia="Times New Roman" w:hAnsi="Times New Roman"/>
          <w:sz w:val="18"/>
          <w:szCs w:val="18"/>
          <w:color w:val="auto"/>
        </w:rPr>
      </w:pPr>
    </w:p>
    <w:p>
      <w:pPr>
        <w:ind w:left="1080" w:right="120" w:hanging="775"/>
        <w:spacing w:after="0" w:line="26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7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130" w:lineRule="exact"/>
        <w:rPr>
          <w:rFonts w:ascii="Times New Roman" w:cs="Times New Roman" w:eastAsia="Times New Roman" w:hAnsi="Times New Roman"/>
          <w:sz w:val="18"/>
          <w:szCs w:val="18"/>
          <w:color w:val="auto"/>
        </w:rPr>
      </w:pPr>
    </w:p>
    <w:p>
      <w:pPr>
        <w:ind w:left="1020" w:right="240" w:hanging="567"/>
        <w:spacing w:after="0" w:line="286" w:lineRule="auto"/>
        <w:tabs>
          <w:tab w:leader="none" w:pos="10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6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31" w:lineRule="exact"/>
        <w:rPr>
          <w:rFonts w:ascii="Times New Roman" w:cs="Times New Roman" w:eastAsia="Times New Roman" w:hAnsi="Times New Roman"/>
          <w:sz w:val="18"/>
          <w:szCs w:val="18"/>
          <w:color w:val="auto"/>
        </w:rPr>
      </w:pPr>
    </w:p>
    <w:p>
      <w:pPr>
        <w:ind w:left="1020" w:right="420" w:hanging="553"/>
        <w:spacing w:after="0" w:line="255" w:lineRule="auto"/>
        <w:tabs>
          <w:tab w:leader="none" w:pos="1020"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fifteen percent (15%) of the fully diluted issued and outstanding Equity Securities, and any option, warrant, right or security (including debt securities) convertible, exchangeable or exercisable therefor) of the Company as of the Closing (as defined in the BCA);</w:t>
      </w:r>
    </w:p>
    <w:p>
      <w:pPr>
        <w:spacing w:after="0" w:line="87"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w:t>
      </w:r>
    </w:p>
    <w:p>
      <w:pPr>
        <w:spacing w:after="0" w:line="131" w:lineRule="exact"/>
        <w:rPr>
          <w:sz w:val="20"/>
          <w:szCs w:val="20"/>
          <w:color w:val="auto"/>
        </w:rPr>
      </w:pPr>
    </w:p>
    <w:p>
      <w:pPr>
        <w:ind w:left="1080" w:hanging="775"/>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135" w:lineRule="exact"/>
        <w:rPr>
          <w:sz w:val="20"/>
          <w:szCs w:val="20"/>
          <w:color w:val="auto"/>
        </w:rPr>
      </w:pPr>
    </w:p>
    <w:p>
      <w:pPr>
        <w:ind w:left="460" w:right="44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or Award Certificate, all references to money amounts are to English currency.</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135" w:lineRule="exact"/>
        <w:rPr>
          <w:sz w:val="20"/>
          <w:szCs w:val="20"/>
          <w:color w:val="auto"/>
        </w:rPr>
      </w:pPr>
    </w:p>
    <w:p>
      <w:pPr>
        <w:ind w:left="460" w:right="50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67" w:lineRule="exact"/>
        <w:rPr>
          <w:rFonts w:ascii="Times New Roman" w:cs="Times New Roman" w:eastAsia="Times New Roman" w:hAnsi="Times New Roman"/>
          <w:sz w:val="18"/>
          <w:szCs w:val="18"/>
          <w:color w:val="auto"/>
        </w:rPr>
      </w:pPr>
    </w:p>
    <w:p>
      <w:pPr>
        <w:ind w:left="460" w:right="80" w:hanging="452"/>
        <w:spacing w:after="0" w:line="253"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 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92"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92" w:lineRule="exact"/>
        <w:rPr>
          <w:rFonts w:ascii="Times New Roman" w:cs="Times New Roman" w:eastAsia="Times New Roman" w:hAnsi="Times New Roman"/>
          <w:sz w:val="18"/>
          <w:szCs w:val="18"/>
          <w:color w:val="auto"/>
        </w:rPr>
      </w:pPr>
    </w:p>
    <w:p>
      <w:pPr>
        <w:ind w:left="460" w:right="20" w:hanging="452"/>
        <w:spacing w:after="0" w:line="266"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81" w:lineRule="exact"/>
        <w:rPr>
          <w:rFonts w:ascii="Times New Roman" w:cs="Times New Roman" w:eastAsia="Times New Roman" w:hAnsi="Times New Roman"/>
          <w:sz w:val="18"/>
          <w:szCs w:val="18"/>
          <w:color w:val="auto"/>
        </w:rPr>
      </w:pPr>
    </w:p>
    <w:p>
      <w:pPr>
        <w:ind w:left="460" w:right="140" w:hanging="452"/>
        <w:spacing w:after="0" w:line="257"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w:t>
      </w:r>
    </w:p>
    <w:p>
      <w:pPr>
        <w:spacing w:after="0" w:line="1" w:lineRule="exact"/>
        <w:rPr>
          <w:rFonts w:ascii="Times New Roman" w:cs="Times New Roman" w:eastAsia="Times New Roman" w:hAnsi="Times New Roman"/>
          <w:sz w:val="18"/>
          <w:szCs w:val="18"/>
          <w:color w:val="auto"/>
        </w:rPr>
      </w:pPr>
    </w:p>
    <w:p>
      <w:pPr>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92"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b w:val="1"/>
          <w:bCs w:val="1"/>
          <w:color w:val="auto"/>
        </w:rPr>
        <w:t>Grant of Awards and Shares Reserved</w:t>
      </w:r>
    </w:p>
    <w:p>
      <w:pPr>
        <w:spacing w:after="0" w:line="135" w:lineRule="exact"/>
        <w:rPr>
          <w:sz w:val="20"/>
          <w:szCs w:val="20"/>
          <w:color w:val="auto"/>
        </w:rPr>
      </w:pPr>
    </w:p>
    <w:p>
      <w:pPr>
        <w:ind w:left="460" w:right="340" w:hanging="452"/>
        <w:spacing w:after="0" w:line="282" w:lineRule="auto"/>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67" w:lineRule="exact"/>
        <w:rPr>
          <w:rFonts w:ascii="Times New Roman" w:cs="Times New Roman" w:eastAsia="Times New Roman" w:hAnsi="Times New Roman"/>
          <w:sz w:val="18"/>
          <w:szCs w:val="18"/>
          <w:color w:val="auto"/>
        </w:rPr>
      </w:pPr>
    </w:p>
    <w:p>
      <w:pPr>
        <w:ind w:left="1020" w:right="40" w:hanging="567"/>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 number of Company Shares issued or proposed to be issued in connection with the Additional Issuances;</w:t>
      </w:r>
    </w:p>
    <w:p>
      <w:pPr>
        <w:spacing w:after="0" w:line="108" w:lineRule="exact"/>
        <w:rPr>
          <w:rFonts w:ascii="Times New Roman" w:cs="Times New Roman" w:eastAsia="Times New Roman" w:hAnsi="Times New Roman"/>
          <w:sz w:val="18"/>
          <w:szCs w:val="18"/>
          <w:color w:val="auto"/>
        </w:rPr>
      </w:pPr>
    </w:p>
    <w:p>
      <w:pPr>
        <w:ind w:left="1020" w:right="140" w:hanging="553"/>
        <w:spacing w:after="0" w:line="261" w:lineRule="auto"/>
        <w:tabs>
          <w:tab w:leader="none" w:pos="10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179" w:lineRule="exact"/>
        <w:rPr>
          <w:rFonts w:ascii="Times New Roman" w:cs="Times New Roman" w:eastAsia="Times New Roman" w:hAnsi="Times New Roman"/>
          <w:sz w:val="18"/>
          <w:szCs w:val="18"/>
          <w:color w:val="auto"/>
        </w:rPr>
      </w:pPr>
    </w:p>
    <w:p>
      <w:pPr>
        <w:ind w:left="1020" w:right="20" w:hanging="553"/>
        <w:spacing w:after="0" w:line="266" w:lineRule="auto"/>
        <w:tabs>
          <w:tab w:leader="none" w:pos="10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sole discretion, at any time on or after 1 January 2025 and in each calendar year thereafter determine that an additional pool of Shares be reserved for issuance or transfer from treasury, under this Plan and any sub-plan being a pool of up to 5% of the fully diluted issued and outstanding Equity Securities, (and any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3" w:name="page24"/>
    <w:bookmarkEnd w:id="23"/>
    <w:p>
      <w:pPr>
        <w:ind w:left="1020" w:right="160"/>
        <w:spacing w:after="0" w:line="257" w:lineRule="auto"/>
        <w:rPr>
          <w:sz w:val="20"/>
          <w:szCs w:val="20"/>
          <w:color w:val="auto"/>
        </w:rPr>
      </w:pPr>
      <w:r>
        <w:rPr>
          <w:rFonts w:ascii="Times New Roman" w:cs="Times New Roman" w:eastAsia="Times New Roman" w:hAnsi="Times New Roman"/>
          <w:sz w:val="18"/>
          <w:szCs w:val="18"/>
          <w:color w:val="auto"/>
        </w:rPr>
        <w:t>warrant, right or security (including debt securities) convertible, exchangeable or exercisable therefor) of the Company (the "</w:t>
      </w:r>
      <w:r>
        <w:rPr>
          <w:rFonts w:ascii="Times New Roman" w:cs="Times New Roman" w:eastAsia="Times New Roman" w:hAnsi="Times New Roman"/>
          <w:sz w:val="18"/>
          <w:szCs w:val="18"/>
          <w:b w:val="1"/>
          <w:bCs w:val="1"/>
          <w:color w:val="auto"/>
        </w:rPr>
        <w:t>Fully Diluted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w:t>
      </w:r>
      <w:r>
        <w:rPr>
          <w:rFonts w:ascii="Times New Roman" w:cs="Times New Roman" w:eastAsia="Times New Roman" w:hAnsi="Times New Roman"/>
          <w:sz w:val="18"/>
          <w:szCs w:val="18"/>
          <w:color w:val="auto"/>
        </w:rPr>
        <w:t>") as of such date in the relevant calendar year that the Board may determine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(provided that each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pool shall be capped at 5% of such Fully Diluted Capital each calendar year and shall be separate to the reservation set out in Section 2.2(a) and to any additional pool created in any previous year.) For the avoidance of doubt, there may not be more than one Calculation Date in a calendar year but the Calculation Date in one calendar year need not be the same as the Calculation Date in another calendar year.</w:t>
      </w:r>
    </w:p>
    <w:p>
      <w:pPr>
        <w:spacing w:after="0" w:line="3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b w:val="1"/>
          <w:bCs w:val="1"/>
          <w:color w:val="auto"/>
        </w:rPr>
        <w:t>Amendment and Termination.</w:t>
      </w:r>
    </w:p>
    <w:p>
      <w:pPr>
        <w:spacing w:after="0" w:line="135" w:lineRule="exact"/>
        <w:rPr>
          <w:sz w:val="20"/>
          <w:szCs w:val="20"/>
          <w:color w:val="auto"/>
        </w:rPr>
      </w:pPr>
    </w:p>
    <w:p>
      <w:pPr>
        <w:jc w:val="both"/>
        <w:ind w:left="460" w:right="60" w:hanging="452"/>
        <w:spacing w:after="0" w:line="266"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or Award Certificate or deed of grant relating thereto provided that such suspension, termination, amendment, or revision shall:</w:t>
      </w:r>
    </w:p>
    <w:p>
      <w:pPr>
        <w:spacing w:after="0" w:line="81"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 this Plan;</w:t>
      </w:r>
    </w:p>
    <w:p>
      <w:pPr>
        <w:spacing w:after="0" w:line="131" w:lineRule="exact"/>
        <w:rPr>
          <w:sz w:val="20"/>
          <w:szCs w:val="20"/>
          <w:color w:val="auto"/>
        </w:rPr>
      </w:pPr>
    </w:p>
    <w:p>
      <w:pPr>
        <w:ind w:left="1040" w:hanging="573"/>
        <w:spacing w:after="0" w:line="282" w:lineRule="auto"/>
        <w:tabs>
          <w:tab w:leader="none" w:pos="10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compliance with applicable law and subject to any regulatory approvals including, where required, the approval of the Stock Exchange; and</w:t>
      </w:r>
    </w:p>
    <w:p>
      <w:pPr>
        <w:spacing w:after="0" w:line="6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Shareholder approval, where required by law, the requirements of the Stock Exchange or this Plan.</w:t>
      </w:r>
    </w:p>
    <w:p>
      <w:pPr>
        <w:spacing w:after="0" w:line="130" w:lineRule="exact"/>
        <w:rPr>
          <w:rFonts w:ascii="Times New Roman" w:cs="Times New Roman" w:eastAsia="Times New Roman" w:hAnsi="Times New Roman"/>
          <w:sz w:val="18"/>
          <w:szCs w:val="18"/>
          <w:color w:val="auto"/>
        </w:rPr>
      </w:pPr>
    </w:p>
    <w:p>
      <w:pPr>
        <w:jc w:val="both"/>
        <w:ind w:left="460" w:right="180" w:hanging="452"/>
        <w:spacing w:after="0" w:line="261"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85"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67" w:lineRule="exact"/>
        <w:rPr>
          <w:rFonts w:ascii="Times New Roman" w:cs="Times New Roman" w:eastAsia="Times New Roman" w:hAnsi="Times New Roman"/>
          <w:sz w:val="18"/>
          <w:szCs w:val="18"/>
          <w:color w:val="auto"/>
        </w:rPr>
      </w:pPr>
    </w:p>
    <w:p>
      <w:pPr>
        <w:jc w:val="both"/>
        <w:ind w:left="1020" w:right="260" w:hanging="567"/>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 administrative nature, including without limitation those made to clarify the meaning of an existing provision of the Plan, correct or supplement any provision of the Plan that is inconsistent with any other provision of the Plan, correct any grammatical or typographical errors or amend the definitions in the Plan regarding administration of the Plan;</w:t>
      </w:r>
    </w:p>
    <w:p>
      <w:pPr>
        <w:spacing w:after="0" w:line="81"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alter, extend or accelerate the terms of vesting or settlement applicable to any Awards;</w:t>
      </w:r>
    </w:p>
    <w:p>
      <w:pPr>
        <w:spacing w:after="0" w:line="15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Plan respecting administration and eligibility for participation under the Plan; and</w:t>
      </w:r>
    </w:p>
    <w:p>
      <w:pPr>
        <w:spacing w:after="0" w:line="130" w:lineRule="exact"/>
        <w:rPr>
          <w:rFonts w:ascii="Times New Roman" w:cs="Times New Roman" w:eastAsia="Times New Roman" w:hAnsi="Times New Roman"/>
          <w:sz w:val="18"/>
          <w:szCs w:val="18"/>
          <w:color w:val="auto"/>
        </w:rPr>
      </w:pPr>
    </w:p>
    <w:p>
      <w:pPr>
        <w:ind w:left="1020" w:right="260" w:hanging="567"/>
        <w:spacing w:after="0" w:line="282"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 Award as necessary to comply with applicable law or the requirements of the Stock Exchange or any other regulatory body having authority over the Company, the Plan, the Participants or the Shareholders.</w:t>
      </w:r>
    </w:p>
    <w:p>
      <w:pPr>
        <w:spacing w:after="0" w:line="6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the following amendments to the Plan:</w:t>
      </w:r>
    </w:p>
    <w:p>
      <w:pPr>
        <w:spacing w:after="0" w:line="252" w:lineRule="exact"/>
        <w:rPr>
          <w:rFonts w:ascii="Times New Roman" w:cs="Times New Roman" w:eastAsia="Times New Roman" w:hAnsi="Times New Roman"/>
          <w:sz w:val="18"/>
          <w:szCs w:val="18"/>
          <w:color w:val="auto"/>
        </w:rPr>
      </w:pPr>
    </w:p>
    <w:p>
      <w:pPr>
        <w:ind w:left="1020" w:right="100" w:hanging="553"/>
        <w:spacing w:after="0" w:line="255" w:lineRule="auto"/>
        <w:tabs>
          <w:tab w:leader="none" w:pos="1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such shareholder approval is required by applicable law and/or the rules and regulations of the Stock Exchange or any other stock exchange on which the Shares are listed or posted for trading, any increase in the maximum number of Shares that may be issuable by the Company, including from treasury, pursuant to Awards granted under the Plan (as set out in Section 2.2), other than an adjustment pursuant to Section 2.15; and</w:t>
      </w:r>
    </w:p>
    <w:p>
      <w:pPr>
        <w:spacing w:after="0" w:line="2"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200" w:lineRule="exact"/>
        <w:rPr>
          <w:sz w:val="20"/>
          <w:szCs w:val="20"/>
          <w:color w:val="auto"/>
        </w:rPr>
      </w:pPr>
    </w:p>
    <w:p>
      <w:pPr>
        <w:spacing w:after="0" w:line="2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b w:val="1"/>
          <w:bCs w:val="1"/>
          <w:color w:val="auto"/>
        </w:rPr>
        <w:t>Compliance with Legislation</w:t>
      </w:r>
    </w:p>
    <w:p>
      <w:pPr>
        <w:spacing w:after="0" w:line="135" w:lineRule="exact"/>
        <w:rPr>
          <w:sz w:val="20"/>
          <w:szCs w:val="20"/>
          <w:color w:val="auto"/>
        </w:rPr>
      </w:pPr>
    </w:p>
    <w:p>
      <w:pPr>
        <w:ind w:left="460" w:right="20" w:hanging="452"/>
        <w:spacing w:after="0" w:line="256"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92"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4" w:name="page25"/>
    <w:bookmarkEnd w:id="24"/>
    <w:p>
      <w:pPr>
        <w:ind w:left="460" w:right="20" w:hanging="452"/>
        <w:spacing w:after="0" w:line="25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 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b w:val="1"/>
          <w:bCs w:val="1"/>
          <w:color w:val="auto"/>
        </w:rPr>
        <w:t>Applicable Tax Withholdings and Deductions.</w:t>
      </w:r>
    </w:p>
    <w:p>
      <w:pPr>
        <w:spacing w:after="0" w:line="135" w:lineRule="exact"/>
        <w:rPr>
          <w:sz w:val="20"/>
          <w:szCs w:val="20"/>
          <w:color w:val="auto"/>
        </w:rPr>
      </w:pPr>
    </w:p>
    <w:p>
      <w:pPr>
        <w:ind w:left="460" w:hanging="452"/>
        <w:spacing w:after="0" w:line="25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94"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9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130" w:lineRule="exact"/>
        <w:rPr>
          <w:rFonts w:ascii="Times New Roman" w:cs="Times New Roman" w:eastAsia="Times New Roman" w:hAnsi="Times New Roman"/>
          <w:sz w:val="18"/>
          <w:szCs w:val="18"/>
          <w:color w:val="auto"/>
        </w:rPr>
      </w:pPr>
    </w:p>
    <w:p>
      <w:pPr>
        <w:ind w:left="1020" w:right="560" w:hanging="567"/>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81" w:lineRule="exact"/>
        <w:rPr>
          <w:rFonts w:ascii="Times New Roman" w:cs="Times New Roman" w:eastAsia="Times New Roman" w:hAnsi="Times New Roman"/>
          <w:sz w:val="18"/>
          <w:szCs w:val="18"/>
          <w:color w:val="auto"/>
        </w:rPr>
      </w:pPr>
    </w:p>
    <w:p>
      <w:pPr>
        <w:ind w:left="1020" w:right="680" w:hanging="567"/>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 Withholding Tax Liability, and to cause the proceeds from the sale of such Shares to be delivered to the Company; or</w:t>
      </w:r>
    </w:p>
    <w:p>
      <w:pPr>
        <w:spacing w:after="0" w:line="67" w:lineRule="exact"/>
        <w:rPr>
          <w:rFonts w:ascii="Times New Roman" w:cs="Times New Roman" w:eastAsia="Times New Roman" w:hAnsi="Times New Roman"/>
          <w:sz w:val="18"/>
          <w:szCs w:val="18"/>
          <w:color w:val="auto"/>
        </w:rPr>
      </w:pPr>
    </w:p>
    <w:p>
      <w:pPr>
        <w:ind w:left="1020" w:right="180" w:hanging="567"/>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line="9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b w:val="1"/>
          <w:bCs w:val="1"/>
          <w:color w:val="auto"/>
        </w:rPr>
        <w:t>No Interest.</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b w:val="1"/>
          <w:bCs w:val="1"/>
          <w:color w:val="auto"/>
        </w:rPr>
        <w:t>Non-Transferability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131"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5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200" w:lineRule="exact"/>
        <w:rPr>
          <w:sz w:val="20"/>
          <w:szCs w:val="20"/>
          <w:color w:val="auto"/>
        </w:rPr>
      </w:pPr>
    </w:p>
    <w:p>
      <w:pPr>
        <w:spacing w:after="0" w:line="29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b w:val="1"/>
          <w:bCs w:val="1"/>
          <w:color w:val="auto"/>
        </w:rPr>
        <w:t>Participation in this Plan.</w:t>
      </w:r>
    </w:p>
    <w:p>
      <w:pPr>
        <w:spacing w:after="0" w:line="135" w:lineRule="exact"/>
        <w:rPr>
          <w:sz w:val="20"/>
          <w:szCs w:val="20"/>
          <w:color w:val="auto"/>
        </w:rPr>
      </w:pPr>
    </w:p>
    <w:p>
      <w:pPr>
        <w:ind w:left="460" w:right="360" w:hanging="452"/>
        <w:spacing w:after="0" w:line="282"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left="460" w:right="80"/>
        <w:spacing w:after="0" w:line="254" w:lineRule="auto"/>
        <w:rPr>
          <w:sz w:val="20"/>
          <w:szCs w:val="20"/>
          <w:color w:val="auto"/>
        </w:rPr>
      </w:pPr>
      <w:r>
        <w:rPr>
          <w:rFonts w:ascii="Times New Roman" w:cs="Times New Roman" w:eastAsia="Times New Roman" w:hAnsi="Times New Roman"/>
          <w:sz w:val="18"/>
          <w:szCs w:val="18"/>
          <w:color w:val="auto"/>
        </w:rPr>
        <w:t>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 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97" w:lineRule="exact"/>
        <w:rPr>
          <w:sz w:val="20"/>
          <w:szCs w:val="20"/>
          <w:color w:val="auto"/>
        </w:rPr>
      </w:pPr>
    </w:p>
    <w:p>
      <w:pPr>
        <w:ind w:left="460" w:hanging="452"/>
        <w:spacing w:after="0" w:line="256"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92"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Company'sassets shall be, and remain, the general unrestricted assets of the Company or Affiliate or Group Company.</w:t>
      </w:r>
    </w:p>
    <w:p>
      <w:pPr>
        <w:spacing w:after="0" w:line="214"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color w:val="auto"/>
        </w:rPr>
        <w:t>Notice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33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b w:val="1"/>
          <w:bCs w:val="1"/>
          <w:color w:val="auto"/>
        </w:rPr>
        <w:t>Right to Issue Other Shares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b w:val="1"/>
          <w:bCs w:val="1"/>
          <w:color w:val="auto"/>
        </w:rPr>
        <w:t>Quotation of Shares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00" w:lineRule="exact"/>
        <w:rPr>
          <w:sz w:val="20"/>
          <w:szCs w:val="20"/>
          <w:color w:val="auto"/>
        </w:rPr>
      </w:pPr>
    </w:p>
    <w:p>
      <w:pPr>
        <w:spacing w:after="0" w:line="21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b w:val="1"/>
          <w:bCs w:val="1"/>
          <w:color w:val="auto"/>
        </w:rPr>
        <w:t>Conformity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or deed of grant and/or Award Certificate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32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b w:val="1"/>
          <w:bCs w:val="1"/>
          <w:color w:val="auto"/>
        </w:rPr>
        <w:t>Dividend Equivalents.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w:t>
      </w:r>
    </w:p>
    <w:p>
      <w:pPr>
        <w:spacing w:after="0" w:line="3" w:lineRule="exact"/>
        <w:rPr>
          <w:sz w:val="20"/>
          <w:szCs w:val="20"/>
          <w:color w:val="auto"/>
        </w:rPr>
      </w:pPr>
    </w:p>
    <w:p>
      <w:pPr>
        <w:ind w:right="580" w:firstLine="8"/>
        <w:spacing w:after="0" w:line="260"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a Share on the dividend payment date for such dividend, in each case, with fractions computed to two decimal places. Such additional Units, if credited, shall vest on the same basis as the underlying Units. This provision shall not apply to Options.</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b w:val="1"/>
          <w:bCs w:val="1"/>
          <w:color w:val="auto"/>
        </w:rPr>
        <w:t>Adjustments.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33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b w:val="1"/>
          <w:bCs w:val="1"/>
          <w:color w:val="auto"/>
        </w:rPr>
        <w:t>Cancellation of Awards.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154"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b w:val="1"/>
          <w:bCs w:val="1"/>
          <w:color w:val="auto"/>
        </w:rPr>
        <w:t>Data Protection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b w:val="1"/>
          <w:bCs w:val="1"/>
          <w:color w:val="auto"/>
        </w:rPr>
        <w:t>Grant of Restricted Share Units.</w:t>
      </w:r>
    </w:p>
    <w:p>
      <w:pPr>
        <w:spacing w:after="0" w:line="135" w:lineRule="exact"/>
        <w:rPr>
          <w:sz w:val="20"/>
          <w:szCs w:val="20"/>
          <w:color w:val="auto"/>
        </w:rPr>
      </w:pPr>
    </w:p>
    <w:p>
      <w:pPr>
        <w:ind w:left="460" w:right="160" w:hanging="452"/>
        <w:spacing w:after="0" w:line="282"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7" w:name="page28"/>
    <w:bookmarkEnd w:id="27"/>
    <w:p>
      <w:pPr>
        <w:ind w:left="460" w:right="320" w:hanging="452"/>
        <w:spacing w:after="0" w:line="28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either made by a deed of grant executed by the Company and evidenced by an Award Certificate, or evidenced by a Grant Agreement, signed on behalf of the Company and, if required by the Board, countersigned by the relevant Participant.</w:t>
      </w:r>
    </w:p>
    <w:p>
      <w:pPr>
        <w:spacing w:after="0" w:line="67" w:lineRule="exact"/>
        <w:rPr>
          <w:rFonts w:ascii="Times New Roman" w:cs="Times New Roman" w:eastAsia="Times New Roman" w:hAnsi="Times New Roman"/>
          <w:sz w:val="18"/>
          <w:szCs w:val="18"/>
          <w:color w:val="auto"/>
        </w:rPr>
      </w:pPr>
    </w:p>
    <w:p>
      <w:pPr>
        <w:ind w:left="460" w:right="160" w:hanging="452"/>
        <w:spacing w:after="0" w:line="28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 RSU Participant to receive nor preclude such RSU Participant from receiving subsequently granted Restricted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number of Restricted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the applicable deed of grant or any other provision of this Plan:</w:t>
      </w:r>
    </w:p>
    <w:p>
      <w:pPr>
        <w:spacing w:after="0" w:line="131"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anniversary of the Date of Grant; and</w:t>
      </w:r>
    </w:p>
    <w:p>
      <w:pPr>
        <w:spacing w:after="0" w:line="107" w:lineRule="exact"/>
        <w:rPr>
          <w:rFonts w:ascii="Times New Roman" w:cs="Times New Roman" w:eastAsia="Times New Roman" w:hAnsi="Times New Roman"/>
          <w:sz w:val="18"/>
          <w:szCs w:val="18"/>
          <w:color w:val="auto"/>
        </w:rPr>
      </w:pPr>
    </w:p>
    <w:p>
      <w:pPr>
        <w:ind w:left="460" w:right="180" w:hanging="452"/>
        <w:spacing w:after="0" w:line="312"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Restricted Share Units credited pursuant to Section 2.14 shall vest simultaneously with the Restricted Share Units to which they relate, provided the Participant is continuously employed by the Company, or any of its Group Companies, from the Date of Grant until such Vesting Date,</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b w:val="1"/>
          <w:bCs w:val="1"/>
          <w:color w:val="auto"/>
        </w:rPr>
        <w:t>Settlement of Restricted Share Units.</w:t>
      </w:r>
    </w:p>
    <w:p>
      <w:pPr>
        <w:spacing w:after="0" w:line="135"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RSU Participant’s Grant Agreement or applicable deed of grant or any other provision of this Plan:</w:t>
      </w:r>
    </w:p>
    <w:p>
      <w:pPr>
        <w:spacing w:after="0" w:line="130" w:lineRule="exact"/>
        <w:rPr>
          <w:rFonts w:ascii="Times New Roman" w:cs="Times New Roman" w:eastAsia="Times New Roman" w:hAnsi="Times New Roman"/>
          <w:sz w:val="18"/>
          <w:szCs w:val="18"/>
          <w:color w:val="auto"/>
        </w:rPr>
      </w:pPr>
    </w:p>
    <w:p>
      <w:pPr>
        <w:ind w:left="920" w:right="300" w:hanging="453"/>
        <w:spacing w:after="0" w:line="282" w:lineRule="auto"/>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20" w:right="800" w:hanging="453"/>
        <w:spacing w:after="0" w:line="282" w:lineRule="auto"/>
        <w:tabs>
          <w:tab w:leader="none" w:pos="9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67" w:lineRule="exact"/>
        <w:rPr>
          <w:rFonts w:ascii="Times New Roman" w:cs="Times New Roman" w:eastAsia="Times New Roman" w:hAnsi="Times New Roman"/>
          <w:sz w:val="18"/>
          <w:szCs w:val="18"/>
          <w:color w:val="auto"/>
        </w:rPr>
      </w:pPr>
    </w:p>
    <w:p>
      <w:pPr>
        <w:ind w:left="920" w:right="200" w:hanging="467"/>
        <w:spacing w:after="0" w:line="266" w:lineRule="auto"/>
        <w:tabs>
          <w:tab w:leader="none" w:pos="9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 Section 4.2(1)), Shares (determined in accordance with Section 4.2(2)) or a combination thereof.</w:t>
      </w:r>
    </w:p>
    <w:p>
      <w:pPr>
        <w:spacing w:after="0" w:line="8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left="1020" w:right="340" w:hanging="567"/>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20" w:right="100" w:hanging="567"/>
        <w:spacing w:after="0" w:line="282" w:lineRule="auto"/>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67"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 RSU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100" w:hanging="452"/>
        <w:spacing w:after="0" w:line="26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81"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460" w:right="280" w:hanging="452"/>
        <w:spacing w:after="0" w:line="28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or applicable deed of grant and regardless of any adverse or potentially adverse tax or other consequences resulting from the following:</w:t>
      </w:r>
    </w:p>
    <w:p>
      <w:pPr>
        <w:spacing w:after="0" w:line="337" w:lineRule="exact"/>
        <w:rPr>
          <w:rFonts w:ascii="Times New Roman" w:cs="Times New Roman" w:eastAsia="Times New Roman" w:hAnsi="Times New Roman"/>
          <w:sz w:val="18"/>
          <w:szCs w:val="18"/>
          <w:color w:val="auto"/>
        </w:rPr>
      </w:pPr>
    </w:p>
    <w:p>
      <w:pPr>
        <w:ind w:left="1020" w:right="300" w:hanging="553"/>
        <w:spacing w:after="0" w:line="261"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or applicable deed of grant),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85" w:lineRule="exact"/>
        <w:rPr>
          <w:rFonts w:ascii="Times New Roman" w:cs="Times New Roman" w:eastAsia="Times New Roman" w:hAnsi="Times New Roman"/>
          <w:sz w:val="18"/>
          <w:szCs w:val="18"/>
          <w:color w:val="auto"/>
        </w:rPr>
      </w:pPr>
    </w:p>
    <w:p>
      <w:pPr>
        <w:ind w:left="1020" w:right="260" w:hanging="553"/>
        <w:spacing w:after="0" w:line="261"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applicable deed of grant), or as a result of such RSU Participant’s death or physical or psychological Incapacity, any unvested Restricted Share Units held by such RSU Participant shall vest on the RSU Termination Date.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b w:val="1"/>
          <w:bCs w:val="1"/>
          <w:color w:val="auto"/>
        </w:rPr>
        <w:t>Grant of Deferred Share Units.</w:t>
      </w:r>
    </w:p>
    <w:p>
      <w:pPr>
        <w:spacing w:after="0" w:line="135"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130" w:lineRule="exact"/>
        <w:rPr>
          <w:rFonts w:ascii="Times New Roman" w:cs="Times New Roman" w:eastAsia="Times New Roman" w:hAnsi="Times New Roman"/>
          <w:sz w:val="18"/>
          <w:szCs w:val="18"/>
          <w:color w:val="auto"/>
        </w:rPr>
      </w:pPr>
    </w:p>
    <w:p>
      <w:pPr>
        <w:ind w:left="460" w:right="400" w:hanging="452"/>
        <w:spacing w:after="0" w:line="28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either made by a deed of grant executed by the Company and evidenced by an Award Certificate, or evidenced by a Grant Agreement, signed on behalf of the Company.</w:t>
      </w:r>
    </w:p>
    <w:p>
      <w:pPr>
        <w:spacing w:after="0" w:line="67"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left="460" w:right="200" w:hanging="452"/>
        <w:spacing w:after="0" w:line="282"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b w:val="1"/>
          <w:bCs w:val="1"/>
          <w:color w:val="auto"/>
        </w:rPr>
        <w:t>Termination Right.</w:t>
      </w:r>
    </w:p>
    <w:p>
      <w:pPr>
        <w:spacing w:after="0" w:line="135" w:lineRule="exact"/>
        <w:rPr>
          <w:sz w:val="20"/>
          <w:szCs w:val="20"/>
          <w:color w:val="auto"/>
        </w:rPr>
      </w:pPr>
    </w:p>
    <w:p>
      <w:pPr>
        <w:jc w:val="both"/>
        <w:ind w:left="460" w:right="140" w:hanging="452"/>
        <w:spacing w:after="0" w:line="266" w:lineRule="auto"/>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131" w:lineRule="exact"/>
        <w:rPr>
          <w:sz w:val="20"/>
          <w:szCs w:val="20"/>
          <w:color w:val="auto"/>
        </w:rPr>
      </w:pPr>
    </w:p>
    <w:p>
      <w:pPr>
        <w:ind w:left="460" w:right="100" w:hanging="452"/>
        <w:spacing w:after="0" w:line="282"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35" w:lineRule="exact"/>
        <w:rPr>
          <w:sz w:val="20"/>
          <w:szCs w:val="20"/>
          <w:color w:val="auto"/>
        </w:rPr>
      </w:pPr>
    </w:p>
    <w:p>
      <w:pPr>
        <w:ind w:left="460" w:right="100" w:hanging="452"/>
        <w:spacing w:after="0" w:line="282"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00" w:lineRule="exact"/>
        <w:rPr>
          <w:sz w:val="20"/>
          <w:szCs w:val="20"/>
          <w:color w:val="auto"/>
        </w:rPr>
      </w:pPr>
    </w:p>
    <w:p>
      <w:pPr>
        <w:spacing w:after="0" w:line="2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35" w:lineRule="exact"/>
        <w:rPr>
          <w:sz w:val="20"/>
          <w:szCs w:val="20"/>
          <w:color w:val="auto"/>
        </w:rPr>
      </w:pPr>
    </w:p>
    <w:p>
      <w:pPr>
        <w:ind w:left="460" w:right="320" w:hanging="452"/>
        <w:spacing w:after="0" w:line="28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DSU Participants will not have any right to receive any benefit under the Plan in respect of a Deferred Share Unit until the DSU Termination Date.</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b w:val="1"/>
          <w:bCs w:val="1"/>
          <w:color w:val="auto"/>
        </w:rPr>
        <w:t>Settlement in respect of Deferred Share Units.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67" w:lineRule="exact"/>
        <w:rPr>
          <w:sz w:val="20"/>
          <w:szCs w:val="20"/>
          <w:color w:val="auto"/>
        </w:rPr>
      </w:pPr>
    </w:p>
    <w:p>
      <w:pPr>
        <w:ind w:left="460" w:right="200" w:hanging="452"/>
        <w:spacing w:after="0" w:line="261"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85"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130" w:lineRule="exact"/>
        <w:rPr>
          <w:rFonts w:ascii="Times New Roman" w:cs="Times New Roman" w:eastAsia="Times New Roman" w:hAnsi="Times New Roman"/>
          <w:sz w:val="18"/>
          <w:szCs w:val="18"/>
          <w:color w:val="auto"/>
        </w:rPr>
      </w:pPr>
    </w:p>
    <w:p>
      <w:pPr>
        <w:jc w:val="both"/>
        <w:ind w:left="1020" w:hanging="567"/>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 representative (or such other person as is referred to in Section 2.8), as the case may be, representing the Cash Equivalent;</w:t>
      </w:r>
    </w:p>
    <w:p>
      <w:pPr>
        <w:spacing w:after="0" w:line="108" w:lineRule="exact"/>
        <w:rPr>
          <w:rFonts w:ascii="Times New Roman" w:cs="Times New Roman" w:eastAsia="Times New Roman" w:hAnsi="Times New Roman"/>
          <w:sz w:val="18"/>
          <w:szCs w:val="18"/>
          <w:color w:val="auto"/>
        </w:rPr>
      </w:pPr>
    </w:p>
    <w:p>
      <w:pPr>
        <w:ind w:left="1020" w:right="160" w:hanging="553"/>
        <w:spacing w:after="0" w:line="282" w:lineRule="auto"/>
        <w:tabs>
          <w:tab w:leader="none" w:pos="102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1080" w:hanging="487"/>
        <w:spacing w:after="0"/>
        <w:tabs>
          <w:tab w:leader="none" w:pos="1080" w:val="left"/>
        </w:tabs>
        <w:numPr>
          <w:ilvl w:val="3"/>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 Equivalent, a combination of (a) and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0" w:name="page31"/>
    <w:bookmarkEnd w:id="30"/>
    <w:p>
      <w:pPr>
        <w:ind w:left="540" w:right="460" w:hanging="532"/>
        <w:spacing w:after="0" w:line="184" w:lineRule="auto"/>
        <w:tabs>
          <w:tab w:leader="none" w:pos="540" w:val="left"/>
        </w:tabs>
        <w:numPr>
          <w:ilvl w:val="0"/>
          <w:numId w:val="6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Notwithstanding any other provision of the Plan, the Company may require as a condition of settlement that the DSU Participant enters into a Section 431 Election with their employer in respect of any Shares to be acquired.</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220" w:hanging="452"/>
        <w:spacing w:after="0" w:line="268"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76"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DSU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b w:val="1"/>
          <w:bCs w:val="1"/>
          <w:color w:val="auto"/>
        </w:rPr>
        <w:t>Grant of Incentive Share Units</w:t>
      </w:r>
    </w:p>
    <w:p>
      <w:pPr>
        <w:spacing w:after="0" w:line="135" w:lineRule="exact"/>
        <w:rPr>
          <w:sz w:val="20"/>
          <w:szCs w:val="20"/>
          <w:color w:val="auto"/>
        </w:rPr>
      </w:pPr>
    </w:p>
    <w:p>
      <w:pPr>
        <w:ind w:left="460" w:right="200" w:hanging="452"/>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either made by a deed of grant executed by the Company and evidenced by an Award Certificate, or evidenced by a Grant Agreement, signed on behalf of the Company.</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3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Each ISU Participant’s Grant Agreement or the applicable deed of grant shall describe the Performance Criteria established by the Board that must be achieved for Incentive Share Units to vest to the ISU Participant, provided the ISU Participant is continuously 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b w:val="1"/>
          <w:bCs w:val="1"/>
          <w:color w:val="auto"/>
        </w:rPr>
        <w:t>Settlement of Incentive Share Units.</w:t>
      </w:r>
    </w:p>
    <w:p>
      <w:pPr>
        <w:spacing w:after="0" w:line="135"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the applicable deed of grant, or any other provision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1" w:name="page32"/>
    <w:bookmarkEnd w:id="31"/>
    <w:p>
      <w:pPr>
        <w:ind w:left="1020" w:right="260" w:hanging="567"/>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440" w:hanging="567"/>
        <w:spacing w:after="0" w:line="282"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67" w:lineRule="exact"/>
        <w:rPr>
          <w:rFonts w:ascii="Times New Roman" w:cs="Times New Roman" w:eastAsia="Times New Roman" w:hAnsi="Times New Roman"/>
          <w:sz w:val="18"/>
          <w:szCs w:val="18"/>
          <w:color w:val="auto"/>
        </w:rPr>
      </w:pPr>
    </w:p>
    <w:p>
      <w:pPr>
        <w:ind w:left="1020" w:right="180" w:hanging="567"/>
        <w:spacing w:after="0" w:line="266"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 Section 7.2(1)), Shares (determined in accordance with Section 7.2(2)) or a combination thereof.</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130" w:lineRule="exact"/>
        <w:rPr>
          <w:rFonts w:ascii="Times New Roman" w:cs="Times New Roman" w:eastAsia="Times New Roman" w:hAnsi="Times New Roman"/>
          <w:sz w:val="18"/>
          <w:szCs w:val="18"/>
          <w:color w:val="auto"/>
        </w:rPr>
      </w:pPr>
    </w:p>
    <w:p>
      <w:pPr>
        <w:ind w:left="1020" w:right="120" w:hanging="553"/>
        <w:spacing w:after="0" w:line="282" w:lineRule="auto"/>
        <w:tabs>
          <w:tab w:leader="none" w:pos="102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20" w:right="60" w:hanging="567"/>
        <w:spacing w:after="0" w:line="282" w:lineRule="auto"/>
        <w:tabs>
          <w:tab w:leader="none" w:pos="102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94"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67" w:lineRule="exact"/>
        <w:rPr>
          <w:rFonts w:ascii="Times New Roman" w:cs="Times New Roman" w:eastAsia="Times New Roman" w:hAnsi="Times New Roman"/>
          <w:sz w:val="18"/>
          <w:szCs w:val="18"/>
          <w:color w:val="auto"/>
        </w:rPr>
      </w:pPr>
    </w:p>
    <w:p>
      <w:pPr>
        <w:ind w:left="460" w:right="140" w:hanging="452"/>
        <w:spacing w:after="0" w:line="272" w:lineRule="auto"/>
        <w:tabs>
          <w:tab w:leader="none" w:pos="4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1" w:lineRule="exact"/>
        <w:rPr>
          <w:rFonts w:ascii="Times New Roman" w:cs="Times New Roman" w:eastAsia="Times New Roman" w:hAnsi="Times New Roman"/>
          <w:sz w:val="17"/>
          <w:szCs w:val="17"/>
          <w:color w:val="auto"/>
        </w:rPr>
      </w:pPr>
    </w:p>
    <w:p>
      <w:pPr>
        <w:ind w:left="460" w:right="20" w:hanging="452"/>
        <w:spacing w:after="0" w:line="260"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160" w:hanging="452"/>
        <w:spacing w:after="0" w:line="262"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81"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 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or applicable deed of grant and regardless of any adverse or potentially adverse tax or other consequences resulting from the following, if a ISU Participant ceases to be an Eligible Person for any reason, any unvested Incentive Share Units held by such ISU Participant shall Expire on the ISU Termination Date and be of no further force or effect whatsoever and such Participant shall no longer be eligible for a grant of ISUs.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b w:val="1"/>
          <w:bCs w:val="1"/>
          <w:color w:val="auto"/>
        </w:rPr>
        <w:t>Conversion or Exchange of Units.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or deed of grant or Award Certificate,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2" w:name="page33"/>
    <w:bookmarkEnd w:id="32"/>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b w:val="1"/>
          <w:bCs w:val="1"/>
          <w:color w:val="auto"/>
        </w:rPr>
        <w:t>Notice to Participants.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3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b w:val="1"/>
          <w:bCs w:val="1"/>
          <w:color w:val="auto"/>
        </w:rPr>
        <w:t>Acceleration of Vesting.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applicable deed of grant, or Award Certificate,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 applicable deed of grant, or Award Certificate.</w:t>
      </w:r>
    </w:p>
    <w:p>
      <w:pPr>
        <w:spacing w:after="0" w:line="116" w:lineRule="exact"/>
        <w:rPr>
          <w:sz w:val="20"/>
          <w:szCs w:val="20"/>
          <w:color w:val="auto"/>
        </w:rPr>
      </w:pPr>
    </w:p>
    <w:p>
      <w:pPr>
        <w:ind w:left="12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8"/>
          <w:szCs w:val="18"/>
          <w:b w:val="1"/>
          <w:bCs w:val="1"/>
          <w:color w:val="auto"/>
        </w:rPr>
        <w:t>Effect of Change of Control</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8"/>
          <w:szCs w:val="18"/>
          <w:b w:val="1"/>
          <w:bCs w:val="1"/>
          <w:color w:val="auto"/>
        </w:rPr>
        <w:t>Court Sanction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 8.6 below and unless the Board determines otherwise, Expire immediately after such sanction.</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8"/>
          <w:szCs w:val="18"/>
          <w:b w:val="1"/>
          <w:bCs w:val="1"/>
          <w:color w:val="auto"/>
        </w:rPr>
        <w:t>Replacement of Units</w:t>
      </w:r>
    </w:p>
    <w:p>
      <w:pPr>
        <w:spacing w:after="0" w:line="229" w:lineRule="exact"/>
        <w:rPr>
          <w:sz w:val="20"/>
          <w:szCs w:val="20"/>
          <w:color w:val="auto"/>
        </w:rPr>
      </w:pPr>
    </w:p>
    <w:p>
      <w:pPr>
        <w:ind w:left="760" w:right="440" w:hanging="378"/>
        <w:spacing w:after="0" w:line="276" w:lineRule="auto"/>
        <w:tabs>
          <w:tab w:leader="none" w:pos="7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7"/>
          <w:szCs w:val="17"/>
          <w:b w:val="1"/>
          <w:bCs w:val="1"/>
          <w:color w:val="auto"/>
        </w:rPr>
        <w:t>New Unit Award</w:t>
      </w:r>
      <w:r>
        <w:rPr>
          <w:rFonts w:ascii="Times New Roman" w:cs="Times New Roman" w:eastAsia="Times New Roman" w:hAnsi="Times New Roman"/>
          <w:sz w:val="17"/>
          <w:szCs w:val="17"/>
          <w:color w:val="auto"/>
        </w:rPr>
        <w:t>").</w:t>
      </w: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3"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Grant of Options</w:t>
      </w:r>
    </w:p>
    <w:p>
      <w:pPr>
        <w:spacing w:after="0" w:line="31" w:lineRule="exact"/>
        <w:rPr>
          <w:sz w:val="20"/>
          <w:szCs w:val="20"/>
          <w:color w:val="auto"/>
        </w:rPr>
      </w:pPr>
    </w:p>
    <w:p>
      <w:pPr>
        <w:ind w:left="1440" w:right="2020" w:hanging="1328"/>
        <w:spacing w:after="0" w:line="250" w:lineRule="auto"/>
        <w:tabs>
          <w:tab w:leader="none" w:pos="1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 limitations set forth herein and such other terms, conditions and limitations permitted by and not inconsistent with this Plan as the Board may determine.</w:t>
      </w:r>
    </w:p>
    <w:p>
      <w:pPr>
        <w:spacing w:after="0" w:line="1" w:lineRule="exact"/>
        <w:rPr>
          <w:rFonts w:ascii="Times New Roman" w:cs="Times New Roman" w:eastAsia="Times New Roman" w:hAnsi="Times New Roman"/>
          <w:sz w:val="18"/>
          <w:szCs w:val="18"/>
          <w:color w:val="auto"/>
        </w:rPr>
      </w:pPr>
    </w:p>
    <w:p>
      <w:pPr>
        <w:ind w:left="1440" w:right="2060" w:hanging="1328"/>
        <w:spacing w:after="0" w:line="250" w:lineRule="auto"/>
        <w:tabs>
          <w:tab w:leader="none" w:pos="1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shall be either made by a deed of grant executed by the Company and evidenced by an Award Certificate, or evidenced by a Grant Agreement, signed on behalf of the Company. Among its other provisions, each Grant Agreement or Award Certificate will set forth: (a) the number of Shares subject to such Option; and (b) the extent to which the Option Participant will have the right to exercise the Option following the Option Termination Date. Such provisions will be determined in the discretion of the Board and included in the Grant Agreement or deed of grant and Award Certificate, and they need not be uniform among all Options issued pursuant to the Plan or to the same Option Participant.</w:t>
      </w:r>
    </w:p>
    <w:p>
      <w:pPr>
        <w:spacing w:after="0" w:line="2" w:lineRule="exact"/>
        <w:rPr>
          <w:rFonts w:ascii="Times New Roman" w:cs="Times New Roman" w:eastAsia="Times New Roman" w:hAnsi="Times New Roman"/>
          <w:sz w:val="18"/>
          <w:szCs w:val="18"/>
          <w:color w:val="auto"/>
        </w:rPr>
      </w:pPr>
    </w:p>
    <w:p>
      <w:pPr>
        <w:jc w:val="both"/>
        <w:ind w:left="1440" w:right="2180" w:hanging="1328"/>
        <w:spacing w:after="0" w:line="255" w:lineRule="auto"/>
        <w:tabs>
          <w:tab w:leader="none" w:pos="14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pacing w:after="0" w:line="182"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9.2</w:t>
      </w:r>
      <w:r>
        <w:rPr>
          <w:sz w:val="20"/>
          <w:szCs w:val="20"/>
          <w:color w:val="auto"/>
        </w:rPr>
        <w:tab/>
      </w:r>
      <w:r>
        <w:rPr>
          <w:rFonts w:ascii="Times New Roman" w:cs="Times New Roman" w:eastAsia="Times New Roman" w:hAnsi="Times New Roman"/>
          <w:sz w:val="17"/>
          <w:szCs w:val="17"/>
          <w:b w:val="1"/>
          <w:bCs w:val="1"/>
          <w:color w:val="auto"/>
        </w:rPr>
        <w:t>Option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3" w:name="page34"/>
    <w:bookmarkEnd w:id="33"/>
    <w:tbl>
      <w:tblPr>
        <w:tblLayout w:type="fixed"/>
        <w:tblInd w:w="8"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exercise price per Share under each Option will be specified in the relevant Grant Agreement or</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applicable deed of grant (and set out in the Award Certificate) but shall not be less than the nominal value</w:t>
            </w:r>
          </w:p>
        </w:tc>
      </w:tr>
      <w:tr>
        <w:trPr>
          <w:trHeight w:val="234"/>
        </w:trPr>
        <w:tc>
          <w:tcPr>
            <w:tcW w:w="1060" w:type="dxa"/>
            <w:vAlign w:val="bottom"/>
          </w:tcPr>
          <w:p>
            <w:pPr>
              <w:spacing w:after="0"/>
              <w:rPr>
                <w:sz w:val="20"/>
                <w:szCs w:val="20"/>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a Share in the case of an Option to subscribe for Shares</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2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term of the Option will be ten (10) years from the Date of Grant.</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Subject to Section 9.5 and Article 11, the Board will determine the time or times at which an Option may be</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exercised, in whole or in part. Each Option may specify a required period of continuous employment, the</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Performance Criteria or any other requirements to be achieved before the Option or portion thereof will vest</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and/or become exercisable. Each Option, the exercise of which, or the timing of the exercise of which, is</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dependent, in whole or in part, on the achievement of designated Performance Criteria, may specify a</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minimum level of achievement in respect of the specified Performance Criteria below which such Option</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will not be exercisable and a method for determining the extent to which such Option will be exercisable if</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performance is at or above such minimum but short of full achievement of the Performance Criteria. All</w:t>
            </w: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such particular terms and conditions of the Option will be set forth in the Grant Agreement or applicable</w:t>
            </w:r>
          </w:p>
        </w:tc>
      </w:tr>
      <w:tr>
        <w:trPr>
          <w:trHeight w:val="234"/>
        </w:trPr>
        <w:tc>
          <w:tcPr>
            <w:tcW w:w="1060" w:type="dxa"/>
            <w:vAlign w:val="bottom"/>
          </w:tcPr>
          <w:p>
            <w:pPr>
              <w:spacing w:after="0"/>
              <w:rPr>
                <w:sz w:val="20"/>
                <w:szCs w:val="20"/>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deed of grant. An Option cannot be exercised after the end of the term of the Option.</w:t>
            </w: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Lapse</w:t>
            </w:r>
          </w:p>
        </w:tc>
        <w:tc>
          <w:tcPr>
            <w:tcW w:w="726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 Option shall immediately Expire and cease to be capable of vesting or exercise on the earliest to occur</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726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tenth anniversary of the Date of Grant;</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date specified for the Options to Expire in the Grant Agreement or applicable deed of grant;</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expiry of any of the periods referred to in Article 11;</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date on which it is purported to be transferred or assigned (other than by reason of death in</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accordance with Section 2.8(b)), mortgaged, charged or otherwise disposed of by the Option</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presentation of any petition to any court of competent jurisdiction by which an order is sought</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bankruptcy of the Option Participant (or any analogous proceeding in any jurisdiction);</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the Option Participant making an application for an interim order or any proposal for a</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voluntary arrangement within Part VIII of the Insolvency Act 1986 (or any analogous proceeding</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any jurisdiction);</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the Option Participant proposing any form of compromise with his creditors or any class of</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 (or any analogous proceeding in any jurisdiction); and</w:t>
            </w:r>
          </w:p>
        </w:tc>
      </w:tr>
      <w:tr>
        <w:trPr>
          <w:trHeight w:val="216"/>
        </w:trPr>
        <w:tc>
          <w:tcPr>
            <w:tcW w:w="106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date on which the Option Participant is deprived (otherwise than on death) of the legal or</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 ownership of the Option by operation of law or by the Option Participant doing or</w:t>
            </w:r>
          </w:p>
        </w:tc>
      </w:tr>
      <w:tr>
        <w:trPr>
          <w:trHeight w:val="234"/>
        </w:trPr>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omitting to do anything which causes him to be so deprived.</w:t>
            </w:r>
          </w:p>
        </w:tc>
      </w:tr>
    </w:tbl>
    <w:p>
      <w:pPr>
        <w:spacing w:after="0" w:line="194"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p>
      <w:pPr>
        <w:spacing w:after="0" w:line="20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Exercise of Option</w:t>
      </w:r>
    </w:p>
    <w:p>
      <w:pPr>
        <w:spacing w:after="0" w:line="31" w:lineRule="exact"/>
        <w:rPr>
          <w:sz w:val="20"/>
          <w:szCs w:val="20"/>
          <w:color w:val="auto"/>
        </w:rPr>
      </w:pPr>
    </w:p>
    <w:p>
      <w:pPr>
        <w:ind w:left="1328" w:right="979" w:hanging="1328"/>
        <w:spacing w:after="0" w:line="250" w:lineRule="auto"/>
        <w:tabs>
          <w:tab w:leader="none" w:pos="1328"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11 below and subject to the terms of the Grant Agreement or applicable deed of grant, an Option may only be exercised to the extent it has vested in accordance with the terms of the Grant Agreement or as set out in the applicable deed of grant.</w:t>
      </w:r>
    </w:p>
    <w:p>
      <w:pPr>
        <w:spacing w:after="0" w:line="1" w:lineRule="exact"/>
        <w:rPr>
          <w:rFonts w:ascii="Times New Roman" w:cs="Times New Roman" w:eastAsia="Times New Roman" w:hAnsi="Times New Roman"/>
          <w:sz w:val="18"/>
          <w:szCs w:val="18"/>
          <w:b w:val="1"/>
          <w:bCs w:val="1"/>
          <w:color w:val="auto"/>
        </w:rPr>
      </w:pPr>
    </w:p>
    <w:p>
      <w:pPr>
        <w:ind w:left="1328" w:right="1099" w:hanging="1328"/>
        <w:spacing w:after="0" w:line="250" w:lineRule="auto"/>
        <w:tabs>
          <w:tab w:leader="none" w:pos="1328"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ind w:left="2048" w:right="979" w:hanging="725"/>
        <w:spacing w:after="0" w:line="250" w:lineRule="auto"/>
        <w:tabs>
          <w:tab w:leader="none" w:pos="20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Agreement or Award Certificate covering at least all of the Shares over which the Option is then to be exercised;</w:t>
      </w:r>
    </w:p>
    <w:p>
      <w:pPr>
        <w:ind w:left="2048" w:right="1019" w:hanging="725"/>
        <w:spacing w:after="0" w:line="273" w:lineRule="auto"/>
        <w:tabs>
          <w:tab w:leader="none" w:pos="204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of Exercise in the prescribed form duly completed and signed by the 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537210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34" w:name="page35"/>
    <w:bookmarkEnd w:id="34"/>
    <w:p>
      <w:pPr>
        <w:ind w:left="2048" w:right="1039" w:hanging="725"/>
        <w:spacing w:after="0" w:line="261" w:lineRule="auto"/>
        <w:tabs>
          <w:tab w:leader="none" w:pos="2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ind w:left="2048" w:right="1019" w:hanging="725"/>
        <w:spacing w:after="0" w:line="250" w:lineRule="auto"/>
        <w:tabs>
          <w:tab w:leader="none" w:pos="2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1" w:lineRule="exact"/>
        <w:rPr>
          <w:rFonts w:ascii="Times New Roman" w:cs="Times New Roman" w:eastAsia="Times New Roman" w:hAnsi="Times New Roman"/>
          <w:sz w:val="18"/>
          <w:szCs w:val="18"/>
          <w:color w:val="auto"/>
        </w:rPr>
      </w:pPr>
    </w:p>
    <w:p>
      <w:pPr>
        <w:ind w:left="2048" w:right="1159" w:hanging="725"/>
        <w:spacing w:after="0" w:line="250" w:lineRule="auto"/>
        <w:tabs>
          <w:tab w:leader="none" w:pos="204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ind w:left="1328" w:right="1439" w:hanging="1328"/>
        <w:spacing w:after="0" w:line="250" w:lineRule="auto"/>
        <w:tabs>
          <w:tab w:leader="none" w:pos="13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ind w:left="2048" w:right="1059" w:hanging="725"/>
        <w:spacing w:after="0" w:line="250" w:lineRule="auto"/>
        <w:tabs>
          <w:tab w:leader="none" w:pos="20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their Option Cash Equivalent, a cheque to the Option Participant (or such other person as is referred to in Section 2.8) or wire or bank transfer of cash representing the Option Cash Equivalent;</w:t>
      </w:r>
    </w:p>
    <w:p>
      <w:pPr>
        <w:spacing w:after="0" w:line="1"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ind w:left="2048" w:right="999" w:hanging="725"/>
        <w:spacing w:after="0" w:line="250" w:lineRule="auto"/>
        <w:tabs>
          <w:tab w:leader="none" w:pos="204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ind w:left="1328" w:right="1059" w:hanging="1328"/>
        <w:spacing w:after="0" w:line="253" w:lineRule="auto"/>
        <w:tabs>
          <w:tab w:leader="none" w:pos="13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18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Option Cash Equivalent</w:t>
      </w:r>
    </w:p>
    <w:p>
      <w:pPr>
        <w:spacing w:after="0" w:line="31" w:lineRule="exact"/>
        <w:rPr>
          <w:sz w:val="20"/>
          <w:szCs w:val="20"/>
          <w:color w:val="auto"/>
        </w:rPr>
      </w:pPr>
    </w:p>
    <w:p>
      <w:pPr>
        <w:ind w:left="1328"/>
        <w:spacing w:after="0"/>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w:t>
      </w:r>
    </w:p>
    <w:p>
      <w:pPr>
        <w:spacing w:after="0" w:line="9" w:lineRule="exact"/>
        <w:rPr>
          <w:sz w:val="20"/>
          <w:szCs w:val="20"/>
          <w:color w:val="auto"/>
        </w:rPr>
      </w:pPr>
    </w:p>
    <w:p>
      <w:pPr>
        <w:ind w:left="1328" w:right="959" w:hanging="5"/>
        <w:spacing w:after="0" w:line="253" w:lineRule="auto"/>
        <w:tabs>
          <w:tab w:leader="none" w:pos="15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10.1(3)(c), such calculation will be made on the effective date of exercise based on the Market Value on the effective date of exercise multiplied by the number of Shares in respect of which the Option is being exercised and in respect of which the Option Participant desires to settle in cash pursuant to the Notice of Exercise.</w:t>
      </w:r>
    </w:p>
    <w:p>
      <w:pPr>
        <w:spacing w:after="0" w:line="200" w:lineRule="exact"/>
        <w:rPr>
          <w:sz w:val="20"/>
          <w:szCs w:val="20"/>
          <w:color w:val="auto"/>
        </w:rPr>
      </w:pPr>
    </w:p>
    <w:p>
      <w:pPr>
        <w:spacing w:after="0" w:line="20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p>
      <w:pPr>
        <w:spacing w:after="0" w:line="9"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Notice to Participants</w:t>
      </w:r>
    </w:p>
    <w:p>
      <w:pPr>
        <w:spacing w:after="0" w:line="9" w:lineRule="exact"/>
        <w:rPr>
          <w:sz w:val="20"/>
          <w:szCs w:val="20"/>
          <w:color w:val="auto"/>
        </w:rPr>
      </w:pPr>
    </w:p>
    <w:p>
      <w:pPr>
        <w:ind w:left="1328" w:right="919" w:hanging="1328"/>
        <w:spacing w:after="0" w:line="250" w:lineRule="auto"/>
        <w:tabs>
          <w:tab w:leader="none" w:pos="1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(including one which may fall within Section 11.2 or Section 11.3 before), the Options shall be treated in the manner prescribed by the definitive agreement (if any) for such Change of Control. If there is no agreement for such a Change of Control, or there is no provisions prescribing the treatment of Options therein, the Company may (only if and to the extent not prohibited by applicable laws, regulations or the rules of any Stock Exchange upon which the Shares are listed), but shall not be obliged to, give written notice of the proposed Change of Control to Participants, together with a description of the effect of such Change of Control on outstanding Options, not less than seven (7) days prior to the closing of the transaction resulting in the Change of Control (the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328" w:right="939" w:hanging="1328"/>
        <w:spacing w:after="0" w:line="251" w:lineRule="auto"/>
        <w:tabs>
          <w:tab w:leader="none" w:pos="13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 exercise his Option to the extent specified in Section 11.4 by delivering his Notice of Exercise and the aggregate Option Price (under the procedure in Section 10.1(2) or such other procedure as may be specified by the Board in the Change of Control Notice) at any time in the period commencing on the Option Participant's receipt of the Notification and ending immediately prior to such Change of Control. Any Notice of Exercise delivered in accordance with this Section 11.1(2) prior to such Change of Control shall take effect immediately before Change of Control takes effect. The Option shall, to the extent unexercised, lapse immediately following the Change of Control unless the Acquiror has informed the Board that it intends to offer to grant Option Participants new options in accordance with Section 11.5, in which case the Option shall cease to be exercisable following the Change of Control under this Plan, but may still be released under Section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549910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35" w:name="page36"/>
    <w:bookmarkEnd w:id="35"/>
    <w:p>
      <w:pPr>
        <w:ind w:left="1328" w:right="1199"/>
        <w:spacing w:after="0" w:line="261" w:lineRule="auto"/>
        <w:rPr>
          <w:sz w:val="20"/>
          <w:szCs w:val="20"/>
          <w:color w:val="auto"/>
        </w:rPr>
      </w:pPr>
      <w:r>
        <w:rPr>
          <w:rFonts w:ascii="Times New Roman" w:cs="Times New Roman" w:eastAsia="Times New Roman" w:hAnsi="Times New Roman"/>
          <w:sz w:val="18"/>
          <w:szCs w:val="18"/>
          <w:color w:val="auto"/>
        </w:rPr>
        <w:t>within the period of six months following the Change of Control and on the expiry of the said six month period the Option shall lapse.</w:t>
      </w:r>
    </w:p>
    <w:p>
      <w:pPr>
        <w:ind w:left="1328" w:right="919" w:hanging="1328"/>
        <w:spacing w:after="0" w:line="253" w:lineRule="auto"/>
        <w:tabs>
          <w:tab w:leader="none" w:pos="1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 Change of Control and/or there is no provisions prescribing the treatment of Options therein then subject to Section 11.2 and 11.5 below, the Option may be exercised within six months of a Change of Control to the extent specified in Section 11.4, and on the expiry of the said six month period the Option shall, to the extent unexercised, Expire and cease to be capable of exercise.</w:t>
      </w:r>
    </w:p>
    <w:p>
      <w:pPr>
        <w:sectPr>
          <w:pgSz w:w="11900" w:h="16838" w:orient="portrait"/>
          <w:cols w:equalWidth="0" w:num="1">
            <w:col w:w="10028"/>
          </w:cols>
          <w:pgMar w:left="432" w:top="769" w:right="1440" w:bottom="1440" w:gutter="0" w:footer="0" w:header="0"/>
        </w:sectPr>
      </w:pP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Sanction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Act in connection with a Change of Control (a "</w:t>
      </w:r>
      <w:r>
        <w:rPr>
          <w:rFonts w:ascii="Times New Roman" w:cs="Times New Roman" w:eastAsia="Times New Roman" w:hAnsi="Times New Roman"/>
          <w:sz w:val="17"/>
          <w:szCs w:val="17"/>
          <w:b w:val="1"/>
          <w:bCs w:val="1"/>
          <w:color w:val="auto"/>
        </w:rPr>
        <w:t>Compromise</w:t>
      </w:r>
      <w:r>
        <w:rPr>
          <w:rFonts w:ascii="Times New Roman" w:cs="Times New Roman" w:eastAsia="Times New Roman" w:hAnsi="Times New Roman"/>
          <w:sz w:val="17"/>
          <w:szCs w:val="17"/>
          <w:color w:val="auto"/>
        </w:rPr>
        <w:t>"), then subject to Section 11.1(1)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and 11.5 below, the Option may be exercised to the extent specified in Section 11.4 within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the date on which such Compromise is so sanctioned, and on the expiry of the said six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Option shall, to the extent unexercised, Expire and cease to be capable of exercise.</w:t>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Squeeze-out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subject to Section 11.1(1) above and Section 11.5 below, an Option may be exercised to the extent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in Section 11.4 at any time when that person remains so bound or entitled and to the extent not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shall lapse at the expiry of such period.</w:t>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2084705</wp:posOffset>
            </wp:positionV>
            <wp:extent cx="889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Extent of exercise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relevant Grant Agreement or applicable deed of grant, an Option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under this Article 11 to the extent it has vested pursuant to the Grant Agreement or as set out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deed of grant as at the date of: (i) the Change of Control if Section 11.1(2) or (3) applies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where Section 11.1(2) applies, the Option may be exercised to the extent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have been vested on the Change of Control if not exercised immediately prior); (ii) the date on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Compromise is sanctioned if Section 11.2 applies; or (iii) the date on which a person becomes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acquire shares if Section 11.3 applied. Notwithstanding the foregoing, the Board may, in its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accelerate the vesting of any or all outstanding Options, including conditionally, to provide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vesting provisions of such Options or any Grant Agreement, deed of grant, or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such designated outstanding Options shall be vested upon (or prior to) the completion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(or, if relevant, prior to the sanctioning of a Compromise as contemplated by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or a person becoming bound or entitled to acquire shares as contemplated by Section 11.3). If,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the Change of Control or relevant event does not occur, the acceleration of the vesting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shall be retracted and vesting shall instead revert to the manner provided in the Grant Agreement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deed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5715</wp:posOffset>
            </wp:positionV>
            <wp:extent cx="825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8255" cy="1371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5715</wp:posOffset>
            </wp:positionV>
            <wp:extent cx="825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7"/>
          <w:szCs w:val="17"/>
          <w:b w:val="1"/>
          <w:bCs w:val="1"/>
          <w:color w:val="auto"/>
        </w:rPr>
        <w:t>Replacement Options</w:t>
      </w:r>
    </w:p>
    <w:p>
      <w:pPr>
        <w:spacing w:after="0" w:line="31" w:lineRule="exact"/>
        <w:rPr>
          <w:sz w:val="20"/>
          <w:szCs w:val="20"/>
          <w:color w:val="auto"/>
        </w:rPr>
      </w:pPr>
    </w:p>
    <w:p>
      <w:pPr>
        <w:ind w:left="1328" w:right="959" w:hanging="1328"/>
        <w:spacing w:after="0" w:line="250" w:lineRule="auto"/>
        <w:tabs>
          <w:tab w:leader="none" w:pos="13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deed of grant, or Award Certificate, the Board has the right to provide for the conversion, replacement, or exchange of any outstanding Options into or for options, rights or other securities in any entity participating in or resulting from a Change of Control, provided that the value of previously granted Options and the rights of Participants are not materially adversely affected by any such changes.</w:t>
      </w:r>
    </w:p>
    <w:p>
      <w:pPr>
        <w:spacing w:after="0" w:line="1" w:lineRule="exact"/>
        <w:rPr>
          <w:rFonts w:ascii="Times New Roman" w:cs="Times New Roman" w:eastAsia="Times New Roman" w:hAnsi="Times New Roman"/>
          <w:sz w:val="18"/>
          <w:szCs w:val="18"/>
          <w:color w:val="auto"/>
        </w:rPr>
      </w:pPr>
    </w:p>
    <w:p>
      <w:pPr>
        <w:ind w:left="1328" w:right="919" w:hanging="1328"/>
        <w:spacing w:after="0" w:line="250" w:lineRule="auto"/>
        <w:tabs>
          <w:tab w:leader="none" w:pos="13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28" w:right="1539" w:hanging="1328"/>
        <w:spacing w:after="0" w:line="250" w:lineRule="auto"/>
        <w:tabs>
          <w:tab w:leader="none" w:pos="13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ind w:left="1328" w:hanging="1328"/>
        <w:spacing w:after="0"/>
        <w:tabs>
          <w:tab w:leader="none" w:pos="132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9" w:lineRule="exact"/>
        <w:rPr>
          <w:rFonts w:ascii="Times New Roman" w:cs="Times New Roman" w:eastAsia="Times New Roman" w:hAnsi="Times New Roman"/>
          <w:sz w:val="18"/>
          <w:szCs w:val="18"/>
          <w:color w:val="auto"/>
        </w:rPr>
      </w:pPr>
    </w:p>
    <w:p>
      <w:pPr>
        <w:ind w:left="2048" w:right="919" w:hanging="725"/>
        <w:spacing w:after="0" w:line="260" w:lineRule="auto"/>
        <w:tabs>
          <w:tab w:leader="none" w:pos="204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542925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type w:val="continuous"/>
        </w:sectPr>
      </w:pPr>
    </w:p>
    <w:bookmarkStart w:id="36" w:name="page37"/>
    <w:bookmarkEnd w:id="36"/>
    <w:p>
      <w:pPr>
        <w:ind w:left="1040" w:right="1139" w:hanging="725"/>
        <w:spacing w:after="0" w:line="261"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w:t>
      </w:r>
    </w:p>
    <w:p>
      <w:pPr>
        <w:ind w:left="1040" w:right="1059" w:hanging="725"/>
        <w:spacing w:after="0" w:line="260" w:lineRule="auto"/>
        <w:tabs>
          <w:tab w:leader="none" w:pos="1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680085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 LONG TERM INCENTIVE PLAN</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Annex 1 to the Rezolve AI plc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221"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1 - PURPOSE AND INTERPRETATION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All references to Plan throughout the Non-Employee Plan shall, save where the context requires otherwise, refer to the Non-Employee Plan.</w:t>
      </w:r>
    </w:p>
    <w:p>
      <w:pPr>
        <w:spacing w:after="0" w:line="225" w:lineRule="exact"/>
        <w:rPr>
          <w:sz w:val="20"/>
          <w:szCs w:val="20"/>
          <w:color w:val="auto"/>
        </w:rPr>
      </w:pPr>
    </w:p>
    <w:p>
      <w:pPr>
        <w:ind w:left="760" w:right="30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the first paragraph of the Plan, the word "employees" shall be deleted and replaced with the words "directors, officers, and consultants and persons employed or engaged directly or indirectly to provide services"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221" w:lineRule="exact"/>
        <w:rPr>
          <w:sz w:val="20"/>
          <w:szCs w:val="20"/>
          <w:color w:val="auto"/>
        </w:rPr>
      </w:pPr>
    </w:p>
    <w:p>
      <w:pPr>
        <w:ind w:left="760" w:right="10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3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Date</w:t>
      </w:r>
      <w:r>
        <w:rPr>
          <w:rFonts w:ascii="Times New Roman" w:cs="Times New Roman" w:eastAsia="Times New Roman" w:hAnsi="Times New Roman"/>
          <w:sz w:val="17"/>
          <w:szCs w:val="17"/>
          <w:color w:val="auto"/>
        </w:rPr>
        <w:t>" means the date(s) during the Fiscal Year on which the Annual Board Retainer is awarded.</w:t>
      </w:r>
    </w:p>
    <w:p>
      <w:pPr>
        <w:spacing w:after="0" w:line="225" w:lineRule="exact"/>
        <w:rPr>
          <w:sz w:val="20"/>
          <w:szCs w:val="20"/>
          <w:color w:val="auto"/>
        </w:rPr>
      </w:pPr>
    </w:p>
    <w:p>
      <w:pPr>
        <w:ind w:left="760" w:right="2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3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In the Non-Employee plan, the following definitions shall be amended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right="22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 direct employee".</w:t>
      </w:r>
    </w:p>
    <w:p>
      <w:pPr>
        <w:spacing w:after="0" w:line="371" w:lineRule="exact"/>
        <w:rPr>
          <w:sz w:val="20"/>
          <w:szCs w:val="20"/>
          <w:color w:val="auto"/>
        </w:rPr>
      </w:pPr>
    </w:p>
    <w:p>
      <w:pPr>
        <w:ind w:left="760" w:right="14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371" w:lineRule="exact"/>
        <w:rPr>
          <w:sz w:val="20"/>
          <w:szCs w:val="20"/>
          <w:color w:val="auto"/>
        </w:rPr>
      </w:pPr>
    </w:p>
    <w:p>
      <w:pPr>
        <w:ind w:left="760" w:right="2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Consultant, or person employed or engaged directly or indirectly to provide services".</w:t>
      </w:r>
    </w:p>
    <w:p>
      <w:pPr>
        <w:spacing w:after="0" w:line="371" w:lineRule="exact"/>
        <w:rPr>
          <w:sz w:val="20"/>
          <w:szCs w:val="20"/>
          <w:color w:val="auto"/>
        </w:rPr>
      </w:pPr>
    </w:p>
    <w:p>
      <w:pPr>
        <w:ind w:left="760" w:right="2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371" w:lineRule="exact"/>
        <w:rPr>
          <w:sz w:val="20"/>
          <w:szCs w:val="20"/>
          <w:color w:val="auto"/>
        </w:rPr>
      </w:pPr>
    </w:p>
    <w:p>
      <w:pPr>
        <w:ind w:left="76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371" w:lineRule="exact"/>
        <w:rPr>
          <w:sz w:val="20"/>
          <w:szCs w:val="20"/>
          <w:color w:val="auto"/>
        </w:rPr>
      </w:pPr>
    </w:p>
    <w:p>
      <w:pPr>
        <w:ind w:left="760" w:right="1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155"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2 - GENERAL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In Section 2.2(a), the words "or the Rezolve AI plc Long Term Incentive Plan" shall be inserted after the words "sub-plan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2.2  Section 2.9(1) shall be deleted and replaced with the following:</w:t>
      </w:r>
    </w:p>
    <w:p>
      <w:pPr>
        <w:spacing w:after="0" w:line="225" w:lineRule="exact"/>
        <w:rPr>
          <w:sz w:val="20"/>
          <w:szCs w:val="20"/>
          <w:color w:val="auto"/>
        </w:rPr>
      </w:pPr>
    </w:p>
    <w:p>
      <w:pPr>
        <w:ind w:left="760" w:right="20" w:hanging="388"/>
        <w:spacing w:after="0" w:line="253"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or service, nor does the existence of such letter of appointment or contract for services or service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employment, or appointment shall not be affected by his participation under the Rules or any right he may have to participate. An individual who participates under the Rules waives all and any rights to compensation or damages in consequence of the termination of his office, engagement, employment, or appointment with any company for any reason whatsoever, whether lawful or not, in so far as those rights arise, or may arise, from his ceasing to have rights under or be entitled to the settlement of an Award under the Rules as a result of such termination or from the loss or diminution of value of such rights or entitlements. If necessary, the Participant's terms of engagement, appointment, employment, or retention shall be varied accordingly".</w:t>
      </w:r>
    </w:p>
    <w:p>
      <w:pPr>
        <w:spacing w:after="0" w:line="192" w:lineRule="exact"/>
        <w:rPr>
          <w:sz w:val="20"/>
          <w:szCs w:val="20"/>
          <w:color w:val="auto"/>
        </w:rPr>
      </w:pPr>
    </w:p>
    <w:p>
      <w:pPr>
        <w:ind w:left="760" w:right="20" w:hanging="748"/>
        <w:spacing w:after="0" w:line="282" w:lineRule="auto"/>
        <w:rPr>
          <w:sz w:val="20"/>
          <w:szCs w:val="20"/>
          <w:color w:val="auto"/>
        </w:rPr>
      </w:pPr>
      <w:r>
        <w:rPr>
          <w:rFonts w:ascii="Times New Roman" w:cs="Times New Roman" w:eastAsia="Times New Roman" w:hAnsi="Times New Roman"/>
          <w:sz w:val="18"/>
          <w:szCs w:val="18"/>
          <w:color w:val="auto"/>
        </w:rPr>
        <w:t>2.3 In Section 2.15, the words "or any Settlement Price (as later defined in the Plan in respect of any Units)" shall be inserted following the words "Option Price" throughout.</w:t>
      </w:r>
    </w:p>
    <w:p>
      <w:pPr>
        <w:spacing w:after="0" w:line="162" w:lineRule="exact"/>
        <w:rPr>
          <w:sz w:val="20"/>
          <w:szCs w:val="20"/>
          <w:color w:val="auto"/>
        </w:rPr>
      </w:pPr>
    </w:p>
    <w:p>
      <w:pPr>
        <w:ind w:left="760" w:hanging="748"/>
        <w:spacing w:after="0" w:line="266" w:lineRule="auto"/>
        <w:rPr>
          <w:sz w:val="20"/>
          <w:szCs w:val="20"/>
          <w:color w:val="auto"/>
        </w:rPr>
      </w:pPr>
      <w:r>
        <w:rPr>
          <w:rFonts w:ascii="Times New Roman" w:cs="Times New Roman" w:eastAsia="Times New Roman" w:hAnsi="Times New Roman"/>
          <w:sz w:val="18"/>
          <w:szCs w:val="18"/>
          <w:color w:val="auto"/>
        </w:rPr>
        <w:t>2.4 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172"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3 - RESTRICTED SHARE UNITS</w:t>
      </w:r>
    </w:p>
    <w:p>
      <w:pPr>
        <w:spacing w:after="0" w:line="229" w:lineRule="exact"/>
        <w:rPr>
          <w:sz w:val="20"/>
          <w:szCs w:val="20"/>
          <w:color w:val="auto"/>
        </w:rPr>
      </w:pPr>
    </w:p>
    <w:p>
      <w:pPr>
        <w:ind w:left="760" w:hanging="748"/>
        <w:spacing w:after="0" w:line="261" w:lineRule="auto"/>
        <w:rPr>
          <w:sz w:val="20"/>
          <w:szCs w:val="20"/>
          <w:color w:val="auto"/>
        </w:rPr>
      </w:pPr>
      <w:r>
        <w:rPr>
          <w:rFonts w:ascii="Times New Roman" w:cs="Times New Roman" w:eastAsia="Times New Roman" w:hAnsi="Times New Roman"/>
          <w:sz w:val="18"/>
          <w:szCs w:val="18"/>
          <w:color w:val="auto"/>
        </w:rPr>
        <w:t>3.1 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In Section 3.4(4), the words "is continuously employed by" shall be deleted and replaced with the words "in service with".</w:t>
      </w:r>
    </w:p>
    <w:p>
      <w:pPr>
        <w:spacing w:after="0" w:line="221"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4 - SETTLEMENT &amp; EXPIRY</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  The following new Section 4.1(6) shall be inserted:</w:t>
      </w:r>
    </w:p>
    <w:p>
      <w:pPr>
        <w:spacing w:after="0" w:line="225" w:lineRule="exact"/>
        <w:rPr>
          <w:sz w:val="20"/>
          <w:szCs w:val="20"/>
          <w:color w:val="auto"/>
        </w:rPr>
      </w:pPr>
    </w:p>
    <w:p>
      <w:pPr>
        <w:ind w:left="760" w:right="340"/>
        <w:spacing w:after="0" w:line="276" w:lineRule="auto"/>
        <w:rPr>
          <w:sz w:val="20"/>
          <w:szCs w:val="20"/>
          <w:color w:val="auto"/>
        </w:rPr>
      </w:pPr>
      <w:r>
        <w:rPr>
          <w:rFonts w:ascii="Times New Roman" w:cs="Times New Roman" w:eastAsia="Times New Roman" w:hAnsi="Times New Roman"/>
          <w:sz w:val="17"/>
          <w:szCs w:val="17"/>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w:t>
      </w:r>
    </w:p>
    <w:p>
      <w:pPr>
        <w:spacing w:after="0" w:line="1"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8"/>
          <w:szCs w:val="18"/>
          <w:color w:val="auto"/>
        </w:rPr>
        <w:t>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186" w:lineRule="exact"/>
        <w:rPr>
          <w:sz w:val="20"/>
          <w:szCs w:val="20"/>
          <w:color w:val="auto"/>
        </w:rPr>
      </w:pPr>
    </w:p>
    <w:p>
      <w:pPr>
        <w:ind w:left="760" w:right="740" w:hanging="360"/>
        <w:spacing w:after="0" w:line="282" w:lineRule="auto"/>
        <w:rPr>
          <w:sz w:val="20"/>
          <w:szCs w:val="20"/>
          <w:color w:val="auto"/>
        </w:rPr>
      </w:pPr>
      <w:r>
        <w:rPr>
          <w:rFonts w:ascii="Times New Roman" w:cs="Times New Roman" w:eastAsia="Times New Roman" w:hAnsi="Times New Roman"/>
          <w:sz w:val="18"/>
          <w:szCs w:val="18"/>
          <w:color w:val="auto"/>
        </w:rPr>
        <w:t>4.2 In Section 4.3, the words "or termination" shall be inserted following the word "dismissal"; and the words "or early termination of their engagement" shall be inserted following the word "resignation".</w:t>
      </w:r>
    </w:p>
    <w:p>
      <w:pPr>
        <w:spacing w:after="0" w:line="158"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5 – DEFERRED SHARE UNITS</w:t>
      </w:r>
    </w:p>
    <w:p>
      <w:pPr>
        <w:spacing w:after="0" w:line="229" w:lineRule="exact"/>
        <w:rPr>
          <w:sz w:val="20"/>
          <w:szCs w:val="20"/>
          <w:color w:val="auto"/>
        </w:rPr>
      </w:pPr>
    </w:p>
    <w:p>
      <w:pPr>
        <w:ind w:left="760" w:right="40" w:hanging="360"/>
        <w:spacing w:after="0" w:line="261" w:lineRule="auto"/>
        <w:rPr>
          <w:sz w:val="20"/>
          <w:szCs w:val="20"/>
          <w:color w:val="auto"/>
        </w:rPr>
      </w:pPr>
      <w:r>
        <w:rPr>
          <w:rFonts w:ascii="Times New Roman" w:cs="Times New Roman" w:eastAsia="Times New Roman" w:hAnsi="Times New Roman"/>
          <w:sz w:val="18"/>
          <w:szCs w:val="18"/>
          <w:color w:val="auto"/>
        </w:rPr>
        <w:t>5.1 The following new Section 5.1(4) shall be inserted: "Notwithstanding the foregoing, it shall unless the Board determines that it is not required by applicable law be a term of each Deferred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140" w:right="360" w:hanging="748"/>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following new section will be inserted as Section 5.3 and the remainder of Article 5 will be renumbered accordingly with all cross-references updated accordingly:</w:t>
      </w:r>
    </w:p>
    <w:p>
      <w:pPr>
        <w:spacing w:after="0" w:line="158" w:lineRule="exact"/>
        <w:rPr>
          <w:sz w:val="20"/>
          <w:szCs w:val="20"/>
          <w:color w:val="auto"/>
        </w:rPr>
      </w:pPr>
    </w:p>
    <w:p>
      <w:pPr>
        <w:ind w:left="114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Election Notice; Elected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left="1120" w:hanging="369"/>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w:t>
      </w:r>
    </w:p>
    <w:p>
      <w:pPr>
        <w:spacing w:after="0" w:line="27" w:lineRule="exact"/>
        <w:rPr>
          <w:rFonts w:ascii="Times New Roman" w:cs="Times New Roman" w:eastAsia="Times New Roman" w:hAnsi="Times New Roman"/>
          <w:sz w:val="18"/>
          <w:szCs w:val="18"/>
          <w:color w:val="auto"/>
        </w:rPr>
      </w:pPr>
    </w:p>
    <w:p>
      <w:pPr>
        <w:ind w:left="1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once each Fiscal Year, to be paid up to one hundred percent (100%) of his or her Annual Board Retainer in the form of Deferred Share Units (the “</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192" w:lineRule="exact"/>
        <w:rPr>
          <w:rFonts w:ascii="Times New Roman" w:cs="Times New Roman" w:eastAsia="Times New Roman" w:hAnsi="Times New Roman"/>
          <w:sz w:val="18"/>
          <w:szCs w:val="18"/>
          <w:color w:val="auto"/>
        </w:rPr>
      </w:pPr>
    </w:p>
    <w:p>
      <w:pPr>
        <w:ind w:left="1120" w:right="520" w:hanging="369"/>
        <w:spacing w:after="0" w:line="289" w:lineRule="auto"/>
        <w:tabs>
          <w:tab w:leader="none" w:pos="110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157" w:lineRule="exact"/>
        <w:rPr>
          <w:rFonts w:ascii="Times New Roman" w:cs="Times New Roman" w:eastAsia="Times New Roman" w:hAnsi="Times New Roman"/>
          <w:sz w:val="17"/>
          <w:szCs w:val="17"/>
          <w:color w:val="auto"/>
        </w:rPr>
      </w:pPr>
    </w:p>
    <w:p>
      <w:pPr>
        <w:ind w:left="1120" w:right="80" w:hanging="369"/>
        <w:spacing w:after="0" w:line="261" w:lineRule="auto"/>
        <w:tabs>
          <w:tab w:leader="none" w:pos="110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180" w:lineRule="exact"/>
        <w:rPr>
          <w:sz w:val="20"/>
          <w:szCs w:val="20"/>
          <w:color w:val="auto"/>
        </w:rPr>
      </w:pPr>
    </w:p>
    <w:p>
      <w:pPr>
        <w:ind w:left="760" w:right="8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following new subsection shall be inserted into Section 5.4 (as renumbered) as section 5.4(3), and the remainder of section 5.4 shall be renumbered accordingly with all cross-references updated accordingly:</w:t>
      </w:r>
    </w:p>
    <w:p>
      <w:pPr>
        <w:spacing w:after="0" w:line="162" w:lineRule="exact"/>
        <w:rPr>
          <w:sz w:val="20"/>
          <w:szCs w:val="20"/>
          <w:color w:val="auto"/>
        </w:rPr>
      </w:pPr>
    </w:p>
    <w:p>
      <w:pPr>
        <w:ind w:left="1880" w:right="20" w:hanging="997"/>
        <w:spacing w:after="0" w:line="257" w:lineRule="auto"/>
        <w:rPr>
          <w:sz w:val="20"/>
          <w:szCs w:val="20"/>
          <w:color w:val="auto"/>
        </w:rPr>
      </w:pPr>
      <w:r>
        <w:rPr>
          <w:rFonts w:ascii="Times New Roman" w:cs="Times New Roman" w:eastAsia="Times New Roman" w:hAnsi="Times New Roman"/>
          <w:sz w:val="18"/>
          <w:szCs w:val="18"/>
          <w:color w:val="auto"/>
        </w:rPr>
        <w:t>"(3) 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Section 5.5 (as renumbered) shall be deleted and replaced with the following:</w:t>
      </w:r>
    </w:p>
    <w:p>
      <w:pPr>
        <w:spacing w:after="0" w:line="207"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color w:val="auto"/>
        </w:rPr>
        <w:t>Calculation.</w:t>
      </w:r>
    </w:p>
    <w:p>
      <w:pPr>
        <w:spacing w:after="0" w:line="225" w:lineRule="exact"/>
        <w:rPr>
          <w:sz w:val="20"/>
          <w:szCs w:val="20"/>
          <w:color w:val="auto"/>
        </w:rPr>
      </w:pPr>
    </w:p>
    <w:p>
      <w:pPr>
        <w:ind w:left="1120" w:hanging="369"/>
        <w:spacing w:after="0"/>
        <w:tabs>
          <w:tab w:leader="none" w:pos="11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225" w:lineRule="exact"/>
        <w:rPr>
          <w:rFonts w:ascii="Times New Roman" w:cs="Times New Roman" w:eastAsia="Times New Roman" w:hAnsi="Times New Roman"/>
          <w:sz w:val="18"/>
          <w:szCs w:val="18"/>
          <w:color w:val="auto"/>
        </w:rPr>
      </w:pPr>
    </w:p>
    <w:p>
      <w:pPr>
        <w:ind w:left="1880" w:hanging="754"/>
        <w:spacing w:after="0" w:line="282" w:lineRule="auto"/>
        <w:tabs>
          <w:tab w:leader="none" w:pos="149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377" w:lineRule="exact"/>
        <w:rPr>
          <w:rFonts w:ascii="Times New Roman" w:cs="Times New Roman" w:eastAsia="Times New Roman" w:hAnsi="Times New Roman"/>
          <w:sz w:val="18"/>
          <w:szCs w:val="18"/>
          <w:color w:val="auto"/>
        </w:rPr>
      </w:pPr>
    </w:p>
    <w:p>
      <w:pPr>
        <w:ind w:left="1880" w:right="220" w:hanging="754"/>
        <w:spacing w:after="0" w:line="282" w:lineRule="auto"/>
        <w:tabs>
          <w:tab w:leader="none" w:pos="149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following new section 5.7(5) (as renumbered) shall be inserted into Section 5.7 (as renumbered):</w:t>
      </w:r>
    </w:p>
    <w:p>
      <w:pPr>
        <w:spacing w:after="0" w:line="27"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 procure the payment of the Settlement Price referenced in Section 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183" w:lineRule="exact"/>
        <w:rPr>
          <w:sz w:val="20"/>
          <w:szCs w:val="20"/>
          <w:color w:val="auto"/>
        </w:rPr>
      </w:pPr>
    </w:p>
    <w:p>
      <w:pPr>
        <w:ind w:left="380" w:hanging="378"/>
        <w:spacing w:after="0"/>
        <w:tabs>
          <w:tab w:leader="none" w:pos="3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6 – INCENTIVE SHARE UNITS</w:t>
      </w:r>
    </w:p>
    <w:p>
      <w:pPr>
        <w:spacing w:after="0" w:line="229" w:lineRule="exact"/>
        <w:rPr>
          <w:sz w:val="20"/>
          <w:szCs w:val="20"/>
          <w:color w:val="auto"/>
        </w:rPr>
      </w:pPr>
    </w:p>
    <w:p>
      <w:pPr>
        <w:ind w:left="380" w:right="40" w:hanging="360"/>
        <w:spacing w:after="0" w:line="261" w:lineRule="auto"/>
        <w:rPr>
          <w:sz w:val="20"/>
          <w:szCs w:val="20"/>
          <w:color w:val="auto"/>
        </w:rPr>
      </w:pPr>
      <w:r>
        <w:rPr>
          <w:rFonts w:ascii="Times New Roman" w:cs="Times New Roman" w:eastAsia="Times New Roman" w:hAnsi="Times New Roman"/>
          <w:sz w:val="18"/>
          <w:szCs w:val="18"/>
          <w:color w:val="auto"/>
        </w:rPr>
        <w:t>6.1 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678815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40" w:name="page41"/>
    <w:bookmarkEnd w:id="40"/>
    <w:p>
      <w:pPr>
        <w:ind w:left="760" w:hanging="378"/>
        <w:spacing w:after="0"/>
        <w:tabs>
          <w:tab w:leader="none" w:pos="7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7 – SETTLEMENT &amp; EXPIRY</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7.1. The following new section 7.1(6) shall be inserted into Section 7.1:</w:t>
      </w:r>
    </w:p>
    <w:p>
      <w:pPr>
        <w:spacing w:after="0" w:line="27"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as August 15, 2024 and amended on December 12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127" w:lineRule="exact"/>
        <w:rPr>
          <w:sz w:val="20"/>
          <w:szCs w:val="20"/>
          <w:color w:val="auto"/>
        </w:rPr>
      </w:pPr>
    </w:p>
    <w:p>
      <w:pPr>
        <w:ind w:left="1020" w:right="160" w:hanging="553"/>
        <w:spacing w:after="0" w:line="28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154" w:lineRule="exact"/>
        <w:rPr>
          <w:rFonts w:ascii="Times New Roman" w:cs="Times New Roman" w:eastAsia="Times New Roman" w:hAnsi="Times New Roman"/>
          <w:sz w:val="18"/>
          <w:szCs w:val="18"/>
          <w:color w:val="auto"/>
        </w:rPr>
      </w:pPr>
    </w:p>
    <w:p>
      <w:pPr>
        <w:ind w:left="1020" w:right="120" w:hanging="553"/>
        <w:spacing w:after="0" w:line="28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154" w:lineRule="exact"/>
        <w:rPr>
          <w:rFonts w:ascii="Times New Roman" w:cs="Times New Roman" w:eastAsia="Times New Roman" w:hAnsi="Times New Roman"/>
          <w:sz w:val="18"/>
          <w:szCs w:val="18"/>
          <w:color w:val="auto"/>
        </w:rPr>
      </w:pPr>
    </w:p>
    <w:p>
      <w:pPr>
        <w:ind w:left="1020" w:right="20" w:hanging="553"/>
        <w:spacing w:after="0" w:line="259"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206" w:lineRule="exact"/>
        <w:rPr>
          <w:rFonts w:ascii="Times New Roman" w:cs="Times New Roman" w:eastAsia="Times New Roman" w:hAnsi="Times New Roman"/>
          <w:sz w:val="18"/>
          <w:szCs w:val="18"/>
          <w:color w:val="auto"/>
        </w:rPr>
      </w:pPr>
    </w:p>
    <w:p>
      <w:pPr>
        <w:ind w:left="1020" w:right="40" w:hanging="553"/>
        <w:spacing w:after="0" w:line="256" w:lineRule="auto"/>
        <w:tabs>
          <w:tab w:leader="none" w:pos="10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Tax Liability</w:t>
      </w:r>
      <w:r>
        <w:rPr>
          <w:rFonts w:ascii="Times New Roman" w:cs="Times New Roman" w:eastAsia="Times New Roman" w:hAnsi="Times New Roman"/>
          <w:sz w:val="18"/>
          <w:szCs w:val="18"/>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 liability arising after the termination of the Participant's employment for whatever reason and which:</w:t>
      </w:r>
    </w:p>
    <w:p>
      <w:pPr>
        <w:spacing w:after="0" w:line="3"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9"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108" w:lineRule="exact"/>
        <w:rPr>
          <w:rFonts w:ascii="Times New Roman" w:cs="Times New Roman" w:eastAsia="Times New Roman" w:hAnsi="Times New Roman"/>
          <w:sz w:val="18"/>
          <w:szCs w:val="18"/>
          <w:color w:val="auto"/>
        </w:rPr>
      </w:pPr>
    </w:p>
    <w:p>
      <w:pPr>
        <w:ind w:left="860" w:hanging="451"/>
        <w:spacing w:after="0"/>
        <w:tabs>
          <w:tab w:leader="none" w:pos="8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means any award of Units or an Option under the Plan;</w:t>
      </w:r>
    </w:p>
    <w:p>
      <w:pPr>
        <w:spacing w:after="0" w:line="225" w:lineRule="exact"/>
        <w:rPr>
          <w:rFonts w:ascii="Times New Roman" w:cs="Times New Roman" w:eastAsia="Times New Roman" w:hAnsi="Times New Roman"/>
          <w:sz w:val="18"/>
          <w:szCs w:val="18"/>
          <w:color w:val="auto"/>
        </w:rPr>
      </w:pPr>
    </w:p>
    <w:p>
      <w:pPr>
        <w:ind w:left="860" w:hanging="451"/>
        <w:spacing w:after="0"/>
        <w:tabs>
          <w:tab w:leader="none" w:pos="8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Certificate</w:t>
      </w:r>
      <w:r>
        <w:rPr>
          <w:rFonts w:ascii="Times New Roman" w:cs="Times New Roman" w:eastAsia="Times New Roman" w:hAnsi="Times New Roman"/>
          <w:sz w:val="18"/>
          <w:szCs w:val="18"/>
          <w:color w:val="auto"/>
        </w:rPr>
        <w:t>" means a certificate setting out the terms of an Award;</w:t>
      </w:r>
    </w:p>
    <w:p>
      <w:pPr>
        <w:spacing w:after="0" w:line="31" w:lineRule="exact"/>
        <w:rPr>
          <w:rFonts w:ascii="Times New Roman" w:cs="Times New Roman" w:eastAsia="Times New Roman" w:hAnsi="Times New Roman"/>
          <w:sz w:val="18"/>
          <w:szCs w:val="18"/>
          <w:color w:val="auto"/>
        </w:rPr>
      </w:pPr>
    </w:p>
    <w:p>
      <w:pPr>
        <w:ind w:left="860" w:right="2020" w:hanging="451"/>
        <w:spacing w:after="0" w:line="253" w:lineRule="auto"/>
        <w:tabs>
          <w:tab w:leader="none" w:pos="8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 June 2023 pursuant to a deed of release, amendment and restatement entered into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1" w:name="page42"/>
    <w:bookmarkEnd w:id="41"/>
    <w:p>
      <w:pPr>
        <w:ind w:left="407"/>
        <w:spacing w:after="0"/>
        <w:rPr>
          <w:sz w:val="20"/>
          <w:szCs w:val="20"/>
          <w:color w:val="auto"/>
        </w:rPr>
      </w:pPr>
      <w:r>
        <w:rPr>
          <w:rFonts w:ascii="Times New Roman" w:cs="Times New Roman" w:eastAsia="Times New Roman" w:hAnsi="Times New Roman"/>
          <w:sz w:val="18"/>
          <w:szCs w:val="18"/>
          <w:color w:val="auto"/>
        </w:rPr>
        <w:t>the New Company, CaymanCo, MergerSub, and Armada (each as defined in such deed) on 16 June 2023;</w:t>
      </w:r>
    </w:p>
    <w:p>
      <w:pPr>
        <w:spacing w:after="0" w:line="127" w:lineRule="exact"/>
        <w:rPr>
          <w:sz w:val="20"/>
          <w:szCs w:val="20"/>
          <w:color w:val="auto"/>
        </w:rPr>
      </w:pPr>
    </w:p>
    <w:p>
      <w:pPr>
        <w:ind w:left="567" w:right="180" w:hanging="567"/>
        <w:spacing w:after="0" w:line="286" w:lineRule="auto"/>
        <w:tabs>
          <w:tab w:leader="none" w:pos="5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 to any particular functions of the board of directors, as set forth herein;</w:t>
      </w:r>
    </w:p>
    <w:p>
      <w:pPr>
        <w:spacing w:after="0" w:line="60" w:lineRule="exact"/>
        <w:rPr>
          <w:rFonts w:ascii="Times New Roman" w:cs="Times New Roman" w:eastAsia="Times New Roman" w:hAnsi="Times New Roman"/>
          <w:sz w:val="18"/>
          <w:szCs w:val="18"/>
          <w:color w:val="auto"/>
        </w:rPr>
      </w:pPr>
    </w:p>
    <w:p>
      <w:pPr>
        <w:ind w:left="567" w:right="20" w:hanging="567"/>
        <w:spacing w:after="0" w:line="286" w:lineRule="auto"/>
        <w:tabs>
          <w:tab w:leader="none" w:pos="5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182" w:lineRule="exact"/>
        <w:rPr>
          <w:sz w:val="20"/>
          <w:szCs w:val="20"/>
          <w:color w:val="auto"/>
        </w:rPr>
      </w:pPr>
    </w:p>
    <w:p>
      <w:pPr>
        <w:ind w:left="567" w:right="120" w:hanging="553"/>
        <w:spacing w:after="0" w:line="317" w:lineRule="auto"/>
        <w:tabs>
          <w:tab w:leader="none" w:pos="567"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w:t>
      </w:r>
      <w:r>
        <w:rPr>
          <w:rFonts w:ascii="Times New Roman" w:cs="Times New Roman" w:eastAsia="Times New Roman" w:hAnsi="Times New Roman"/>
          <w:sz w:val="17"/>
          <w:szCs w:val="17"/>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37" w:lineRule="exact"/>
        <w:rPr>
          <w:sz w:val="20"/>
          <w:szCs w:val="20"/>
          <w:color w:val="auto"/>
        </w:rPr>
      </w:pPr>
    </w:p>
    <w:p>
      <w:pPr>
        <w:ind w:left="567" w:right="800" w:hanging="553"/>
        <w:spacing w:after="0" w:line="286" w:lineRule="auto"/>
        <w:tabs>
          <w:tab w:leader="none" w:pos="5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64" w:lineRule="exact"/>
        <w:rPr>
          <w:rFonts w:ascii="Times New Roman" w:cs="Times New Roman" w:eastAsia="Times New Roman" w:hAnsi="Times New Roman"/>
          <w:sz w:val="18"/>
          <w:szCs w:val="18"/>
          <w:color w:val="auto"/>
        </w:rPr>
      </w:pPr>
    </w:p>
    <w:p>
      <w:pPr>
        <w:ind w:left="1127" w:right="140" w:hanging="560"/>
        <w:spacing w:after="0" w:line="258" w:lineRule="auto"/>
        <w:tabs>
          <w:tab w:leader="none" w:pos="112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88" w:lineRule="exact"/>
        <w:rPr>
          <w:rFonts w:ascii="Times New Roman" w:cs="Times New Roman" w:eastAsia="Times New Roman" w:hAnsi="Times New Roman"/>
          <w:sz w:val="18"/>
          <w:szCs w:val="18"/>
          <w:color w:val="auto"/>
        </w:rPr>
      </w:pPr>
    </w:p>
    <w:p>
      <w:pPr>
        <w:ind w:left="1127" w:right="60" w:hanging="560"/>
        <w:spacing w:after="0" w:line="254" w:lineRule="auto"/>
        <w:tabs>
          <w:tab w:leader="none" w:pos="112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 (A)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97" w:lineRule="exact"/>
        <w:rPr>
          <w:rFonts w:ascii="Times New Roman" w:cs="Times New Roman" w:eastAsia="Times New Roman" w:hAnsi="Times New Roman"/>
          <w:sz w:val="18"/>
          <w:szCs w:val="18"/>
          <w:color w:val="auto"/>
        </w:rPr>
      </w:pPr>
    </w:p>
    <w:p>
      <w:pPr>
        <w:ind w:left="1127" w:hanging="560"/>
        <w:spacing w:after="0" w:line="256" w:lineRule="auto"/>
        <w:tabs>
          <w:tab w:leader="none" w:pos="112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 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92" w:lineRule="exact"/>
        <w:rPr>
          <w:rFonts w:ascii="Times New Roman" w:cs="Times New Roman" w:eastAsia="Times New Roman" w:hAnsi="Times New Roman"/>
          <w:sz w:val="18"/>
          <w:szCs w:val="18"/>
          <w:color w:val="auto"/>
        </w:rPr>
      </w:pPr>
    </w:p>
    <w:p>
      <w:pPr>
        <w:ind w:left="1127" w:right="180" w:hanging="560"/>
        <w:spacing w:after="0" w:line="258" w:lineRule="auto"/>
        <w:tabs>
          <w:tab w:leader="none" w:pos="112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179" w:lineRule="exact"/>
        <w:rPr>
          <w:rFonts w:ascii="Times New Roman" w:cs="Times New Roman" w:eastAsia="Times New Roman" w:hAnsi="Times New Roman"/>
          <w:sz w:val="18"/>
          <w:szCs w:val="18"/>
          <w:color w:val="auto"/>
        </w:rPr>
      </w:pPr>
    </w:p>
    <w:p>
      <w:pPr>
        <w:ind w:left="1127" w:right="220" w:hanging="560"/>
        <w:spacing w:after="0" w:line="262" w:lineRule="auto"/>
        <w:tabs>
          <w:tab w:leader="none" w:pos="112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and solely for the purpose of determining the</w:t>
      </w:r>
    </w:p>
    <w:p>
      <w:pPr>
        <w:spacing w:after="0" w:line="27" w:lineRule="exact"/>
        <w:rPr>
          <w:rFonts w:ascii="Times New Roman" w:cs="Times New Roman" w:eastAsia="Times New Roman" w:hAnsi="Times New Roman"/>
          <w:sz w:val="18"/>
          <w:szCs w:val="18"/>
          <w:color w:val="auto"/>
        </w:rPr>
      </w:pPr>
    </w:p>
    <w:p>
      <w:pPr>
        <w:ind w:left="1127" w:right="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timing of payment or timing of distribution of any compensation or benefit that constitutes “nonqualified deferred compensation” within the meaning of Section 409A of the US Internal Revenue Code of 1986, as amended, a Change of Control shall not be deemed to occur under this Plan unless the Change of Control also constitutes a “change in the ownership” of the Company, a “change in effective control” of the Company, or a “change in the ownership of a substantial portion of the assets” of the Company under U.S.</w:t>
      </w:r>
    </w:p>
    <w:p>
      <w:pPr>
        <w:spacing w:after="0" w:line="168" w:lineRule="exact"/>
        <w:rPr>
          <w:sz w:val="20"/>
          <w:szCs w:val="20"/>
          <w:color w:val="auto"/>
        </w:rPr>
      </w:pPr>
    </w:p>
    <w:p>
      <w:pPr>
        <w:ind w:left="1127" w:hanging="560"/>
        <w:spacing w:after="0"/>
        <w:tabs>
          <w:tab w:leader="none" w:pos="11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650240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7"/>
          </w:cols>
          <w:pgMar w:left="773" w:top="769" w:right="339" w:bottom="1440" w:gutter="0" w:footer="0" w:header="0"/>
        </w:sectPr>
      </w:pPr>
    </w:p>
    <w:bookmarkStart w:id="42" w:name="page43"/>
    <w:bookmarkEnd w:id="42"/>
    <w:p>
      <w:pPr>
        <w:ind w:left="567" w:right="220" w:hanging="567"/>
        <w:spacing w:after="0" w:line="286" w:lineRule="auto"/>
        <w:tabs>
          <w:tab w:leader="none" w:pos="6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Plc, a company incorporated in England with company number 14573691, whose registered office is at 5 New Street Square, London, United Kingdom, EC4A 3TW;</w:t>
      </w:r>
    </w:p>
    <w:p>
      <w:pPr>
        <w:spacing w:after="0" w:line="154" w:lineRule="exact"/>
        <w:rPr>
          <w:rFonts w:ascii="Times New Roman" w:cs="Times New Roman" w:eastAsia="Times New Roman" w:hAnsi="Times New Roman"/>
          <w:sz w:val="18"/>
          <w:szCs w:val="18"/>
          <w:color w:val="auto"/>
        </w:rPr>
      </w:pPr>
    </w:p>
    <w:p>
      <w:pPr>
        <w:ind w:left="567" w:right="40" w:hanging="567"/>
        <w:spacing w:after="0" w:line="286" w:lineRule="auto"/>
        <w:tabs>
          <w:tab w:leader="none" w:pos="5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collectively: (i) the series A preferred shares, designated as “Series A Shares” pursuant to the Company Articles of Association; and (ii) the ordinary shares designated as "Ordinary Shares" pursuant to the Company's Articles of Association;</w:t>
      </w:r>
    </w:p>
    <w:p>
      <w:pPr>
        <w:spacing w:after="0" w:line="15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225" w:lineRule="exact"/>
        <w:rPr>
          <w:rFonts w:ascii="Times New Roman" w:cs="Times New Roman" w:eastAsia="Times New Roman" w:hAnsi="Times New Roman"/>
          <w:sz w:val="18"/>
          <w:szCs w:val="18"/>
          <w:color w:val="auto"/>
        </w:rPr>
      </w:pPr>
    </w:p>
    <w:p>
      <w:pPr>
        <w:ind w:left="567" w:right="220" w:hanging="567"/>
        <w:spacing w:after="0" w:line="286" w:lineRule="auto"/>
        <w:tabs>
          <w:tab w:leader="none" w:pos="5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181" w:lineRule="exact"/>
        <w:rPr>
          <w:rFonts w:ascii="Times New Roman" w:cs="Times New Roman" w:eastAsia="Times New Roman" w:hAnsi="Times New Roman"/>
          <w:sz w:val="18"/>
          <w:szCs w:val="18"/>
          <w:color w:val="auto"/>
        </w:rPr>
      </w:pPr>
    </w:p>
    <w:p>
      <w:pPr>
        <w:ind w:left="567" w:right="120" w:hanging="553"/>
        <w:spacing w:after="0" w:line="268" w:lineRule="auto"/>
        <w:tabs>
          <w:tab w:leader="none" w:pos="56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either the Grant Agreement pursuant to which the applicable Award was granted or if the Award is granted by unilateral deed of grant, as evidenced by the applicable Award Certificate;</w:t>
      </w:r>
    </w:p>
    <w:p>
      <w:pPr>
        <w:spacing w:after="0" w:line="76" w:lineRule="exact"/>
        <w:rPr>
          <w:rFonts w:ascii="Times New Roman" w:cs="Times New Roman" w:eastAsia="Times New Roman" w:hAnsi="Times New Roman"/>
          <w:sz w:val="18"/>
          <w:szCs w:val="18"/>
          <w:color w:val="auto"/>
        </w:rPr>
      </w:pPr>
    </w:p>
    <w:p>
      <w:pPr>
        <w:ind w:left="567" w:right="120" w:hanging="553"/>
        <w:spacing w:after="0" w:line="286" w:lineRule="auto"/>
        <w:tabs>
          <w:tab w:leader="none" w:pos="56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60" w:lineRule="exact"/>
        <w:rPr>
          <w:sz w:val="20"/>
          <w:szCs w:val="20"/>
          <w:color w:val="auto"/>
        </w:rPr>
      </w:pPr>
    </w:p>
    <w:p>
      <w:pPr>
        <w:ind w:left="567" w:hanging="567"/>
        <w:spacing w:after="0" w:line="268" w:lineRule="auto"/>
        <w:tabs>
          <w:tab w:leader="none" w:pos="5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 agreed to participate in the Plan and to whom Deferred Share Units have or will be granted thereunder;</w:t>
      </w:r>
    </w:p>
    <w:p>
      <w:pPr>
        <w:spacing w:after="0" w:line="76" w:lineRule="exact"/>
        <w:rPr>
          <w:rFonts w:ascii="Times New Roman" w:cs="Times New Roman" w:eastAsia="Times New Roman" w:hAnsi="Times New Roman"/>
          <w:sz w:val="18"/>
          <w:szCs w:val="18"/>
          <w:color w:val="auto"/>
        </w:rPr>
      </w:pPr>
    </w:p>
    <w:p>
      <w:pPr>
        <w:ind w:left="567" w:right="180" w:hanging="567"/>
        <w:spacing w:after="0" w:line="286" w:lineRule="auto"/>
        <w:tabs>
          <w:tab w:leader="none" w:pos="5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 the Fiscal Year following the Fiscal Year in which the DSU Termination Date occurred;</w:t>
      </w:r>
    </w:p>
    <w:p>
      <w:pPr>
        <w:spacing w:after="0" w:line="60" w:lineRule="exact"/>
        <w:rPr>
          <w:rFonts w:ascii="Times New Roman" w:cs="Times New Roman" w:eastAsia="Times New Roman" w:hAnsi="Times New Roman"/>
          <w:sz w:val="18"/>
          <w:szCs w:val="18"/>
          <w:color w:val="auto"/>
        </w:rPr>
      </w:pPr>
    </w:p>
    <w:p>
      <w:pPr>
        <w:ind w:left="567" w:right="280" w:hanging="567"/>
        <w:spacing w:after="0" w:line="286" w:lineRule="auto"/>
        <w:tabs>
          <w:tab w:leader="none" w:pos="5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60" w:lineRule="exact"/>
        <w:rPr>
          <w:sz w:val="20"/>
          <w:szCs w:val="20"/>
          <w:color w:val="auto"/>
        </w:rPr>
      </w:pPr>
    </w:p>
    <w:p>
      <w:pPr>
        <w:ind w:left="587" w:right="80" w:hanging="573"/>
        <w:spacing w:after="0" w:line="268" w:lineRule="auto"/>
        <w:tabs>
          <w:tab w:leader="none" w:pos="58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 employee) of the Company for any reason including, without limiting the generality of the foregoing, as a result of retirement, death, voluntary or involuntary termination without cause, or Incapacity;</w:t>
      </w:r>
    </w:p>
    <w:p>
      <w:pPr>
        <w:spacing w:after="0" w:line="76"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13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157"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3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203" w:lineRule="exact"/>
        <w:rPr>
          <w:sz w:val="20"/>
          <w:szCs w:val="20"/>
          <w:color w:val="auto"/>
        </w:rPr>
      </w:pPr>
    </w:p>
    <w:p>
      <w:pPr>
        <w:ind w:left="567" w:hanging="567"/>
        <w:spacing w:after="0" w:line="286" w:lineRule="auto"/>
        <w:tabs>
          <w:tab w:leader="none" w:pos="56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 appreciation, phantom stock, profit participation or similar rights);</w:t>
      </w:r>
    </w:p>
    <w:p>
      <w:pPr>
        <w:spacing w:after="0" w:line="60" w:lineRule="exact"/>
        <w:rPr>
          <w:rFonts w:ascii="Times New Roman" w:cs="Times New Roman" w:eastAsia="Times New Roman" w:hAnsi="Times New Roman"/>
          <w:sz w:val="18"/>
          <w:szCs w:val="18"/>
          <w:color w:val="auto"/>
        </w:rPr>
      </w:pPr>
    </w:p>
    <w:p>
      <w:pPr>
        <w:ind w:left="567" w:right="100" w:hanging="567"/>
        <w:spacing w:after="0" w:line="291" w:lineRule="auto"/>
        <w:tabs>
          <w:tab w:leader="none" w:pos="56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Expire</w:t>
      </w:r>
      <w:r>
        <w:rPr>
          <w:rFonts w:ascii="Times New Roman" w:cs="Times New Roman" w:eastAsia="Times New Roman" w:hAnsi="Times New Roman"/>
          <w:sz w:val="17"/>
          <w:szCs w:val="17"/>
          <w:color w:val="auto"/>
        </w:rPr>
        <w:t>” means, with respect to a Unit, the termination of such Unit, on the occurrence of which such Unit is void, incapable of settlement, and of no value whatsoever; and with respect to an Option, the termination or lapsing of such Option, on the occurrence of which such Option is void, incapable of exercise or settlement, and of no value whatsoever; and Expires and Expired have a similar meaning;</w:t>
      </w:r>
    </w:p>
    <w:p>
      <w:pPr>
        <w:spacing w:after="0" w:line="58" w:lineRule="exact"/>
        <w:rPr>
          <w:rFonts w:ascii="Times New Roman" w:cs="Times New Roman" w:eastAsia="Times New Roman" w:hAnsi="Times New Roman"/>
          <w:sz w:val="17"/>
          <w:szCs w:val="17"/>
          <w:color w:val="auto"/>
        </w:rPr>
      </w:pPr>
    </w:p>
    <w:p>
      <w:pPr>
        <w:ind w:left="567" w:right="80" w:hanging="567"/>
        <w:spacing w:after="0" w:line="286" w:lineRule="auto"/>
        <w:tabs>
          <w:tab w:leader="none" w:pos="56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6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3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108" w:lineRule="exact"/>
        <w:rPr>
          <w:rFonts w:ascii="Times New Roman" w:cs="Times New Roman" w:eastAsia="Times New Roman" w:hAnsi="Times New Roman"/>
          <w:sz w:val="18"/>
          <w:szCs w:val="18"/>
          <w:color w:val="auto"/>
        </w:rPr>
      </w:pPr>
    </w:p>
    <w:p>
      <w:pPr>
        <w:ind w:left="567" w:right="400" w:hanging="567"/>
        <w:spacing w:after="0" w:line="286" w:lineRule="auto"/>
        <w:tabs>
          <w:tab w:leader="none" w:pos="56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60" w:lineRule="exact"/>
        <w:rPr>
          <w:rFonts w:ascii="Times New Roman" w:cs="Times New Roman" w:eastAsia="Times New Roman" w:hAnsi="Times New Roman"/>
          <w:sz w:val="18"/>
          <w:szCs w:val="18"/>
          <w:color w:val="auto"/>
        </w:rPr>
      </w:pPr>
    </w:p>
    <w:p>
      <w:pPr>
        <w:ind w:left="567" w:hanging="472"/>
        <w:spacing w:after="0"/>
        <w:tabs>
          <w:tab w:leader="none" w:pos="56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229" w:lineRule="exact"/>
        <w:rPr>
          <w:sz w:val="20"/>
          <w:szCs w:val="20"/>
          <w:color w:val="auto"/>
        </w:rPr>
      </w:pPr>
    </w:p>
    <w:p>
      <w:pPr>
        <w:ind w:left="87"/>
        <w:spacing w:after="0"/>
        <w:rPr>
          <w:sz w:val="20"/>
          <w:szCs w:val="20"/>
          <w:color w:val="auto"/>
        </w:rPr>
      </w:pPr>
      <w:r>
        <w:rPr>
          <w:rFonts w:ascii="Times New Roman" w:cs="Times New Roman" w:eastAsia="Times New Roman" w:hAnsi="Times New Roman"/>
          <w:sz w:val="18"/>
          <w:szCs w:val="18"/>
          <w:color w:val="auto"/>
        </w:rPr>
        <w:t>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844550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7"/>
          </w:cols>
          <w:pgMar w:left="773" w:top="765" w:right="399" w:bottom="1440" w:gutter="0" w:footer="0" w:header="0"/>
        </w:sectPr>
      </w:pPr>
    </w:p>
    <w:bookmarkStart w:id="43" w:name="page44"/>
    <w:bookmarkEnd w:id="43"/>
    <w:p>
      <w:pPr>
        <w:ind w:left="131"/>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(jj)</w:t>
      </w:r>
    </w:p>
    <w:p>
      <w:pPr>
        <w:spacing w:after="0" w:line="225"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(kk)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(mm)</w:t>
      </w:r>
    </w:p>
    <w:p>
      <w:pPr>
        <w:spacing w:after="0" w:line="248" w:lineRule="exact"/>
        <w:rPr>
          <w:sz w:val="20"/>
          <w:szCs w:val="20"/>
          <w:color w:val="auto"/>
        </w:rPr>
      </w:pPr>
    </w:p>
    <w:p>
      <w:pPr>
        <w:ind w:left="591" w:hanging="547"/>
        <w:spacing w:after="0"/>
        <w:tabs>
          <w:tab w:leader="none" w:pos="59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means the founder of the Company, being Daniel Wagner;</w:t>
      </w:r>
    </w:p>
    <w:p>
      <w:pPr>
        <w:spacing w:after="0" w:line="130" w:lineRule="exact"/>
        <w:rPr>
          <w:rFonts w:ascii="Times New Roman" w:cs="Times New Roman" w:eastAsia="Times New Roman" w:hAnsi="Times New Roman"/>
          <w:sz w:val="18"/>
          <w:szCs w:val="18"/>
          <w:color w:val="auto"/>
        </w:rPr>
      </w:pPr>
    </w:p>
    <w:p>
      <w:pPr>
        <w:ind w:left="611" w:hanging="553"/>
        <w:spacing w:after="0" w:line="256" w:lineRule="auto"/>
        <w:tabs>
          <w:tab w:leader="none" w:pos="611"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 on the NASDAQ for the five (5) preceding days on which the Shares were traded, or on any other share exchange as selected by the Board for these purposes. In the event that such Shares are not listed and posted for trading on any share exchange, the Market Value shall be the fair market value of such Shares as determined by the Board in its sole and absolute discretion;</w:t>
      </w:r>
    </w:p>
    <w:p>
      <w:pPr>
        <w:spacing w:after="0" w:line="3" w:lineRule="exact"/>
        <w:rPr>
          <w:rFonts w:ascii="Times New Roman" w:cs="Times New Roman" w:eastAsia="Times New Roman" w:hAnsi="Times New Roman"/>
          <w:sz w:val="18"/>
          <w:szCs w:val="18"/>
          <w:color w:val="auto"/>
        </w:rPr>
      </w:pPr>
    </w:p>
    <w:p>
      <w:pPr>
        <w:ind w:left="611" w:hanging="553"/>
        <w:spacing w:after="0"/>
        <w:tabs>
          <w:tab w:leader="none" w:pos="611"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108" w:lineRule="exact"/>
        <w:rPr>
          <w:rFonts w:ascii="Times New Roman" w:cs="Times New Roman" w:eastAsia="Times New Roman" w:hAnsi="Times New Roman"/>
          <w:sz w:val="18"/>
          <w:szCs w:val="18"/>
          <w:color w:val="auto"/>
        </w:rPr>
      </w:pPr>
    </w:p>
    <w:p>
      <w:pPr>
        <w:ind w:left="731" w:right="2140" w:hanging="731"/>
        <w:spacing w:after="0" w:line="259" w:lineRule="auto"/>
        <w:tabs>
          <w:tab w:leader="none" w:pos="7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share option granted to an Option Participant pursuant to the terms of this Plan that, subject to the provisions hereof, entitles an Option Participant to receive one Share or the Option Cash Equivalent in accordance with the terms set forth in the Plan;</w:t>
      </w:r>
    </w:p>
    <w:p>
      <w:pPr>
        <w:ind w:left="731" w:right="2140" w:hanging="731"/>
        <w:spacing w:after="0" w:line="250" w:lineRule="auto"/>
        <w:tabs>
          <w:tab w:leader="none" w:pos="7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Cash Equivalent</w:t>
      </w:r>
      <w:r>
        <w:rPr>
          <w:rFonts w:ascii="Times New Roman" w:cs="Times New Roman" w:eastAsia="Times New Roman" w:hAnsi="Times New Roman"/>
          <w:sz w:val="18"/>
          <w:szCs w:val="18"/>
          <w:color w:val="auto"/>
        </w:rPr>
        <w:t>" means the amount of money expressed in British Pound Sterling equal to: (a) the Market Value multiplied by the number of Shares in respect of which the Option is being exercised and which is to be settled by cash; (b) less the Option Price applicable to such Shares;</w:t>
      </w:r>
    </w:p>
    <w:p>
      <w:pPr>
        <w:spacing w:after="0" w:line="1" w:lineRule="exact"/>
        <w:rPr>
          <w:rFonts w:ascii="Times New Roman" w:cs="Times New Roman" w:eastAsia="Times New Roman" w:hAnsi="Times New Roman"/>
          <w:sz w:val="18"/>
          <w:szCs w:val="18"/>
          <w:color w:val="auto"/>
        </w:rPr>
      </w:pPr>
    </w:p>
    <w:p>
      <w:pPr>
        <w:ind w:left="731" w:right="2140" w:hanging="731"/>
        <w:spacing w:after="0" w:line="250" w:lineRule="auto"/>
        <w:tabs>
          <w:tab w:leader="none" w:pos="7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spacing w:after="0" w:line="1" w:lineRule="exact"/>
        <w:rPr>
          <w:rFonts w:ascii="Times New Roman" w:cs="Times New Roman" w:eastAsia="Times New Roman" w:hAnsi="Times New Roman"/>
          <w:sz w:val="18"/>
          <w:szCs w:val="18"/>
          <w:color w:val="auto"/>
        </w:rPr>
      </w:pPr>
    </w:p>
    <w:p>
      <w:pPr>
        <w:ind w:left="731" w:right="2040" w:hanging="731"/>
        <w:spacing w:after="0" w:line="250" w:lineRule="auto"/>
        <w:tabs>
          <w:tab w:leader="none" w:pos="7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ind w:left="731" w:right="2020" w:hanging="731"/>
        <w:spacing w:after="0" w:line="251" w:lineRule="auto"/>
        <w:tabs>
          <w:tab w:leader="none" w:pos="73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 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704215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1"/>
          </w:cols>
          <w:pgMar w:left="729" w:top="985" w:right="359" w:bottom="1440" w:gutter="0" w:footer="0" w:header="0"/>
        </w:sectPr>
      </w:pPr>
    </w:p>
    <w:bookmarkStart w:id="44" w:name="page45"/>
    <w:bookmarkEnd w:id="44"/>
    <w:p>
      <w:pPr>
        <w:ind w:left="1020" w:hanging="55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131" w:lineRule="exact"/>
        <w:rPr>
          <w:sz w:val="20"/>
          <w:szCs w:val="20"/>
          <w:color w:val="auto"/>
        </w:rPr>
      </w:pPr>
    </w:p>
    <w:p>
      <w:pPr>
        <w:ind w:left="1020" w:right="300" w:hanging="567"/>
        <w:spacing w:after="0" w:line="263"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 Affiliate;</w:t>
      </w:r>
    </w:p>
    <w:p>
      <w:pPr>
        <w:ind w:left="1020" w:hanging="567"/>
        <w:spacing w:after="0" w:line="255"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 or the duly appointed administrators of his estate) who in either case have provided the Board with satisfactory evidence of their appointment</w:t>
      </w:r>
    </w:p>
    <w:p>
      <w:pPr>
        <w:spacing w:after="0" w:line="208"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252" w:lineRule="exact"/>
        <w:rPr>
          <w:rFonts w:ascii="Times New Roman" w:cs="Times New Roman" w:eastAsia="Times New Roman" w:hAnsi="Times New Roman"/>
          <w:sz w:val="18"/>
          <w:szCs w:val="18"/>
          <w:color w:val="auto"/>
        </w:rPr>
      </w:pPr>
    </w:p>
    <w:p>
      <w:pPr>
        <w:ind w:left="1020" w:right="200" w:hanging="553"/>
        <w:spacing w:after="0" w:line="268" w:lineRule="auto"/>
        <w:tabs>
          <w:tab w:leader="none" w:pos="10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 Participant to receive one Share or the Cash Equivalent in accordance with the terms set forth in the Plan;</w:t>
      </w:r>
    </w:p>
    <w:p>
      <w:pPr>
        <w:spacing w:after="0" w:line="76" w:lineRule="exact"/>
        <w:rPr>
          <w:sz w:val="20"/>
          <w:szCs w:val="20"/>
          <w:color w:val="auto"/>
        </w:rPr>
      </w:pPr>
    </w:p>
    <w:p>
      <w:pPr>
        <w:ind w:left="1040" w:right="140" w:hanging="573"/>
        <w:spacing w:after="0" w:line="286" w:lineRule="auto"/>
        <w:tabs>
          <w:tab w:leader="none" w:pos="1040" w:val="left"/>
        </w:tabs>
        <w:numPr>
          <w:ilvl w:val="3"/>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 Restricted Share Unit has been granted or will be granted thereunder;</w:t>
      </w:r>
    </w:p>
    <w:p>
      <w:pPr>
        <w:spacing w:after="0" w:line="87"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130" w:lineRule="exact"/>
        <w:rPr>
          <w:rFonts w:ascii="Times New Roman" w:cs="Times New Roman" w:eastAsia="Times New Roman" w:hAnsi="Times New Roman"/>
          <w:sz w:val="18"/>
          <w:szCs w:val="18"/>
          <w:color w:val="auto"/>
        </w:rPr>
      </w:pPr>
    </w:p>
    <w:p>
      <w:pPr>
        <w:ind w:left="1020" w:right="240" w:hanging="567"/>
        <w:spacing w:after="0" w:line="286" w:lineRule="auto"/>
        <w:tabs>
          <w:tab w:leader="none" w:pos="1020"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60" w:lineRule="exact"/>
        <w:rPr>
          <w:rFonts w:ascii="Times New Roman" w:cs="Times New Roman" w:eastAsia="Times New Roman" w:hAnsi="Times New Roman"/>
          <w:sz w:val="18"/>
          <w:szCs w:val="18"/>
          <w:color w:val="auto"/>
        </w:rPr>
      </w:pPr>
    </w:p>
    <w:p>
      <w:pPr>
        <w:ind w:left="1020" w:hanging="553"/>
        <w:spacing w:after="0" w:line="254" w:lineRule="auto"/>
        <w:tabs>
          <w:tab w:leader="none" w:pos="102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means the date on which an RSU Participant ceases to be an Eligible Person as a result of a termination of employment with the Company or a Group Company for any reason, including death, retirement, or resignation. For the purposes of the 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 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 active employment shall be considered as extending the RSU Participant’s period of employment or retention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ind w:left="1020" w:right="120" w:hanging="553"/>
        <w:spacing w:after="0" w:line="259" w:lineRule="auto"/>
        <w:tabs>
          <w:tab w:leader="none" w:pos="102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or deed of grant entered into in respect of such Restricted Share Units (as described in Section 3.4), on and after which a particular Restricted Share Unit will be settled, subject to amendment or acceleration from time to time in accordance with the terms hereof;</w:t>
      </w:r>
    </w:p>
    <w:p>
      <w:pPr>
        <w:ind w:left="1020" w:right="180" w:hanging="553"/>
        <w:spacing w:after="0" w:line="260" w:lineRule="auto"/>
        <w:tabs>
          <w:tab w:leader="none" w:pos="102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82"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130" w:lineRule="exact"/>
        <w:rPr>
          <w:rFonts w:ascii="Times New Roman" w:cs="Times New Roman" w:eastAsia="Times New Roman" w:hAnsi="Times New Roman"/>
          <w:sz w:val="18"/>
          <w:szCs w:val="18"/>
          <w:color w:val="auto"/>
        </w:rPr>
      </w:pPr>
    </w:p>
    <w:p>
      <w:pPr>
        <w:ind w:left="1080" w:right="120" w:hanging="775"/>
        <w:spacing w:after="0" w:line="268"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7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130" w:lineRule="exact"/>
        <w:rPr>
          <w:rFonts w:ascii="Times New Roman" w:cs="Times New Roman" w:eastAsia="Times New Roman" w:hAnsi="Times New Roman"/>
          <w:sz w:val="18"/>
          <w:szCs w:val="18"/>
          <w:color w:val="auto"/>
        </w:rPr>
      </w:pPr>
    </w:p>
    <w:p>
      <w:pPr>
        <w:ind w:left="1020" w:right="240" w:hanging="567"/>
        <w:spacing w:after="0" w:line="286" w:lineRule="auto"/>
        <w:tabs>
          <w:tab w:leader="none" w:pos="1020"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6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31" w:lineRule="exact"/>
        <w:rPr>
          <w:rFonts w:ascii="Times New Roman" w:cs="Times New Roman" w:eastAsia="Times New Roman" w:hAnsi="Times New Roman"/>
          <w:sz w:val="18"/>
          <w:szCs w:val="18"/>
          <w:color w:val="auto"/>
        </w:rPr>
      </w:pPr>
    </w:p>
    <w:p>
      <w:pPr>
        <w:ind w:left="1020" w:right="420" w:hanging="553"/>
        <w:spacing w:after="0" w:line="255" w:lineRule="auto"/>
        <w:tabs>
          <w:tab w:leader="none" w:pos="1020" w:val="left"/>
        </w:tabs>
        <w:numPr>
          <w:ilvl w:val="3"/>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fifteen percent (15%) of the fully diluted issued and outstanding Equity Securities, and any option, warrant, right or security (including debt securities) convertible, exchangeable or exercisable therefor) of the Company as of the Closing (as defined in the BCA);</w:t>
      </w:r>
    </w:p>
    <w:p>
      <w:pPr>
        <w:spacing w:after="0" w:line="87"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w:t>
      </w:r>
    </w:p>
    <w:p>
      <w:pPr>
        <w:spacing w:after="0" w:line="131" w:lineRule="exact"/>
        <w:rPr>
          <w:sz w:val="20"/>
          <w:szCs w:val="20"/>
          <w:color w:val="auto"/>
        </w:rPr>
      </w:pPr>
    </w:p>
    <w:p>
      <w:pPr>
        <w:ind w:left="1080" w:hanging="775"/>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5" w:name="page46"/>
    <w:bookmarkEnd w:id="45"/>
    <w:p>
      <w:pPr>
        <w:ind w:left="460" w:right="440" w:hanging="452"/>
        <w:spacing w:after="0" w:line="282"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or Award Certificate, all references to money amounts are to English currency.</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135" w:lineRule="exact"/>
        <w:rPr>
          <w:sz w:val="20"/>
          <w:szCs w:val="20"/>
          <w:color w:val="auto"/>
        </w:rPr>
      </w:pPr>
    </w:p>
    <w:p>
      <w:pPr>
        <w:ind w:left="460" w:right="500" w:hanging="452"/>
        <w:spacing w:after="0" w:line="28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67" w:lineRule="exact"/>
        <w:rPr>
          <w:rFonts w:ascii="Times New Roman" w:cs="Times New Roman" w:eastAsia="Times New Roman" w:hAnsi="Times New Roman"/>
          <w:sz w:val="18"/>
          <w:szCs w:val="18"/>
          <w:color w:val="auto"/>
        </w:rPr>
      </w:pPr>
    </w:p>
    <w:p>
      <w:pPr>
        <w:ind w:left="460" w:right="80" w:hanging="452"/>
        <w:spacing w:after="0" w:line="253"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 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92"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92" w:lineRule="exact"/>
        <w:rPr>
          <w:rFonts w:ascii="Times New Roman" w:cs="Times New Roman" w:eastAsia="Times New Roman" w:hAnsi="Times New Roman"/>
          <w:sz w:val="18"/>
          <w:szCs w:val="18"/>
          <w:color w:val="auto"/>
        </w:rPr>
      </w:pPr>
    </w:p>
    <w:p>
      <w:pPr>
        <w:ind w:left="460" w:right="20" w:hanging="452"/>
        <w:spacing w:after="0" w:line="266"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81" w:lineRule="exact"/>
        <w:rPr>
          <w:rFonts w:ascii="Times New Roman" w:cs="Times New Roman" w:eastAsia="Times New Roman" w:hAnsi="Times New Roman"/>
          <w:sz w:val="18"/>
          <w:szCs w:val="18"/>
          <w:color w:val="auto"/>
        </w:rPr>
      </w:pPr>
    </w:p>
    <w:p>
      <w:pPr>
        <w:ind w:left="460" w:right="140" w:hanging="452"/>
        <w:spacing w:after="0" w:line="257"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w:t>
      </w:r>
    </w:p>
    <w:p>
      <w:pPr>
        <w:spacing w:after="0" w:line="1" w:lineRule="exact"/>
        <w:rPr>
          <w:rFonts w:ascii="Times New Roman" w:cs="Times New Roman" w:eastAsia="Times New Roman" w:hAnsi="Times New Roman"/>
          <w:sz w:val="18"/>
          <w:szCs w:val="18"/>
          <w:color w:val="auto"/>
        </w:rPr>
      </w:pPr>
    </w:p>
    <w:p>
      <w:pPr>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92"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b w:val="1"/>
          <w:bCs w:val="1"/>
          <w:color w:val="auto"/>
        </w:rPr>
        <w:t>Grant of Awards and Shares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ind w:left="460" w:right="320" w:hanging="452"/>
        <w:spacing w:after="0" w:line="282"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67" w:lineRule="exact"/>
        <w:rPr>
          <w:rFonts w:ascii="Times New Roman" w:cs="Times New Roman" w:eastAsia="Times New Roman" w:hAnsi="Times New Roman"/>
          <w:sz w:val="18"/>
          <w:szCs w:val="18"/>
          <w:color w:val="auto"/>
        </w:rPr>
      </w:pPr>
    </w:p>
    <w:p>
      <w:pPr>
        <w:ind w:left="1020" w:right="20" w:hanging="567"/>
        <w:spacing w:after="0" w:line="266" w:lineRule="auto"/>
        <w:tabs>
          <w:tab w:leader="none" w:pos="102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 number of Company Shares issued or proposed to be issued in connection with the Additional Issuances;</w:t>
      </w:r>
    </w:p>
    <w:p>
      <w:pPr>
        <w:spacing w:after="0" w:line="108" w:lineRule="exact"/>
        <w:rPr>
          <w:rFonts w:ascii="Times New Roman" w:cs="Times New Roman" w:eastAsia="Times New Roman" w:hAnsi="Times New Roman"/>
          <w:sz w:val="18"/>
          <w:szCs w:val="18"/>
          <w:color w:val="auto"/>
        </w:rPr>
      </w:pPr>
    </w:p>
    <w:p>
      <w:pPr>
        <w:ind w:left="1020" w:right="120" w:hanging="553"/>
        <w:spacing w:after="0" w:line="261" w:lineRule="auto"/>
        <w:tabs>
          <w:tab w:leader="none" w:pos="102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179" w:lineRule="exact"/>
        <w:rPr>
          <w:rFonts w:ascii="Times New Roman" w:cs="Times New Roman" w:eastAsia="Times New Roman" w:hAnsi="Times New Roman"/>
          <w:sz w:val="18"/>
          <w:szCs w:val="18"/>
          <w:color w:val="auto"/>
        </w:rPr>
      </w:pPr>
    </w:p>
    <w:p>
      <w:pPr>
        <w:ind w:left="1020" w:hanging="553"/>
        <w:spacing w:after="0" w:line="254" w:lineRule="auto"/>
        <w:tabs>
          <w:tab w:leader="none" w:pos="102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sole discretion, at any time on or after 1 January 2025 and in each calendar year thereafter determine that an additional pool of Shares be reserved for issuance or transfer from treasury, under this Plan and any sub-plan being a pool of up to 5% of the fully diluted issued and outstanding Equity Securities, (and any option, warrant, right or security (including debt securities) convertible, exchangeable or exercisable therefor) of the Company (the "</w:t>
      </w:r>
      <w:r>
        <w:rPr>
          <w:rFonts w:ascii="Times New Roman" w:cs="Times New Roman" w:eastAsia="Times New Roman" w:hAnsi="Times New Roman"/>
          <w:sz w:val="18"/>
          <w:szCs w:val="18"/>
          <w:b w:val="1"/>
          <w:bCs w:val="1"/>
          <w:color w:val="auto"/>
        </w:rPr>
        <w:t>Fully Diluted Capital</w:t>
      </w:r>
      <w:r>
        <w:rPr>
          <w:rFonts w:ascii="Times New Roman" w:cs="Times New Roman" w:eastAsia="Times New Roman" w:hAnsi="Times New Roman"/>
          <w:sz w:val="18"/>
          <w:szCs w:val="18"/>
          <w:color w:val="auto"/>
        </w:rPr>
        <w:t>") as of such date in the relevant calendar year that the Board may determine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(provided that each such additional pool shall be capped at 5% of such Fully Diluted Capital each calendar year and shall be separate to the reservation set out in Section 2.2(a) and to any additional pool created in any previous year.) For the avoidance of doubt, there may not be more than one Calculation Date in a calendar year but the Calculation Date in one calendar year need not be the same as the Calculation Date in another calendar year.</w:t>
      </w:r>
    </w:p>
    <w:p>
      <w:pPr>
        <w:spacing w:after="0" w:line="33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b w:val="1"/>
          <w:bCs w:val="1"/>
          <w:color w:val="auto"/>
        </w:rPr>
        <w:t>Amendment and Termination.</w:t>
      </w:r>
    </w:p>
    <w:p>
      <w:pPr>
        <w:spacing w:after="0" w:line="135" w:lineRule="exact"/>
        <w:rPr>
          <w:sz w:val="20"/>
          <w:szCs w:val="20"/>
          <w:color w:val="auto"/>
        </w:rPr>
      </w:pPr>
    </w:p>
    <w:p>
      <w:pPr>
        <w:jc w:val="both"/>
        <w:ind w:left="460" w:right="60" w:hanging="452"/>
        <w:spacing w:after="0" w:line="266"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or Award Certificate or deed of grant relating thereto provided that such suspension, termination, amendment, or revision shall:</w:t>
      </w:r>
    </w:p>
    <w:p>
      <w:pPr>
        <w:spacing w:after="0" w:line="81"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 this Plan;</w:t>
      </w:r>
    </w:p>
    <w:p>
      <w:pPr>
        <w:spacing w:after="0" w:line="131" w:lineRule="exact"/>
        <w:rPr>
          <w:sz w:val="20"/>
          <w:szCs w:val="20"/>
          <w:color w:val="auto"/>
        </w:rPr>
      </w:pPr>
    </w:p>
    <w:p>
      <w:pPr>
        <w:ind w:left="1040" w:hanging="573"/>
        <w:spacing w:after="0" w:line="282" w:lineRule="auto"/>
        <w:tabs>
          <w:tab w:leader="none" w:pos="1040"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compliance with applicable law and subject to any regulatory approvals including, where required, the approval of the Stock Exchange; and</w:t>
      </w:r>
    </w:p>
    <w:p>
      <w:pPr>
        <w:spacing w:after="0" w:line="6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Shareholder approval, where required by law, the requirements of the Stock Exchange or this Plan.</w:t>
      </w:r>
    </w:p>
    <w:p>
      <w:pPr>
        <w:spacing w:after="0" w:line="130" w:lineRule="exact"/>
        <w:rPr>
          <w:rFonts w:ascii="Times New Roman" w:cs="Times New Roman" w:eastAsia="Times New Roman" w:hAnsi="Times New Roman"/>
          <w:sz w:val="18"/>
          <w:szCs w:val="18"/>
          <w:color w:val="auto"/>
        </w:rPr>
      </w:pPr>
    </w:p>
    <w:p>
      <w:pPr>
        <w:jc w:val="both"/>
        <w:ind w:left="460" w:right="180" w:hanging="452"/>
        <w:spacing w:after="0" w:line="261" w:lineRule="auto"/>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85"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67" w:lineRule="exact"/>
        <w:rPr>
          <w:rFonts w:ascii="Times New Roman" w:cs="Times New Roman" w:eastAsia="Times New Roman" w:hAnsi="Times New Roman"/>
          <w:sz w:val="18"/>
          <w:szCs w:val="18"/>
          <w:color w:val="auto"/>
        </w:rPr>
      </w:pPr>
    </w:p>
    <w:p>
      <w:pPr>
        <w:jc w:val="both"/>
        <w:ind w:left="1020" w:right="260" w:hanging="567"/>
        <w:spacing w:after="0" w:line="266"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 administrative nature, including without limitation those made to clarify the meaning of an existing provision of the Plan, correct or supplement any provision of the Plan that is inconsistent with any other provision of the Plan, correct any grammatical or typographical errors or amend the definitions in the Plan regarding administration of the Plan;</w:t>
      </w:r>
    </w:p>
    <w:p>
      <w:pPr>
        <w:spacing w:after="0" w:line="81"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alter, extend or accelerate the terms of vesting or settlement applicable to any Awards;</w:t>
      </w:r>
    </w:p>
    <w:p>
      <w:pPr>
        <w:spacing w:after="0" w:line="15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Plan respecting administration and eligibility for participation under the Plan; and</w:t>
      </w:r>
    </w:p>
    <w:p>
      <w:pPr>
        <w:spacing w:after="0" w:line="130" w:lineRule="exact"/>
        <w:rPr>
          <w:rFonts w:ascii="Times New Roman" w:cs="Times New Roman" w:eastAsia="Times New Roman" w:hAnsi="Times New Roman"/>
          <w:sz w:val="18"/>
          <w:szCs w:val="18"/>
          <w:color w:val="auto"/>
        </w:rPr>
      </w:pPr>
    </w:p>
    <w:p>
      <w:pPr>
        <w:ind w:left="1020" w:right="260" w:hanging="567"/>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 Award as necessary to comply with applicable law or the requirements of the Stock Exchange or any other regulatory body having authority over the Company, the Plan, the Participants or the Shareholders.</w:t>
      </w:r>
    </w:p>
    <w:p>
      <w:pPr>
        <w:spacing w:after="0" w:line="6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the following amendments to the Plan:</w:t>
      </w:r>
    </w:p>
    <w:p>
      <w:pPr>
        <w:spacing w:after="0" w:line="252" w:lineRule="exact"/>
        <w:rPr>
          <w:rFonts w:ascii="Times New Roman" w:cs="Times New Roman" w:eastAsia="Times New Roman" w:hAnsi="Times New Roman"/>
          <w:sz w:val="18"/>
          <w:szCs w:val="18"/>
          <w:color w:val="auto"/>
        </w:rPr>
      </w:pPr>
    </w:p>
    <w:p>
      <w:pPr>
        <w:ind w:left="1020" w:right="100" w:hanging="553"/>
        <w:spacing w:after="0" w:line="261" w:lineRule="auto"/>
        <w:tabs>
          <w:tab w:leader="none" w:pos="102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such shareholder approval is required by applicable law and/or the rules and regulations of the Stock Exchange or any other stock exchange on which the Shares are listed or posted for trading, any increase in the maximum number of Shares that may be issuable by the Company, including from treasury, pursuant to Awards granted under the Plan (as set out in Section 2.2), other than an adjustment pursuant to Section 2.15;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7" w:name="page48"/>
    <w:bookmarkEnd w:id="47"/>
    <w:p>
      <w:pPr>
        <w:ind w:left="1020" w:hanging="553"/>
        <w:spacing w:after="0"/>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200" w:lineRule="exact"/>
        <w:rPr>
          <w:sz w:val="20"/>
          <w:szCs w:val="20"/>
          <w:color w:val="auto"/>
        </w:rPr>
      </w:pPr>
    </w:p>
    <w:p>
      <w:pPr>
        <w:spacing w:after="0" w:line="29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b w:val="1"/>
          <w:bCs w:val="1"/>
          <w:color w:val="auto"/>
        </w:rPr>
        <w:t>Compliance with Legislation</w:t>
      </w:r>
    </w:p>
    <w:p>
      <w:pPr>
        <w:spacing w:after="0" w:line="135" w:lineRule="exact"/>
        <w:rPr>
          <w:sz w:val="20"/>
          <w:szCs w:val="20"/>
          <w:color w:val="auto"/>
        </w:rPr>
      </w:pPr>
    </w:p>
    <w:p>
      <w:pPr>
        <w:ind w:left="460" w:right="40" w:hanging="452"/>
        <w:spacing w:after="0" w:line="256"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92"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85" w:lineRule="exact"/>
        <w:rPr>
          <w:sz w:val="20"/>
          <w:szCs w:val="20"/>
          <w:color w:val="auto"/>
        </w:rPr>
      </w:pPr>
    </w:p>
    <w:p>
      <w:pPr>
        <w:ind w:left="460" w:right="20" w:hanging="452"/>
        <w:spacing w:after="0" w:line="255" w:lineRule="auto"/>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 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b w:val="1"/>
          <w:bCs w:val="1"/>
          <w:color w:val="auto"/>
        </w:rPr>
        <w:t>Applicable Tax Withholdings and Deductions.</w:t>
      </w:r>
    </w:p>
    <w:p>
      <w:pPr>
        <w:spacing w:after="0" w:line="135" w:lineRule="exact"/>
        <w:rPr>
          <w:sz w:val="20"/>
          <w:szCs w:val="20"/>
          <w:color w:val="auto"/>
        </w:rPr>
      </w:pPr>
    </w:p>
    <w:p>
      <w:pPr>
        <w:ind w:left="460" w:hanging="452"/>
        <w:spacing w:after="0" w:line="255"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94"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9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130" w:lineRule="exact"/>
        <w:rPr>
          <w:rFonts w:ascii="Times New Roman" w:cs="Times New Roman" w:eastAsia="Times New Roman" w:hAnsi="Times New Roman"/>
          <w:sz w:val="18"/>
          <w:szCs w:val="18"/>
          <w:color w:val="auto"/>
        </w:rPr>
      </w:pPr>
    </w:p>
    <w:p>
      <w:pPr>
        <w:ind w:left="1020" w:right="560" w:hanging="567"/>
        <w:spacing w:after="0" w:line="266"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81" w:lineRule="exact"/>
        <w:rPr>
          <w:rFonts w:ascii="Times New Roman" w:cs="Times New Roman" w:eastAsia="Times New Roman" w:hAnsi="Times New Roman"/>
          <w:sz w:val="18"/>
          <w:szCs w:val="18"/>
          <w:color w:val="auto"/>
        </w:rPr>
      </w:pPr>
    </w:p>
    <w:p>
      <w:pPr>
        <w:ind w:left="1020" w:right="680" w:hanging="567"/>
        <w:spacing w:after="0" w:line="282"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 Withholding Tax Liability, and to cause the proceeds from the sale of such Shares to be delivered to the Company; or</w:t>
      </w:r>
    </w:p>
    <w:p>
      <w:pPr>
        <w:spacing w:after="0" w:line="67" w:lineRule="exact"/>
        <w:rPr>
          <w:rFonts w:ascii="Times New Roman" w:cs="Times New Roman" w:eastAsia="Times New Roman" w:hAnsi="Times New Roman"/>
          <w:sz w:val="18"/>
          <w:szCs w:val="18"/>
          <w:color w:val="auto"/>
        </w:rPr>
      </w:pPr>
    </w:p>
    <w:p>
      <w:pPr>
        <w:ind w:left="1020" w:right="180" w:hanging="567"/>
        <w:spacing w:after="0" w:line="282" w:lineRule="auto"/>
        <w:tabs>
          <w:tab w:leader="none" w:pos="10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line="9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b w:val="1"/>
          <w:bCs w:val="1"/>
          <w:color w:val="auto"/>
        </w:rPr>
        <w:t>No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b w:val="1"/>
          <w:bCs w:val="1"/>
          <w:color w:val="auto"/>
        </w:rPr>
        <w:t>Non-Transferability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131" w:lineRule="exact"/>
        <w:rPr>
          <w:sz w:val="20"/>
          <w:szCs w:val="20"/>
          <w:color w:val="auto"/>
        </w:rPr>
      </w:pPr>
    </w:p>
    <w:p>
      <w:pPr>
        <w:ind w:left="1000" w:hanging="547"/>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5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200" w:lineRule="exact"/>
        <w:rPr>
          <w:sz w:val="20"/>
          <w:szCs w:val="20"/>
          <w:color w:val="auto"/>
        </w:rPr>
      </w:pPr>
    </w:p>
    <w:p>
      <w:pPr>
        <w:spacing w:after="0" w:line="29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b w:val="1"/>
          <w:bCs w:val="1"/>
          <w:color w:val="auto"/>
        </w:rPr>
        <w:t>Participation in this Plan.</w:t>
      </w:r>
    </w:p>
    <w:p>
      <w:pPr>
        <w:spacing w:after="0" w:line="135" w:lineRule="exact"/>
        <w:rPr>
          <w:sz w:val="20"/>
          <w:szCs w:val="20"/>
          <w:color w:val="auto"/>
        </w:rPr>
      </w:pPr>
    </w:p>
    <w:p>
      <w:pPr>
        <w:ind w:left="460" w:right="20" w:hanging="452"/>
        <w:spacing w:after="0" w:line="253"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 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99"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92"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Company'sassets shall be, and remain, the general unrestricted assets of the Company or Affiliate or Group Company.</w:t>
      </w:r>
    </w:p>
    <w:p>
      <w:pPr>
        <w:spacing w:after="0" w:line="214"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color w:val="auto"/>
        </w:rPr>
        <w:t>Notice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b w:val="1"/>
          <w:bCs w:val="1"/>
          <w:color w:val="auto"/>
        </w:rPr>
        <w:t>Right to Issue Other Shares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b w:val="1"/>
          <w:bCs w:val="1"/>
          <w:color w:val="auto"/>
        </w:rPr>
        <w:t>Quotation of Shares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00" w:lineRule="exact"/>
        <w:rPr>
          <w:sz w:val="20"/>
          <w:szCs w:val="20"/>
          <w:color w:val="auto"/>
        </w:rPr>
      </w:pPr>
    </w:p>
    <w:p>
      <w:pPr>
        <w:spacing w:after="0" w:line="21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b w:val="1"/>
          <w:bCs w:val="1"/>
          <w:color w:val="auto"/>
        </w:rPr>
        <w:t>Conformity to Plan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or deed of grant and/or Award Certificate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32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b w:val="1"/>
          <w:bCs w:val="1"/>
          <w:color w:val="auto"/>
        </w:rPr>
        <w:t>Dividend Equivalents.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w:t>
      </w:r>
    </w:p>
    <w:p>
      <w:pPr>
        <w:spacing w:after="0" w:line="3" w:lineRule="exact"/>
        <w:rPr>
          <w:sz w:val="20"/>
          <w:szCs w:val="20"/>
          <w:color w:val="auto"/>
        </w:rPr>
      </w:pPr>
    </w:p>
    <w:p>
      <w:pPr>
        <w:ind w:right="560" w:firstLine="8"/>
        <w:spacing w:after="0" w:line="260" w:lineRule="auto"/>
        <w:tabs>
          <w:tab w:leader="none" w:pos="2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a Share on the dividend payment date for such dividend, in each case, with fractions computed to two decimal places. Such additional Units, if credited, shall vest on the same basis as the underlying Units. This provision shall not apply to Options.</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b w:val="1"/>
          <w:bCs w:val="1"/>
          <w:color w:val="auto"/>
        </w:rPr>
        <w:t>Adjustments.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33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b w:val="1"/>
          <w:bCs w:val="1"/>
          <w:color w:val="auto"/>
        </w:rPr>
        <w:t>Cancellation of Awards.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154"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b w:val="1"/>
          <w:bCs w:val="1"/>
          <w:color w:val="auto"/>
        </w:rPr>
        <w:t>Data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50" w:name="page51"/>
    <w:bookmarkEnd w:id="50"/>
    <w:p>
      <w:pPr>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b w:val="1"/>
          <w:bCs w:val="1"/>
          <w:color w:val="auto"/>
        </w:rPr>
        <w:t>Grant of Restricted Share Units.</w:t>
      </w:r>
    </w:p>
    <w:p>
      <w:pPr>
        <w:spacing w:after="0" w:line="135" w:lineRule="exact"/>
        <w:rPr>
          <w:sz w:val="20"/>
          <w:szCs w:val="20"/>
          <w:color w:val="auto"/>
        </w:rPr>
      </w:pPr>
    </w:p>
    <w:p>
      <w:pPr>
        <w:ind w:left="460" w:right="160" w:hanging="452"/>
        <w:spacing w:after="0" w:line="282"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460" w:right="300" w:hanging="452"/>
        <w:spacing w:after="0" w:line="282"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either made by a deed of grant executed by the Company and evidenced by an Award Certificate, or evidenced by a Grant Agreement, signed on behalf of the Company and, if required by the Board, countersigned by the relevant Participant.</w:t>
      </w:r>
    </w:p>
    <w:p>
      <w:pPr>
        <w:spacing w:after="0" w:line="67"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 RSU Participant to receive nor preclude such RSU Participant from receiving subsequently granted Restricted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number of Restricted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the applicable deed of grant or any other provision of this Plan:</w:t>
      </w:r>
    </w:p>
    <w:p>
      <w:pPr>
        <w:spacing w:after="0" w:line="131" w:lineRule="exact"/>
        <w:rPr>
          <w:sz w:val="20"/>
          <w:szCs w:val="20"/>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anniversary of the Date of Grant; and</w:t>
      </w:r>
    </w:p>
    <w:p>
      <w:pPr>
        <w:spacing w:after="0" w:line="107" w:lineRule="exact"/>
        <w:rPr>
          <w:rFonts w:ascii="Times New Roman" w:cs="Times New Roman" w:eastAsia="Times New Roman" w:hAnsi="Times New Roman"/>
          <w:sz w:val="18"/>
          <w:szCs w:val="18"/>
          <w:color w:val="auto"/>
        </w:rPr>
      </w:pPr>
    </w:p>
    <w:p>
      <w:pPr>
        <w:ind w:left="460" w:right="160" w:hanging="452"/>
        <w:spacing w:after="0" w:line="312" w:lineRule="auto"/>
        <w:tabs>
          <w:tab w:leader="none" w:pos="4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Restricted Share Units credited pursuant to Section 2.14 shall vest simultaneously with the Restricted Share Units to which they relate, provided the Participant is continuously employed by the Company, or any of its Group Companies, from the Date of Grant until such Vesting Date,</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b w:val="1"/>
          <w:bCs w:val="1"/>
          <w:color w:val="auto"/>
        </w:rPr>
        <w:t>Settlement of Restricted Share Units.</w:t>
      </w:r>
    </w:p>
    <w:p>
      <w:pPr>
        <w:spacing w:after="0" w:line="135" w:lineRule="exact"/>
        <w:rPr>
          <w:sz w:val="20"/>
          <w:szCs w:val="20"/>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RSU Participant’s Grant Agreement or applicable deed of grant or any other provision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1" w:name="page52"/>
    <w:bookmarkEnd w:id="51"/>
    <w:p>
      <w:pPr>
        <w:ind w:left="920" w:right="300" w:hanging="453"/>
        <w:spacing w:after="0" w:line="282" w:lineRule="auto"/>
        <w:tabs>
          <w:tab w:leader="none" w:pos="92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20" w:right="800" w:hanging="453"/>
        <w:spacing w:after="0" w:line="282" w:lineRule="auto"/>
        <w:tabs>
          <w:tab w:leader="none" w:pos="920" w:val="left"/>
        </w:tabs>
        <w:numPr>
          <w:ilvl w:val="2"/>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67" w:lineRule="exact"/>
        <w:rPr>
          <w:rFonts w:ascii="Times New Roman" w:cs="Times New Roman" w:eastAsia="Times New Roman" w:hAnsi="Times New Roman"/>
          <w:sz w:val="18"/>
          <w:szCs w:val="18"/>
          <w:color w:val="auto"/>
        </w:rPr>
      </w:pPr>
    </w:p>
    <w:p>
      <w:pPr>
        <w:ind w:left="920" w:right="200" w:hanging="467"/>
        <w:spacing w:after="0" w:line="266" w:lineRule="auto"/>
        <w:tabs>
          <w:tab w:leader="none" w:pos="9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 Section 4.2(1)), Shares (determined in accordance with Section 4.2(2)) or a combination thereof.</w:t>
      </w:r>
    </w:p>
    <w:p>
      <w:pPr>
        <w:spacing w:after="0" w:line="8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94" w:lineRule="exact"/>
        <w:rPr>
          <w:rFonts w:ascii="Times New Roman" w:cs="Times New Roman" w:eastAsia="Times New Roman" w:hAnsi="Times New Roman"/>
          <w:sz w:val="18"/>
          <w:szCs w:val="18"/>
          <w:color w:val="auto"/>
        </w:rPr>
      </w:pPr>
    </w:p>
    <w:p>
      <w:pPr>
        <w:ind w:left="1020" w:right="340" w:hanging="567"/>
        <w:spacing w:after="0" w:line="282" w:lineRule="auto"/>
        <w:tabs>
          <w:tab w:leader="none" w:pos="10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20" w:right="100" w:hanging="567"/>
        <w:spacing w:after="0" w:line="282" w:lineRule="auto"/>
        <w:tabs>
          <w:tab w:leader="none" w:pos="10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67"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 RSU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100" w:hanging="452"/>
        <w:spacing w:after="0" w:line="262" w:lineRule="auto"/>
        <w:tabs>
          <w:tab w:leader="none" w:pos="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81"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460" w:right="280" w:hanging="452"/>
        <w:spacing w:after="0" w:line="282" w:lineRule="auto"/>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or applicable deed of grant and regardless of any adverse or potentially adverse tax or other consequences resulting from the following:</w:t>
      </w:r>
    </w:p>
    <w:p>
      <w:pPr>
        <w:spacing w:after="0" w:line="337" w:lineRule="exact"/>
        <w:rPr>
          <w:rFonts w:ascii="Times New Roman" w:cs="Times New Roman" w:eastAsia="Times New Roman" w:hAnsi="Times New Roman"/>
          <w:sz w:val="18"/>
          <w:szCs w:val="18"/>
          <w:color w:val="auto"/>
        </w:rPr>
      </w:pPr>
    </w:p>
    <w:p>
      <w:pPr>
        <w:ind w:left="1020" w:right="300" w:hanging="553"/>
        <w:spacing w:after="0" w:line="261" w:lineRule="auto"/>
        <w:tabs>
          <w:tab w:leader="none" w:pos="10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or applicable deed of grant),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85" w:lineRule="exact"/>
        <w:rPr>
          <w:rFonts w:ascii="Times New Roman" w:cs="Times New Roman" w:eastAsia="Times New Roman" w:hAnsi="Times New Roman"/>
          <w:sz w:val="18"/>
          <w:szCs w:val="18"/>
          <w:color w:val="auto"/>
        </w:rPr>
      </w:pPr>
    </w:p>
    <w:p>
      <w:pPr>
        <w:ind w:left="1020" w:right="260" w:hanging="553"/>
        <w:spacing w:after="0" w:line="282" w:lineRule="auto"/>
        <w:tabs>
          <w:tab w:leader="none" w:pos="10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applicable deed of grant),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ind w:left="1020" w:right="140"/>
        <w:spacing w:after="0" w:line="282" w:lineRule="auto"/>
        <w:rPr>
          <w:sz w:val="20"/>
          <w:szCs w:val="20"/>
          <w:color w:val="auto"/>
        </w:rPr>
      </w:pPr>
      <w:r>
        <w:rPr>
          <w:rFonts w:ascii="Times New Roman" w:cs="Times New Roman" w:eastAsia="Times New Roman" w:hAnsi="Times New Roman"/>
          <w:sz w:val="18"/>
          <w:szCs w:val="18"/>
          <w:color w:val="auto"/>
        </w:rPr>
        <w:t>as a result of such RSU Participant’s death or physical or psychological Incapacity, any unvested Restricted Share Units held by such RSU Participant shall vest on the RSU Termination Date.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b w:val="1"/>
          <w:bCs w:val="1"/>
          <w:color w:val="auto"/>
        </w:rPr>
        <w:t>Grant of Deferred Share Units.</w:t>
      </w:r>
    </w:p>
    <w:p>
      <w:pPr>
        <w:spacing w:after="0" w:line="135" w:lineRule="exact"/>
        <w:rPr>
          <w:sz w:val="20"/>
          <w:szCs w:val="20"/>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130" w:lineRule="exact"/>
        <w:rPr>
          <w:rFonts w:ascii="Times New Roman" w:cs="Times New Roman" w:eastAsia="Times New Roman" w:hAnsi="Times New Roman"/>
          <w:sz w:val="18"/>
          <w:szCs w:val="18"/>
          <w:color w:val="auto"/>
        </w:rPr>
      </w:pPr>
    </w:p>
    <w:p>
      <w:pPr>
        <w:ind w:left="460" w:right="320" w:hanging="452"/>
        <w:spacing w:after="0" w:line="282" w:lineRule="auto"/>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either made by a deed of grant executed by the Company and evidenced by an Award Certificate, or evidenced by a Grant Agreement, signed on behalf of the Company.</w:t>
      </w:r>
    </w:p>
    <w:p>
      <w:pPr>
        <w:spacing w:after="0" w:line="6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b w:val="1"/>
          <w:bCs w:val="1"/>
          <w:color w:val="auto"/>
        </w:rPr>
        <w:t>Termination Right.</w:t>
      </w:r>
    </w:p>
    <w:p>
      <w:pPr>
        <w:spacing w:after="0" w:line="135" w:lineRule="exact"/>
        <w:rPr>
          <w:sz w:val="20"/>
          <w:szCs w:val="20"/>
          <w:color w:val="auto"/>
        </w:rPr>
      </w:pPr>
    </w:p>
    <w:p>
      <w:pPr>
        <w:jc w:val="both"/>
        <w:ind w:left="460" w:right="140" w:hanging="452"/>
        <w:spacing w:after="0" w:line="266"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131" w:lineRule="exact"/>
        <w:rPr>
          <w:sz w:val="20"/>
          <w:szCs w:val="20"/>
          <w:color w:val="auto"/>
        </w:rPr>
      </w:pPr>
    </w:p>
    <w:p>
      <w:pPr>
        <w:ind w:left="460" w:right="100" w:hanging="452"/>
        <w:spacing w:after="0" w:line="282"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35" w:lineRule="exact"/>
        <w:rPr>
          <w:sz w:val="20"/>
          <w:szCs w:val="20"/>
          <w:color w:val="auto"/>
        </w:rPr>
      </w:pPr>
    </w:p>
    <w:p>
      <w:pPr>
        <w:ind w:left="460" w:right="100" w:hanging="452"/>
        <w:spacing w:after="0" w:line="282" w:lineRule="auto"/>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00" w:lineRule="exact"/>
        <w:rPr>
          <w:sz w:val="20"/>
          <w:szCs w:val="20"/>
          <w:color w:val="auto"/>
        </w:rPr>
      </w:pPr>
    </w:p>
    <w:p>
      <w:pPr>
        <w:spacing w:after="0" w:line="2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35" w:lineRule="exact"/>
        <w:rPr>
          <w:sz w:val="20"/>
          <w:szCs w:val="20"/>
          <w:color w:val="auto"/>
        </w:rPr>
      </w:pPr>
    </w:p>
    <w:p>
      <w:pPr>
        <w:ind w:left="460" w:right="320" w:hanging="452"/>
        <w:spacing w:after="0" w:line="282" w:lineRule="auto"/>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DSU Participants will not have any right to receive any benefit under the Plan in respect of a Deferred Share Unit until the DSU Termination Date.</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b w:val="1"/>
          <w:bCs w:val="1"/>
          <w:color w:val="auto"/>
        </w:rPr>
        <w:t>Settlement in respect of Deferred Share Units.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67" w:lineRule="exact"/>
        <w:rPr>
          <w:sz w:val="20"/>
          <w:szCs w:val="20"/>
          <w:color w:val="auto"/>
        </w:rPr>
      </w:pPr>
    </w:p>
    <w:p>
      <w:pPr>
        <w:ind w:left="460" w:right="200" w:hanging="452"/>
        <w:spacing w:after="0" w:line="261" w:lineRule="auto"/>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53" w:name="page54"/>
    <w:bookmarkEnd w:id="53"/>
    <w:p>
      <w:pPr>
        <w:ind w:left="460" w:right="80" w:hanging="452"/>
        <w:spacing w:after="0" w:line="282" w:lineRule="auto"/>
        <w:tabs>
          <w:tab w:leader="none" w:pos="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130" w:lineRule="exact"/>
        <w:rPr>
          <w:rFonts w:ascii="Times New Roman" w:cs="Times New Roman" w:eastAsia="Times New Roman" w:hAnsi="Times New Roman"/>
          <w:sz w:val="18"/>
          <w:szCs w:val="18"/>
          <w:color w:val="auto"/>
        </w:rPr>
      </w:pPr>
    </w:p>
    <w:p>
      <w:pPr>
        <w:jc w:val="both"/>
        <w:ind w:left="1020" w:right="40" w:hanging="567"/>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 representative (or such other person as is referred to in Section 2.8), as the case may be, representing the Cash Equivalent;</w:t>
      </w:r>
    </w:p>
    <w:p>
      <w:pPr>
        <w:spacing w:after="0" w:line="108" w:lineRule="exact"/>
        <w:rPr>
          <w:rFonts w:ascii="Times New Roman" w:cs="Times New Roman" w:eastAsia="Times New Roman" w:hAnsi="Times New Roman"/>
          <w:sz w:val="18"/>
          <w:szCs w:val="18"/>
          <w:color w:val="auto"/>
        </w:rPr>
      </w:pPr>
    </w:p>
    <w:p>
      <w:pPr>
        <w:ind w:left="1020" w:right="200" w:hanging="553"/>
        <w:spacing w:after="0" w:line="282" w:lineRule="auto"/>
        <w:tabs>
          <w:tab w:leader="none" w:pos="102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1080" w:hanging="487"/>
        <w:spacing w:after="0"/>
        <w:tabs>
          <w:tab w:leader="none" w:pos="108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 Equivalent, a combination of (a) and (b) above.</w:t>
      </w:r>
    </w:p>
    <w:p>
      <w:pPr>
        <w:spacing w:after="0" w:line="27" w:lineRule="exact"/>
        <w:rPr>
          <w:rFonts w:ascii="Times New Roman" w:cs="Times New Roman" w:eastAsia="Times New Roman" w:hAnsi="Times New Roman"/>
          <w:sz w:val="18"/>
          <w:szCs w:val="18"/>
          <w:color w:val="auto"/>
        </w:rPr>
      </w:pPr>
    </w:p>
    <w:p>
      <w:pPr>
        <w:ind w:left="540" w:right="460" w:hanging="532"/>
        <w:spacing w:after="0" w:line="180" w:lineRule="auto"/>
        <w:tabs>
          <w:tab w:leader="none" w:pos="540" w:val="left"/>
        </w:tabs>
        <w:numPr>
          <w:ilvl w:val="0"/>
          <w:numId w:val="137"/>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Notwithstanding any other provision of the Plan, the Company may require as a condition of settlement that the DSU Participant enters into a Section 431 Election with their employer in respect of any Shares to be acquired.</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220" w:hanging="452"/>
        <w:spacing w:after="0" w:line="268" w:lineRule="auto"/>
        <w:tabs>
          <w:tab w:leader="none" w:pos="4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76"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DSU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b w:val="1"/>
          <w:bCs w:val="1"/>
          <w:color w:val="auto"/>
        </w:rPr>
        <w:t>Grant of Incentive Share Units</w:t>
      </w:r>
    </w:p>
    <w:p>
      <w:pPr>
        <w:spacing w:after="0" w:line="135" w:lineRule="exact"/>
        <w:rPr>
          <w:sz w:val="20"/>
          <w:szCs w:val="20"/>
          <w:color w:val="auto"/>
        </w:rPr>
      </w:pPr>
    </w:p>
    <w:p>
      <w:pPr>
        <w:ind w:left="460" w:right="200" w:hanging="452"/>
        <w:spacing w:after="0" w:line="282" w:lineRule="auto"/>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either made by a deed of grant executed by the Company and evidenced by an Award Certificate, or evidenced by a Grant Agreement, signed on behalf of the Company.</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3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Each ISU Participant’s Grant Agreement or the applicable deed of grant shall describe the Performance Criteria established by the Board that must be achieved for Incentive Share Units to vest to the ISU Participant, provided the ISU Participant is continuously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4" w:name="page55"/>
    <w:bookmarkEnd w:id="54"/>
    <w:p>
      <w:pPr>
        <w:ind w:right="240"/>
        <w:spacing w:after="0" w:line="266" w:lineRule="auto"/>
        <w:rPr>
          <w:sz w:val="20"/>
          <w:szCs w:val="20"/>
          <w:color w:val="auto"/>
        </w:rPr>
      </w:pPr>
      <w:r>
        <w:rPr>
          <w:rFonts w:ascii="Times New Roman" w:cs="Times New Roman" w:eastAsia="Times New Roman" w:hAnsi="Times New Roman"/>
          <w:sz w:val="18"/>
          <w:szCs w:val="18"/>
          <w:color w:val="auto"/>
        </w:rPr>
        <w:t>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b w:val="1"/>
          <w:bCs w:val="1"/>
          <w:color w:val="auto"/>
        </w:rPr>
        <w:t>Settlement of Incentive Share Units.</w:t>
      </w:r>
    </w:p>
    <w:p>
      <w:pPr>
        <w:spacing w:after="0" w:line="135" w:lineRule="exact"/>
        <w:rPr>
          <w:sz w:val="20"/>
          <w:szCs w:val="20"/>
          <w:color w:val="auto"/>
        </w:rPr>
      </w:pPr>
    </w:p>
    <w:p>
      <w:pPr>
        <w:ind w:left="460" w:hanging="452"/>
        <w:spacing w:after="0"/>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the applicable deed of grant, or any other provision of this Plan:</w:t>
      </w:r>
    </w:p>
    <w:p>
      <w:pPr>
        <w:spacing w:after="0" w:line="130" w:lineRule="exact"/>
        <w:rPr>
          <w:rFonts w:ascii="Times New Roman" w:cs="Times New Roman" w:eastAsia="Times New Roman" w:hAnsi="Times New Roman"/>
          <w:sz w:val="18"/>
          <w:szCs w:val="18"/>
          <w:color w:val="auto"/>
        </w:rPr>
      </w:pPr>
    </w:p>
    <w:p>
      <w:pPr>
        <w:ind w:left="1020" w:right="260" w:hanging="567"/>
        <w:spacing w:after="0" w:line="282" w:lineRule="auto"/>
        <w:tabs>
          <w:tab w:leader="none" w:pos="1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440" w:hanging="567"/>
        <w:spacing w:after="0" w:line="282" w:lineRule="auto"/>
        <w:tabs>
          <w:tab w:leader="none" w:pos="1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67" w:lineRule="exact"/>
        <w:rPr>
          <w:rFonts w:ascii="Times New Roman" w:cs="Times New Roman" w:eastAsia="Times New Roman" w:hAnsi="Times New Roman"/>
          <w:sz w:val="18"/>
          <w:szCs w:val="18"/>
          <w:color w:val="auto"/>
        </w:rPr>
      </w:pPr>
    </w:p>
    <w:p>
      <w:pPr>
        <w:ind w:left="1020" w:right="180" w:hanging="567"/>
        <w:spacing w:after="0" w:line="266" w:lineRule="auto"/>
        <w:tabs>
          <w:tab w:leader="none" w:pos="1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 Section 7.2(1)), Shares (determined in accordance with Section 7.2(2)) or a combination thereof.</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130" w:lineRule="exact"/>
        <w:rPr>
          <w:rFonts w:ascii="Times New Roman" w:cs="Times New Roman" w:eastAsia="Times New Roman" w:hAnsi="Times New Roman"/>
          <w:sz w:val="18"/>
          <w:szCs w:val="18"/>
          <w:color w:val="auto"/>
        </w:rPr>
      </w:pPr>
    </w:p>
    <w:p>
      <w:pPr>
        <w:ind w:left="1020" w:right="120" w:hanging="553"/>
        <w:spacing w:after="0" w:line="282" w:lineRule="auto"/>
        <w:tabs>
          <w:tab w:leader="none" w:pos="102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20" w:right="60" w:hanging="567"/>
        <w:spacing w:after="0" w:line="282" w:lineRule="auto"/>
        <w:tabs>
          <w:tab w:leader="none" w:pos="1020"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94"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67" w:lineRule="exact"/>
        <w:rPr>
          <w:rFonts w:ascii="Times New Roman" w:cs="Times New Roman" w:eastAsia="Times New Roman" w:hAnsi="Times New Roman"/>
          <w:sz w:val="18"/>
          <w:szCs w:val="18"/>
          <w:color w:val="auto"/>
        </w:rPr>
      </w:pPr>
    </w:p>
    <w:p>
      <w:pPr>
        <w:ind w:left="460" w:right="140" w:hanging="452"/>
        <w:spacing w:after="0" w:line="272" w:lineRule="auto"/>
        <w:tabs>
          <w:tab w:leader="none" w:pos="4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1" w:lineRule="exact"/>
        <w:rPr>
          <w:rFonts w:ascii="Times New Roman" w:cs="Times New Roman" w:eastAsia="Times New Roman" w:hAnsi="Times New Roman"/>
          <w:sz w:val="17"/>
          <w:szCs w:val="17"/>
          <w:color w:val="auto"/>
        </w:rPr>
      </w:pPr>
    </w:p>
    <w:p>
      <w:pPr>
        <w:ind w:left="460" w:right="20" w:hanging="452"/>
        <w:spacing w:after="0" w:line="260" w:lineRule="auto"/>
        <w:tabs>
          <w:tab w:leader="none" w:pos="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160" w:hanging="452"/>
        <w:spacing w:after="0" w:line="262" w:lineRule="auto"/>
        <w:tabs>
          <w:tab w:leader="none" w:pos="4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81"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 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or applicable deed of grant and regardless of any adverse or potentially adverse tax or other consequences resulting from the following, if a ISU Participant ceases to be an Eligible Person for any reason, any unvested Incentive Share Units held by such ISU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55" w:name="page56"/>
    <w:bookmarkEnd w:id="55"/>
    <w:p>
      <w:pPr>
        <w:ind w:right="400"/>
        <w:spacing w:after="0" w:line="282" w:lineRule="auto"/>
        <w:rPr>
          <w:sz w:val="20"/>
          <w:szCs w:val="20"/>
          <w:color w:val="auto"/>
        </w:rPr>
      </w:pPr>
      <w:r>
        <w:rPr>
          <w:rFonts w:ascii="Times New Roman" w:cs="Times New Roman" w:eastAsia="Times New Roman" w:hAnsi="Times New Roman"/>
          <w:sz w:val="18"/>
          <w:szCs w:val="18"/>
          <w:color w:val="auto"/>
        </w:rPr>
        <w:t>shall Expire on the ISU Termination Date and be of no further force or effect whatsoever and such Participant shall no longer be eligible for a grant of ISUs.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b w:val="1"/>
          <w:bCs w:val="1"/>
          <w:color w:val="auto"/>
        </w:rPr>
        <w:t>Conversion or Exchange of Units.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or deed of grant or Award Certificate,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32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b w:val="1"/>
          <w:bCs w:val="1"/>
          <w:color w:val="auto"/>
        </w:rPr>
        <w:t>Notice to Participants.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3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b w:val="1"/>
          <w:bCs w:val="1"/>
          <w:color w:val="auto"/>
        </w:rPr>
        <w:t>Acceleration of Vesting.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applicable deed of grant, or Award Certificate,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 applicable deed of grant, or Award Certificate.</w:t>
      </w:r>
    </w:p>
    <w:p>
      <w:pPr>
        <w:spacing w:after="0" w:line="116" w:lineRule="exact"/>
        <w:rPr>
          <w:sz w:val="20"/>
          <w:szCs w:val="20"/>
          <w:color w:val="auto"/>
        </w:rPr>
      </w:pPr>
    </w:p>
    <w:p>
      <w:pPr>
        <w:ind w:left="12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8"/>
          <w:szCs w:val="18"/>
          <w:b w:val="1"/>
          <w:bCs w:val="1"/>
          <w:color w:val="auto"/>
        </w:rPr>
        <w:t>Effect of Change of Control</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8"/>
          <w:szCs w:val="18"/>
          <w:b w:val="1"/>
          <w:bCs w:val="1"/>
          <w:color w:val="auto"/>
        </w:rPr>
        <w:t>Court Sanction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 8.6 below and unless the Board determines otherwise, Expire immediately after such sanction.</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8"/>
          <w:szCs w:val="18"/>
          <w:b w:val="1"/>
          <w:bCs w:val="1"/>
          <w:color w:val="auto"/>
        </w:rPr>
        <w:t>Replacement of Units</w:t>
      </w:r>
    </w:p>
    <w:p>
      <w:pPr>
        <w:spacing w:after="0" w:line="229" w:lineRule="exact"/>
        <w:rPr>
          <w:sz w:val="20"/>
          <w:szCs w:val="20"/>
          <w:color w:val="auto"/>
        </w:rPr>
      </w:pPr>
    </w:p>
    <w:p>
      <w:pPr>
        <w:ind w:left="760" w:right="440" w:hanging="378"/>
        <w:spacing w:after="0" w:line="276" w:lineRule="auto"/>
        <w:tabs>
          <w:tab w:leader="none" w:pos="7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7"/>
          <w:szCs w:val="17"/>
          <w:b w:val="1"/>
          <w:bCs w:val="1"/>
          <w:color w:val="auto"/>
        </w:rPr>
        <w:t>New Unit Award</w:t>
      </w:r>
      <w:r>
        <w:rPr>
          <w:rFonts w:ascii="Times New Roman" w:cs="Times New Roman" w:eastAsia="Times New Roman" w:hAnsi="Times New Roman"/>
          <w:sz w:val="17"/>
          <w:szCs w:val="17"/>
          <w:color w:val="auto"/>
        </w:rPr>
        <w:t>").</w:t>
      </w:r>
    </w:p>
    <w:p>
      <w:pPr>
        <w:ind w:left="760" w:hanging="378"/>
        <w:spacing w:after="0"/>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3"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Grant of Options</w:t>
      </w:r>
    </w:p>
    <w:p>
      <w:pPr>
        <w:spacing w:after="0" w:line="31" w:lineRule="exact"/>
        <w:rPr>
          <w:sz w:val="20"/>
          <w:szCs w:val="20"/>
          <w:color w:val="auto"/>
        </w:rPr>
      </w:pPr>
    </w:p>
    <w:p>
      <w:pPr>
        <w:ind w:left="1440" w:right="2020" w:hanging="1328"/>
        <w:spacing w:after="0" w:line="250" w:lineRule="auto"/>
        <w:tabs>
          <w:tab w:leader="none" w:pos="14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 limitations set forth herein and such other terms, conditions and limitations permitted by and not inconsistent with this Plan as the Board may determine.</w:t>
      </w:r>
    </w:p>
    <w:p>
      <w:pPr>
        <w:spacing w:after="0" w:line="1" w:lineRule="exact"/>
        <w:rPr>
          <w:rFonts w:ascii="Times New Roman" w:cs="Times New Roman" w:eastAsia="Times New Roman" w:hAnsi="Times New Roman"/>
          <w:sz w:val="18"/>
          <w:szCs w:val="18"/>
          <w:color w:val="auto"/>
        </w:rPr>
      </w:pPr>
    </w:p>
    <w:p>
      <w:pPr>
        <w:ind w:left="1440" w:right="2080" w:hanging="1328"/>
        <w:spacing w:after="0" w:line="255" w:lineRule="auto"/>
        <w:tabs>
          <w:tab w:leader="none" w:pos="14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shall be either made by a deed of grant executed by the Company and evidenced by an Award Certificate, or evidenced by a Grant Agreement, signed on behalf of the Company. Among its other provisions, each Grant Agreement or Award Certificate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6" w:name="page57"/>
    <w:bookmarkEnd w:id="56"/>
    <w:p>
      <w:pPr>
        <w:ind w:left="1440" w:right="2020"/>
        <w:spacing w:after="0" w:line="254" w:lineRule="auto"/>
        <w:rPr>
          <w:sz w:val="20"/>
          <w:szCs w:val="20"/>
          <w:color w:val="auto"/>
        </w:rPr>
      </w:pPr>
      <w:r>
        <w:rPr>
          <w:rFonts w:ascii="Times New Roman" w:cs="Times New Roman" w:eastAsia="Times New Roman" w:hAnsi="Times New Roman"/>
          <w:sz w:val="18"/>
          <w:szCs w:val="18"/>
          <w:color w:val="auto"/>
        </w:rPr>
        <w:t>set forth: (a) the number of Shares subject to such Option; and (b) the extent to which the Option Participant will have the right to exercise the Option following the Option Termination Date. Such provisions will be determined in the discretion of the Board and included in the Grant Agreement or deed of grant and Award Certificate, and they need not be uniform among all Options issued pursuant to the Plan or to the same Option Participant.</w:t>
      </w:r>
    </w:p>
    <w:p>
      <w:pPr>
        <w:spacing w:after="0" w:line="3" w:lineRule="exact"/>
        <w:rPr>
          <w:sz w:val="20"/>
          <w:szCs w:val="20"/>
          <w:color w:val="auto"/>
        </w:rPr>
      </w:pPr>
    </w:p>
    <w:p>
      <w:pPr>
        <w:jc w:val="both"/>
        <w:ind w:left="1440" w:right="2200" w:hanging="1328"/>
        <w:spacing w:after="0" w:line="255" w:lineRule="auto"/>
        <w:tabs>
          <w:tab w:leader="none" w:pos="14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ectPr>
          <w:pgSz w:w="11900" w:h="16838" w:orient="portrait"/>
          <w:cols w:equalWidth="0" w:num="1">
            <w:col w:w="11240"/>
          </w:cols>
          <w:pgMar w:left="320" w:top="769" w:right="33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Section 9.2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Price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Share under each Option will be specified in the relevant Grant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deed of grant (and set out in the Award Certificate) but shall not be less than the nominal value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Share in the case of an Option to subscribe for Shares</w:t>
      </w:r>
    </w:p>
    <w:p>
      <w:pPr>
        <w:spacing w:after="0" w:line="200" w:lineRule="exact"/>
        <w:rPr>
          <w:sz w:val="20"/>
          <w:szCs w:val="20"/>
          <w:color w:val="auto"/>
        </w:rPr>
      </w:pPr>
    </w:p>
    <w:p>
      <w:pPr>
        <w:sectPr>
          <w:pgSz w:w="11900" w:h="16838" w:orient="portrait"/>
          <w:cols w:equalWidth="0" w:num="2">
            <w:col w:w="940" w:space="500"/>
            <w:col w:w="9800"/>
          </w:cols>
          <w:pgMar w:left="320" w:top="769"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280" w:type="dxa"/>
            <w:vAlign w:val="bottom"/>
          </w:tcPr>
          <w:p>
            <w:pPr>
              <w:spacing w:after="0"/>
              <w:rPr>
                <w:sz w:val="19"/>
                <w:szCs w:val="19"/>
                <w:color w:val="auto"/>
              </w:rPr>
            </w:pPr>
          </w:p>
        </w:tc>
      </w:tr>
      <w:tr>
        <w:trPr>
          <w:trHeight w:val="234"/>
        </w:trPr>
        <w:tc>
          <w:tcPr>
            <w:tcW w:w="124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term of the Option will be ten (10) years from the Date of Grant.</w:t>
            </w:r>
          </w:p>
        </w:tc>
      </w:tr>
      <w:tr>
        <w:trPr>
          <w:trHeight w:val="414"/>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Subject to Section 9.5 and Article 11, the Board will determine the time or times at which an Option may be</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exercised, in whole or in part. Each Option may specify a required period of continuous employment, the</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Performance Criteria or any other requirements to be achieved before the Option or portion thereof will vest</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and/or become exercisable. Each Option, the exercise of which, or the timing of the exercise of which, is</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dependent, in whole or in part, on the achievement of designated Performance Criteria, may specify a</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minimum level of achievement in respect of the specified Performance Criteria below which such Option</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will not be exercisable and a method for determining the extent to which such Option will be exercisable if</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performance is at or above such minimum but short of full achievement of the Performance Criteria. All</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such particular terms and conditions of the Option will be set forth in the Grant Agreement or applicable</w:t>
            </w:r>
          </w:p>
        </w:tc>
      </w:tr>
      <w:tr>
        <w:trPr>
          <w:trHeight w:val="234"/>
        </w:trPr>
        <w:tc>
          <w:tcPr>
            <w:tcW w:w="124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deed of grant. An Option cannot be exercised after the end of the term of the Option.</w:t>
            </w:r>
          </w:p>
        </w:tc>
      </w:tr>
      <w:tr>
        <w:trPr>
          <w:trHeight w:val="414"/>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Lapse</w:t>
            </w:r>
          </w:p>
        </w:tc>
        <w:tc>
          <w:tcPr>
            <w:tcW w:w="92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Option shall immediately Expire and cease to be capable of vesting or exercise on the earliest to occur</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92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tenth anniversary of the Date of Grant;</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date specified for the Options to Expire in the Grant Agreement or applicable deed of grant;</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expiry of any of the periods referred to in Article 11;</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date on which it is purported to be transferred or assigned (other than by reason of death in</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accordance with Section 2.8(b)), mortgaged, charged or otherwise disposed of by the Option</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presentation of any petition to any court of competent jurisdiction by which an order is sought</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bankruptcy of the Option Participant (or any analogous proceeding in any jurisdiction);</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the Option Participant making an application for an interim order or any proposal for a</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voluntary arrangement within Part VIII of the Insolvency Act 1986 (or any analogous proceeding</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any jurisdiction);</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the Option Participant proposing any form of compromise with his creditors or any class of</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 (or any analogous proceeding in any jurisdiction); and</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date on which the Option Participant is deprived (otherwise than on death) of the legal or</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 ownership of the Option by operation of law or by the Option Participant doing or</w:t>
            </w:r>
          </w:p>
        </w:tc>
      </w:tr>
      <w:tr>
        <w:trPr>
          <w:trHeight w:val="234"/>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omitting to do anything which causes him to be so deprived.</w:t>
            </w:r>
          </w:p>
        </w:tc>
      </w:tr>
      <w:tr>
        <w:trPr>
          <w:trHeight w:val="410"/>
        </w:trPr>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ARTICLE 10</w:t>
            </w:r>
          </w:p>
        </w:tc>
      </w:tr>
      <w:tr>
        <w:trPr>
          <w:trHeight w:val="238"/>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tc>
      </w:tr>
      <w:tr>
        <w:trPr>
          <w:trHeight w:val="43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 of Option</w:t>
            </w:r>
          </w:p>
        </w:tc>
      </w:tr>
      <w:tr>
        <w:trPr>
          <w:trHeight w:val="898"/>
        </w:trPr>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7" w:name="page58"/>
    <w:bookmarkEnd w:id="57"/>
    <w:p>
      <w:pPr>
        <w:ind w:left="1328" w:right="979" w:hanging="1328"/>
        <w:spacing w:after="0" w:line="257" w:lineRule="auto"/>
        <w:tabs>
          <w:tab w:leader="none" w:pos="132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11 below and subject to the terms of the Grant Agreement or applicable deed of grant, an Option may only be exercised to the extent it has vested in accordance with the terms of the Grant Agreement or as set out in the applicable deed of grant.</w:t>
      </w:r>
    </w:p>
    <w:p>
      <w:pPr>
        <w:spacing w:after="0" w:line="1" w:lineRule="exact"/>
        <w:rPr>
          <w:rFonts w:ascii="Times New Roman" w:cs="Times New Roman" w:eastAsia="Times New Roman" w:hAnsi="Times New Roman"/>
          <w:sz w:val="18"/>
          <w:szCs w:val="18"/>
          <w:b w:val="1"/>
          <w:bCs w:val="1"/>
          <w:color w:val="auto"/>
        </w:rPr>
      </w:pPr>
    </w:p>
    <w:p>
      <w:pPr>
        <w:ind w:left="1328" w:right="1099" w:hanging="1328"/>
        <w:spacing w:after="0" w:line="250" w:lineRule="auto"/>
        <w:tabs>
          <w:tab w:leader="none" w:pos="132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ind w:left="2048" w:right="97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Agreement or Award Certificate covering at least all of the Shares over which the Option is then to be exercised;</w:t>
      </w:r>
    </w:p>
    <w:p>
      <w:pPr>
        <w:ind w:left="2048" w:right="1019" w:hanging="725"/>
        <w:spacing w:after="0" w:line="265" w:lineRule="auto"/>
        <w:tabs>
          <w:tab w:leader="none" w:pos="2048"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of Exercise in the prescribed form duly completed and signed by the 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ind w:left="2048" w:right="103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ind w:left="2048" w:right="101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1" w:lineRule="exact"/>
        <w:rPr>
          <w:rFonts w:ascii="Times New Roman" w:cs="Times New Roman" w:eastAsia="Times New Roman" w:hAnsi="Times New Roman"/>
          <w:sz w:val="18"/>
          <w:szCs w:val="18"/>
          <w:color w:val="auto"/>
        </w:rPr>
      </w:pPr>
    </w:p>
    <w:p>
      <w:pPr>
        <w:ind w:left="2048" w:right="115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ind w:left="1328" w:right="1439" w:hanging="1328"/>
        <w:spacing w:after="0" w:line="250" w:lineRule="auto"/>
        <w:tabs>
          <w:tab w:leader="none" w:pos="132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ind w:left="2048" w:right="105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their Option Cash Equivalent, a cheque to the Option Participant (or such other person as is referred to in Section 2.8) or wire or bank transfer of cash representing the Option Cash Equivalent;</w:t>
      </w:r>
    </w:p>
    <w:p>
      <w:pPr>
        <w:spacing w:after="0" w:line="1"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ind w:left="2048" w:right="999" w:hanging="725"/>
        <w:spacing w:after="0" w:line="250" w:lineRule="auto"/>
        <w:tabs>
          <w:tab w:leader="none" w:pos="204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ind w:left="1328" w:right="1059" w:hanging="1328"/>
        <w:spacing w:after="0" w:line="253" w:lineRule="auto"/>
        <w:tabs>
          <w:tab w:leader="none" w:pos="132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18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Option Cash Equivalent</w:t>
      </w:r>
    </w:p>
    <w:p>
      <w:pPr>
        <w:spacing w:after="0" w:line="31" w:lineRule="exact"/>
        <w:rPr>
          <w:sz w:val="20"/>
          <w:szCs w:val="20"/>
          <w:color w:val="auto"/>
        </w:rPr>
      </w:pPr>
    </w:p>
    <w:p>
      <w:pPr>
        <w:ind w:left="1328"/>
        <w:spacing w:after="0"/>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w:t>
      </w:r>
    </w:p>
    <w:p>
      <w:pPr>
        <w:spacing w:after="0" w:line="9" w:lineRule="exact"/>
        <w:rPr>
          <w:sz w:val="20"/>
          <w:szCs w:val="20"/>
          <w:color w:val="auto"/>
        </w:rPr>
      </w:pPr>
    </w:p>
    <w:p>
      <w:pPr>
        <w:ind w:left="1328" w:right="959" w:hanging="5"/>
        <w:spacing w:after="0" w:line="253" w:lineRule="auto"/>
        <w:tabs>
          <w:tab w:leader="none" w:pos="157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10.1(3)(c), such calculation will be made on the effective date of exercise based on the Market Value on the effective date of exercise multiplied by the number of Shares in respect of which the Option is being exercised and in respect of which the Option Participant desires to settle in cash pursuant to the Notice of Exercise.</w:t>
      </w:r>
    </w:p>
    <w:p>
      <w:pPr>
        <w:spacing w:after="0" w:line="200" w:lineRule="exact"/>
        <w:rPr>
          <w:sz w:val="20"/>
          <w:szCs w:val="20"/>
          <w:color w:val="auto"/>
        </w:rPr>
      </w:pPr>
    </w:p>
    <w:p>
      <w:pPr>
        <w:spacing w:after="0" w:line="20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p>
      <w:pPr>
        <w:spacing w:after="0" w:line="9"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Notice to Participants</w:t>
      </w:r>
    </w:p>
    <w:p>
      <w:pPr>
        <w:spacing w:after="0" w:line="9" w:lineRule="exact"/>
        <w:rPr>
          <w:sz w:val="20"/>
          <w:szCs w:val="20"/>
          <w:color w:val="auto"/>
        </w:rPr>
      </w:pPr>
    </w:p>
    <w:p>
      <w:pPr>
        <w:ind w:left="1328" w:right="919" w:hanging="1328"/>
        <w:spacing w:after="0" w:line="251" w:lineRule="auto"/>
        <w:tabs>
          <w:tab w:leader="none" w:pos="132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(including one which may fall within Section 11.2 or Section 11.3 before), the Options shall be treated in the manner prescribed by the definitive agreement (if any) for such Change of Control. If there is no agreement for such a Change of Control, or there is no provisions prescribing the treatment of Options therein, the Company may (only if and to the extent not prohibited by applicable laws, regulations or the rules of any Stock Exchange upon which the Shares are listed), but shall not be obliged to, give written notice of the proposed Change of Control to Participants, together with a description of the effect of such Change of Control on outstanding Options, not less than seven (7) days prior to the closing of the transaction resulting in the Change of Control (the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550545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58" w:name="page59"/>
    <w:bookmarkEnd w:id="58"/>
    <w:p>
      <w:pPr>
        <w:ind w:left="1328" w:right="939" w:hanging="1328"/>
        <w:spacing w:after="0" w:line="252" w:lineRule="auto"/>
        <w:tabs>
          <w:tab w:leader="none" w:pos="132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 exercise his Option to the extent specified in Section 11.4 by delivering his Notice of Exercise and the aggregate Option Price (under the procedure in Section 10.1(2) or such other procedure as may be specified by the Board in the Change of Control Notice) at any time in the period commencing on the Option Participant's receipt of the Notification and ending immediately prior to such Change of Control. Any Notice of Exercise delivered in accordance with this Section 11.1(2) prior to such Change of Control shall take effect immediately before Change of Control takes effect. The Option shall, to the extent unexercised, lapse immediately following the Change of Control unless the Acquiror has informed the Board that it intends to offer to grant Option Participants new options in accordance with Section 11.5, in which case the Option shall cease to be exercisable following the Change of Control under this Plan, but may still be released under Section 11.5 within the period of six months following the Change of Control and on the expiry of the said six month period the Option shall lapse.</w:t>
      </w:r>
    </w:p>
    <w:p>
      <w:pPr>
        <w:spacing w:after="0" w:line="2" w:lineRule="exact"/>
        <w:rPr>
          <w:rFonts w:ascii="Times New Roman" w:cs="Times New Roman" w:eastAsia="Times New Roman" w:hAnsi="Times New Roman"/>
          <w:sz w:val="18"/>
          <w:szCs w:val="18"/>
          <w:color w:val="auto"/>
        </w:rPr>
      </w:pPr>
    </w:p>
    <w:p>
      <w:pPr>
        <w:ind w:left="1328" w:right="919" w:hanging="1328"/>
        <w:spacing w:after="0" w:line="253" w:lineRule="auto"/>
        <w:tabs>
          <w:tab w:leader="none" w:pos="132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 Change of Control and/or there is no provisions prescribing the treatment of Options therein then subject to Section 11.2 and 11.5 below, the Option may be exercised within six months of a Change of Control to the extent specified in Section 11.4, and on the expiry of the said six month period the Option shall, to the extent unexercised, Expire and cease to be capable of exercise.</w:t>
      </w:r>
    </w:p>
    <w:p>
      <w:pPr>
        <w:sectPr>
          <w:pgSz w:w="11900" w:h="16838" w:orient="portrait"/>
          <w:cols w:equalWidth="0" w:num="1">
            <w:col w:w="10028"/>
          </w:cols>
          <w:pgMar w:left="432" w:top="769" w:right="1440" w:bottom="1440" w:gutter="0" w:footer="0" w:header="0"/>
        </w:sectPr>
      </w:pP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Sanction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Act in connection with a Change of Control (a "</w:t>
      </w:r>
      <w:r>
        <w:rPr>
          <w:rFonts w:ascii="Times New Roman" w:cs="Times New Roman" w:eastAsia="Times New Roman" w:hAnsi="Times New Roman"/>
          <w:sz w:val="17"/>
          <w:szCs w:val="17"/>
          <w:b w:val="1"/>
          <w:bCs w:val="1"/>
          <w:color w:val="auto"/>
        </w:rPr>
        <w:t>Compromise</w:t>
      </w:r>
      <w:r>
        <w:rPr>
          <w:rFonts w:ascii="Times New Roman" w:cs="Times New Roman" w:eastAsia="Times New Roman" w:hAnsi="Times New Roman"/>
          <w:sz w:val="17"/>
          <w:szCs w:val="17"/>
          <w:color w:val="auto"/>
        </w:rPr>
        <w:t>"), then subject to Section 11.1(1)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and 11.5 below, the Option may be exercised to the extent specified in Section 11.4 within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the date on which such Compromise is so sanctioned, and on the expiry of the said six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Option shall, to the extent unexercised, Expire and cease to be capable of exercise.</w:t>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Squeeze-out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subject to Section 11.1(1) above and Section 11.5 below, an Option may be exercised to the extent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in Section 11.4 at any time when that person remains so bound or entitled and to the extent not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shall lapse at the expiry of such period.</w:t>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2084705</wp:posOffset>
            </wp:positionV>
            <wp:extent cx="88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Extent of exercise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relevant Grant Agreement or applicable deed of grant, an Option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under this Article 11 to the extent it has vested pursuant to the Grant Agreement or as set out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deed of grant as at the date of: (i) the Change of Control if Section 11.1(2) or (3) applies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where Section 11.1(2) applies, the Option may be exercised to the extent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have been vested on the Change of Control if not exercised immediately prior); (ii) the date on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Compromise is sanctioned if Section 11.2 applies; or (iii) the date on which a person becomes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acquire shares if Section 11.3 applied. Notwithstanding the foregoing, the Board may, in its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accelerate the vesting of any or all outstanding Options, including conditionally, to provide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vesting provisions of such Options or any Grant Agreement, deed of grant, or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such designated outstanding Options shall be vested upon (or prior to) the completion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(or, if relevant, prior to the sanctioning of a Compromise as contemplated by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or a person becoming bound or entitled to acquire shares as contemplated by Section 11.3). If,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the Change of Control or relevant event does not occur, the acceleration of the vesting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shall be retracted and vesting shall instead revert to the manner provided in the Grant Agreement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deed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5715</wp:posOffset>
            </wp:positionV>
            <wp:extent cx="825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8255" cy="1371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5715</wp:posOffset>
            </wp:positionV>
            <wp:extent cx="825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7"/>
          <w:szCs w:val="17"/>
          <w:b w:val="1"/>
          <w:bCs w:val="1"/>
          <w:color w:val="auto"/>
        </w:rPr>
        <w:t>Replacement Options</w:t>
      </w:r>
    </w:p>
    <w:p>
      <w:pPr>
        <w:spacing w:after="0" w:line="31" w:lineRule="exact"/>
        <w:rPr>
          <w:sz w:val="20"/>
          <w:szCs w:val="20"/>
          <w:color w:val="auto"/>
        </w:rPr>
      </w:pPr>
    </w:p>
    <w:p>
      <w:pPr>
        <w:ind w:left="1328" w:right="959" w:hanging="1328"/>
        <w:spacing w:after="0" w:line="253" w:lineRule="auto"/>
        <w:tabs>
          <w:tab w:leader="none" w:pos="13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deed of grant, or Award Certificate, the Board has the right to provide for the conversion, replacement, or exchange of any outstanding Options into or for options, rights or other securities in any entity participating in or resulting from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547370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type w:val="continuous"/>
        </w:sectPr>
      </w:pPr>
    </w:p>
    <w:bookmarkStart w:id="59" w:name="page60"/>
    <w:bookmarkEnd w:id="59"/>
    <w:p>
      <w:pPr>
        <w:ind w:left="1328" w:right="1419"/>
        <w:spacing w:after="0" w:line="261" w:lineRule="auto"/>
        <w:rPr>
          <w:sz w:val="20"/>
          <w:szCs w:val="20"/>
          <w:color w:val="auto"/>
        </w:rPr>
      </w:pPr>
      <w:r>
        <w:rPr>
          <w:rFonts w:ascii="Times New Roman" w:cs="Times New Roman" w:eastAsia="Times New Roman" w:hAnsi="Times New Roman"/>
          <w:sz w:val="18"/>
          <w:szCs w:val="18"/>
          <w:color w:val="auto"/>
        </w:rPr>
        <w:t>provided that the value of previously granted Options and the rights of Participants are not materially adversely affected by any such changes.</w:t>
      </w:r>
    </w:p>
    <w:p>
      <w:pPr>
        <w:ind w:left="1328" w:right="919" w:hanging="1328"/>
        <w:spacing w:after="0" w:line="250" w:lineRule="auto"/>
        <w:tabs>
          <w:tab w:leader="none" w:pos="13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28" w:right="1539" w:hanging="1328"/>
        <w:spacing w:after="0" w:line="250" w:lineRule="auto"/>
        <w:tabs>
          <w:tab w:leader="none" w:pos="13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ind w:left="1328" w:hanging="1328"/>
        <w:spacing w:after="0"/>
        <w:tabs>
          <w:tab w:leader="none" w:pos="13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9"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ind w:left="2048" w:right="1139" w:hanging="725"/>
        <w:spacing w:after="0" w:line="250" w:lineRule="auto"/>
        <w:tabs>
          <w:tab w:leader="none" w:pos="204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w:t>
      </w:r>
    </w:p>
    <w:p>
      <w:pPr>
        <w:ind w:left="2048" w:right="1059" w:hanging="725"/>
        <w:spacing w:after="0" w:line="260" w:lineRule="auto"/>
        <w:tabs>
          <w:tab w:leader="none" w:pos="2048"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680085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 LONG TERM INCENTIVE PLAN</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Annex 1 to the Rezolve AI plc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221" w:lineRule="exact"/>
        <w:rPr>
          <w:sz w:val="20"/>
          <w:szCs w:val="20"/>
          <w:color w:val="auto"/>
        </w:rPr>
      </w:pPr>
    </w:p>
    <w:p>
      <w:pPr>
        <w:ind w:left="760" w:hanging="378"/>
        <w:spacing w:after="0"/>
        <w:tabs>
          <w:tab w:leader="none" w:pos="7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1 - PURPOSE AND INTERPRETATION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All references to Plan throughout the Non-Employee Plan shall, save where the context requires otherwise, refer to the Non-Employee Plan.</w:t>
      </w:r>
    </w:p>
    <w:p>
      <w:pPr>
        <w:spacing w:after="0" w:line="225" w:lineRule="exact"/>
        <w:rPr>
          <w:sz w:val="20"/>
          <w:szCs w:val="20"/>
          <w:color w:val="auto"/>
        </w:rPr>
      </w:pPr>
    </w:p>
    <w:p>
      <w:pPr>
        <w:ind w:left="760" w:right="30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the first paragraph of the Plan, the word "employees" shall be deleted and replaced with the words "directors, officers, and consultants and persons employed or engaged directly or indirectly to provide services"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221" w:lineRule="exact"/>
        <w:rPr>
          <w:sz w:val="20"/>
          <w:szCs w:val="20"/>
          <w:color w:val="auto"/>
        </w:rPr>
      </w:pPr>
    </w:p>
    <w:p>
      <w:pPr>
        <w:ind w:left="760" w:right="10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3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Date</w:t>
      </w:r>
      <w:r>
        <w:rPr>
          <w:rFonts w:ascii="Times New Roman" w:cs="Times New Roman" w:eastAsia="Times New Roman" w:hAnsi="Times New Roman"/>
          <w:sz w:val="17"/>
          <w:szCs w:val="17"/>
          <w:color w:val="auto"/>
        </w:rPr>
        <w:t>" means the date(s) during the Fiscal Year on which the Annual Board Retainer is awarded.</w:t>
      </w:r>
    </w:p>
    <w:p>
      <w:pPr>
        <w:spacing w:after="0" w:line="225" w:lineRule="exact"/>
        <w:rPr>
          <w:sz w:val="20"/>
          <w:szCs w:val="20"/>
          <w:color w:val="auto"/>
        </w:rPr>
      </w:pPr>
    </w:p>
    <w:p>
      <w:pPr>
        <w:ind w:left="760" w:right="2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3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In the Non-Employee plan, the following definitions shall be amended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right="22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 direct employee".</w:t>
      </w:r>
    </w:p>
    <w:p>
      <w:pPr>
        <w:spacing w:after="0" w:line="371" w:lineRule="exact"/>
        <w:rPr>
          <w:sz w:val="20"/>
          <w:szCs w:val="20"/>
          <w:color w:val="auto"/>
        </w:rPr>
      </w:pPr>
    </w:p>
    <w:p>
      <w:pPr>
        <w:ind w:left="760" w:right="14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371" w:lineRule="exact"/>
        <w:rPr>
          <w:sz w:val="20"/>
          <w:szCs w:val="20"/>
          <w:color w:val="auto"/>
        </w:rPr>
      </w:pPr>
    </w:p>
    <w:p>
      <w:pPr>
        <w:ind w:left="760" w:right="2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Consultant, or person employed or engaged directly or indirectly to provide services".</w:t>
      </w:r>
    </w:p>
    <w:p>
      <w:pPr>
        <w:spacing w:after="0" w:line="371" w:lineRule="exact"/>
        <w:rPr>
          <w:sz w:val="20"/>
          <w:szCs w:val="20"/>
          <w:color w:val="auto"/>
        </w:rPr>
      </w:pPr>
    </w:p>
    <w:p>
      <w:pPr>
        <w:ind w:left="760" w:right="2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371" w:lineRule="exact"/>
        <w:rPr>
          <w:sz w:val="20"/>
          <w:szCs w:val="20"/>
          <w:color w:val="auto"/>
        </w:rPr>
      </w:pPr>
    </w:p>
    <w:p>
      <w:pPr>
        <w:ind w:left="76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371" w:lineRule="exact"/>
        <w:rPr>
          <w:sz w:val="20"/>
          <w:szCs w:val="20"/>
          <w:color w:val="auto"/>
        </w:rPr>
      </w:pPr>
    </w:p>
    <w:p>
      <w:pPr>
        <w:ind w:left="760" w:right="1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155" w:lineRule="exact"/>
        <w:rPr>
          <w:sz w:val="20"/>
          <w:szCs w:val="20"/>
          <w:color w:val="auto"/>
        </w:rPr>
      </w:pPr>
    </w:p>
    <w:p>
      <w:pPr>
        <w:ind w:left="760" w:hanging="378"/>
        <w:spacing w:after="0"/>
        <w:tabs>
          <w:tab w:leader="none" w:pos="7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2 - GENERAL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In Section 2.2(a), the words "or the Rezolve AI plc Long Term Incentive Plan" shall be inserted after the words "sub-plan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2.2  Section 2.9(1) shall be deleted and replaced with the following:</w:t>
      </w:r>
    </w:p>
    <w:p>
      <w:pPr>
        <w:spacing w:after="0" w:line="225" w:lineRule="exact"/>
        <w:rPr>
          <w:sz w:val="20"/>
          <w:szCs w:val="20"/>
          <w:color w:val="auto"/>
        </w:rPr>
      </w:pPr>
    </w:p>
    <w:p>
      <w:pPr>
        <w:ind w:left="760" w:right="20" w:hanging="388"/>
        <w:spacing w:after="0" w:line="253"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or service, nor does the existence of such letter of appointment or contract for services or service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employment, or appointment shall not be affected by his participation under the Rules or any right he may have to participate. An individual who participates under the Rules waives all and any rights to compensation or damages in consequence of the termination of his office, engagement, employment, or appointment with any company for any reason whatsoever, whether lawful or not, in so far as those rights arise, or may arise, from his ceasing to have rights under or be entitled to the settlement of an Award under the Rules as a result of such termination or from the loss or diminution of value of such rights or entitlements. If necessary, the Participant's terms of engagement, appointment, employment, or retention shall be varied accordingly".</w:t>
      </w:r>
    </w:p>
    <w:p>
      <w:pPr>
        <w:spacing w:after="0" w:line="192" w:lineRule="exact"/>
        <w:rPr>
          <w:sz w:val="20"/>
          <w:szCs w:val="20"/>
          <w:color w:val="auto"/>
        </w:rPr>
      </w:pPr>
    </w:p>
    <w:p>
      <w:pPr>
        <w:ind w:left="760" w:right="20" w:hanging="748"/>
        <w:spacing w:after="0" w:line="282" w:lineRule="auto"/>
        <w:rPr>
          <w:sz w:val="20"/>
          <w:szCs w:val="20"/>
          <w:color w:val="auto"/>
        </w:rPr>
      </w:pPr>
      <w:r>
        <w:rPr>
          <w:rFonts w:ascii="Times New Roman" w:cs="Times New Roman" w:eastAsia="Times New Roman" w:hAnsi="Times New Roman"/>
          <w:sz w:val="18"/>
          <w:szCs w:val="18"/>
          <w:color w:val="auto"/>
        </w:rPr>
        <w:t>2.3 In Section 2.15, the words "or any Settlement Price (as later defined in the Plan in respect of any Units)" shall be inserted following the words "Option Price" throughout.</w:t>
      </w:r>
    </w:p>
    <w:p>
      <w:pPr>
        <w:spacing w:after="0" w:line="162" w:lineRule="exact"/>
        <w:rPr>
          <w:sz w:val="20"/>
          <w:szCs w:val="20"/>
          <w:color w:val="auto"/>
        </w:rPr>
      </w:pPr>
    </w:p>
    <w:p>
      <w:pPr>
        <w:ind w:left="760" w:hanging="748"/>
        <w:spacing w:after="0" w:line="266" w:lineRule="auto"/>
        <w:rPr>
          <w:sz w:val="20"/>
          <w:szCs w:val="20"/>
          <w:color w:val="auto"/>
        </w:rPr>
      </w:pPr>
      <w:r>
        <w:rPr>
          <w:rFonts w:ascii="Times New Roman" w:cs="Times New Roman" w:eastAsia="Times New Roman" w:hAnsi="Times New Roman"/>
          <w:sz w:val="18"/>
          <w:szCs w:val="18"/>
          <w:color w:val="auto"/>
        </w:rPr>
        <w:t>2.4 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172" w:lineRule="exact"/>
        <w:rPr>
          <w:sz w:val="20"/>
          <w:szCs w:val="20"/>
          <w:color w:val="auto"/>
        </w:rPr>
      </w:pPr>
    </w:p>
    <w:p>
      <w:pPr>
        <w:ind w:left="760" w:hanging="378"/>
        <w:spacing w:after="0"/>
        <w:tabs>
          <w:tab w:leader="none" w:pos="7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3 - RESTRICTED SHARE UNITS</w:t>
      </w:r>
    </w:p>
    <w:p>
      <w:pPr>
        <w:spacing w:after="0" w:line="229" w:lineRule="exact"/>
        <w:rPr>
          <w:sz w:val="20"/>
          <w:szCs w:val="20"/>
          <w:color w:val="auto"/>
        </w:rPr>
      </w:pPr>
    </w:p>
    <w:p>
      <w:pPr>
        <w:ind w:left="760" w:hanging="748"/>
        <w:spacing w:after="0" w:line="261" w:lineRule="auto"/>
        <w:rPr>
          <w:sz w:val="20"/>
          <w:szCs w:val="20"/>
          <w:color w:val="auto"/>
        </w:rPr>
      </w:pPr>
      <w:r>
        <w:rPr>
          <w:rFonts w:ascii="Times New Roman" w:cs="Times New Roman" w:eastAsia="Times New Roman" w:hAnsi="Times New Roman"/>
          <w:sz w:val="18"/>
          <w:szCs w:val="18"/>
          <w:color w:val="auto"/>
        </w:rPr>
        <w:t>3.1 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In Section 3.4(4), the words "is continuously employed by" shall be deleted and replaced with the words "in service with".</w:t>
      </w:r>
    </w:p>
    <w:p>
      <w:pPr>
        <w:spacing w:after="0" w:line="221" w:lineRule="exact"/>
        <w:rPr>
          <w:sz w:val="20"/>
          <w:szCs w:val="20"/>
          <w:color w:val="auto"/>
        </w:rPr>
      </w:pPr>
    </w:p>
    <w:p>
      <w:pPr>
        <w:ind w:left="760" w:hanging="378"/>
        <w:spacing w:after="0"/>
        <w:tabs>
          <w:tab w:leader="none" w:pos="7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4 - SETTLEMENT &amp; EXPIRY</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  The following new Section 4.1(6) shall be inserted:</w:t>
      </w:r>
    </w:p>
    <w:p>
      <w:pPr>
        <w:spacing w:after="0" w:line="225" w:lineRule="exact"/>
        <w:rPr>
          <w:sz w:val="20"/>
          <w:szCs w:val="20"/>
          <w:color w:val="auto"/>
        </w:rPr>
      </w:pPr>
    </w:p>
    <w:p>
      <w:pPr>
        <w:ind w:left="760" w:right="340"/>
        <w:spacing w:after="0" w:line="276" w:lineRule="auto"/>
        <w:rPr>
          <w:sz w:val="20"/>
          <w:szCs w:val="20"/>
          <w:color w:val="auto"/>
        </w:rPr>
      </w:pPr>
      <w:r>
        <w:rPr>
          <w:rFonts w:ascii="Times New Roman" w:cs="Times New Roman" w:eastAsia="Times New Roman" w:hAnsi="Times New Roman"/>
          <w:sz w:val="17"/>
          <w:szCs w:val="17"/>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w:t>
      </w:r>
    </w:p>
    <w:p>
      <w:pPr>
        <w:spacing w:after="0" w:line="1"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8"/>
          <w:szCs w:val="18"/>
          <w:color w:val="auto"/>
        </w:rPr>
        <w:t>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186" w:lineRule="exact"/>
        <w:rPr>
          <w:sz w:val="20"/>
          <w:szCs w:val="20"/>
          <w:color w:val="auto"/>
        </w:rPr>
      </w:pPr>
    </w:p>
    <w:p>
      <w:pPr>
        <w:ind w:left="760" w:right="740" w:hanging="360"/>
        <w:spacing w:after="0" w:line="282" w:lineRule="auto"/>
        <w:rPr>
          <w:sz w:val="20"/>
          <w:szCs w:val="20"/>
          <w:color w:val="auto"/>
        </w:rPr>
      </w:pPr>
      <w:r>
        <w:rPr>
          <w:rFonts w:ascii="Times New Roman" w:cs="Times New Roman" w:eastAsia="Times New Roman" w:hAnsi="Times New Roman"/>
          <w:sz w:val="18"/>
          <w:szCs w:val="18"/>
          <w:color w:val="auto"/>
        </w:rPr>
        <w:t>4.2 In Section 4.3, the words "or termination" shall be inserted following the word "dismissal"; and the words "or early termination of their engagement" shall be inserted following the word "resignation".</w:t>
      </w:r>
    </w:p>
    <w:p>
      <w:pPr>
        <w:spacing w:after="0" w:line="158" w:lineRule="exact"/>
        <w:rPr>
          <w:sz w:val="20"/>
          <w:szCs w:val="20"/>
          <w:color w:val="auto"/>
        </w:rPr>
      </w:pPr>
    </w:p>
    <w:p>
      <w:pPr>
        <w:ind w:left="760" w:hanging="378"/>
        <w:spacing w:after="0"/>
        <w:tabs>
          <w:tab w:leader="none" w:pos="7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5 – DEFERRED SHARE UNITS</w:t>
      </w:r>
    </w:p>
    <w:p>
      <w:pPr>
        <w:spacing w:after="0" w:line="229" w:lineRule="exact"/>
        <w:rPr>
          <w:sz w:val="20"/>
          <w:szCs w:val="20"/>
          <w:color w:val="auto"/>
        </w:rPr>
      </w:pPr>
    </w:p>
    <w:p>
      <w:pPr>
        <w:ind w:left="760" w:right="40" w:hanging="360"/>
        <w:spacing w:after="0" w:line="261" w:lineRule="auto"/>
        <w:rPr>
          <w:sz w:val="20"/>
          <w:szCs w:val="20"/>
          <w:color w:val="auto"/>
        </w:rPr>
      </w:pPr>
      <w:r>
        <w:rPr>
          <w:rFonts w:ascii="Times New Roman" w:cs="Times New Roman" w:eastAsia="Times New Roman" w:hAnsi="Times New Roman"/>
          <w:sz w:val="18"/>
          <w:szCs w:val="18"/>
          <w:color w:val="auto"/>
        </w:rPr>
        <w:t>5.1 The following new Section 5.1(4) shall be inserted: "Notwithstanding the foregoing, it shall unless the Board determines that it is not required by applicable law be a term of each Deferred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140" w:right="360" w:hanging="748"/>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following new section will be inserted as Section 5.3 and the remainder of Article 5 will be renumbered accordingly with all cross-references updated accordingly:</w:t>
      </w:r>
    </w:p>
    <w:p>
      <w:pPr>
        <w:spacing w:after="0" w:line="158" w:lineRule="exact"/>
        <w:rPr>
          <w:sz w:val="20"/>
          <w:szCs w:val="20"/>
          <w:color w:val="auto"/>
        </w:rPr>
      </w:pPr>
    </w:p>
    <w:p>
      <w:pPr>
        <w:ind w:left="114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Election Notice; Elected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2" w:name="page63"/>
    <w:bookmarkEnd w:id="62"/>
    <w:p>
      <w:pPr>
        <w:ind w:left="1120" w:hanging="369"/>
        <w:spacing w:after="0"/>
        <w:tabs>
          <w:tab w:leader="none" w:pos="11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w:t>
      </w:r>
    </w:p>
    <w:p>
      <w:pPr>
        <w:spacing w:after="0" w:line="27" w:lineRule="exact"/>
        <w:rPr>
          <w:rFonts w:ascii="Times New Roman" w:cs="Times New Roman" w:eastAsia="Times New Roman" w:hAnsi="Times New Roman"/>
          <w:sz w:val="18"/>
          <w:szCs w:val="18"/>
          <w:color w:val="auto"/>
        </w:rPr>
      </w:pPr>
    </w:p>
    <w:p>
      <w:pPr>
        <w:ind w:left="1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once each Fiscal Year, to be paid up to one hundred percent (100%) of his or her Annual Board Retainer in the form of Deferred Share Units (the “</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192" w:lineRule="exact"/>
        <w:rPr>
          <w:rFonts w:ascii="Times New Roman" w:cs="Times New Roman" w:eastAsia="Times New Roman" w:hAnsi="Times New Roman"/>
          <w:sz w:val="18"/>
          <w:szCs w:val="18"/>
          <w:color w:val="auto"/>
        </w:rPr>
      </w:pPr>
    </w:p>
    <w:p>
      <w:pPr>
        <w:ind w:left="1120" w:right="520" w:hanging="369"/>
        <w:spacing w:after="0" w:line="289" w:lineRule="auto"/>
        <w:tabs>
          <w:tab w:leader="none" w:pos="110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157" w:lineRule="exact"/>
        <w:rPr>
          <w:rFonts w:ascii="Times New Roman" w:cs="Times New Roman" w:eastAsia="Times New Roman" w:hAnsi="Times New Roman"/>
          <w:sz w:val="17"/>
          <w:szCs w:val="17"/>
          <w:color w:val="auto"/>
        </w:rPr>
      </w:pPr>
    </w:p>
    <w:p>
      <w:pPr>
        <w:ind w:left="1120" w:right="80" w:hanging="369"/>
        <w:spacing w:after="0" w:line="261" w:lineRule="auto"/>
        <w:tabs>
          <w:tab w:leader="none" w:pos="110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180" w:lineRule="exact"/>
        <w:rPr>
          <w:sz w:val="20"/>
          <w:szCs w:val="20"/>
          <w:color w:val="auto"/>
        </w:rPr>
      </w:pPr>
    </w:p>
    <w:p>
      <w:pPr>
        <w:ind w:left="760" w:right="8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following new subsection shall be inserted into Section 5.4 (as renumbered) as section 5.4(3), and the remainder of section 5.4 shall be renumbered accordingly with all cross-references updated accordingly:</w:t>
      </w:r>
    </w:p>
    <w:p>
      <w:pPr>
        <w:spacing w:after="0" w:line="162" w:lineRule="exact"/>
        <w:rPr>
          <w:sz w:val="20"/>
          <w:szCs w:val="20"/>
          <w:color w:val="auto"/>
        </w:rPr>
      </w:pPr>
    </w:p>
    <w:p>
      <w:pPr>
        <w:ind w:left="1880" w:right="20" w:hanging="997"/>
        <w:spacing w:after="0" w:line="257" w:lineRule="auto"/>
        <w:rPr>
          <w:sz w:val="20"/>
          <w:szCs w:val="20"/>
          <w:color w:val="auto"/>
        </w:rPr>
      </w:pPr>
      <w:r>
        <w:rPr>
          <w:rFonts w:ascii="Times New Roman" w:cs="Times New Roman" w:eastAsia="Times New Roman" w:hAnsi="Times New Roman"/>
          <w:sz w:val="18"/>
          <w:szCs w:val="18"/>
          <w:color w:val="auto"/>
        </w:rPr>
        <w:t>"(3) 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Section 5.5 (as renumbered) shall be deleted and replaced with the following:</w:t>
      </w:r>
    </w:p>
    <w:p>
      <w:pPr>
        <w:spacing w:after="0" w:line="207"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color w:val="auto"/>
        </w:rPr>
        <w:t>Calculation.</w:t>
      </w:r>
    </w:p>
    <w:p>
      <w:pPr>
        <w:spacing w:after="0" w:line="225" w:lineRule="exact"/>
        <w:rPr>
          <w:sz w:val="20"/>
          <w:szCs w:val="20"/>
          <w:color w:val="auto"/>
        </w:rPr>
      </w:pPr>
    </w:p>
    <w:p>
      <w:pPr>
        <w:ind w:left="1120" w:hanging="369"/>
        <w:spacing w:after="0"/>
        <w:tabs>
          <w:tab w:leader="none" w:pos="11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225" w:lineRule="exact"/>
        <w:rPr>
          <w:rFonts w:ascii="Times New Roman" w:cs="Times New Roman" w:eastAsia="Times New Roman" w:hAnsi="Times New Roman"/>
          <w:sz w:val="18"/>
          <w:szCs w:val="18"/>
          <w:color w:val="auto"/>
        </w:rPr>
      </w:pPr>
    </w:p>
    <w:p>
      <w:pPr>
        <w:ind w:left="1880" w:hanging="754"/>
        <w:spacing w:after="0" w:line="282" w:lineRule="auto"/>
        <w:tabs>
          <w:tab w:leader="none" w:pos="149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377" w:lineRule="exact"/>
        <w:rPr>
          <w:rFonts w:ascii="Times New Roman" w:cs="Times New Roman" w:eastAsia="Times New Roman" w:hAnsi="Times New Roman"/>
          <w:sz w:val="18"/>
          <w:szCs w:val="18"/>
          <w:color w:val="auto"/>
        </w:rPr>
      </w:pPr>
    </w:p>
    <w:p>
      <w:pPr>
        <w:ind w:left="1880" w:right="220" w:hanging="754"/>
        <w:spacing w:after="0" w:line="282" w:lineRule="auto"/>
        <w:tabs>
          <w:tab w:leader="none" w:pos="149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following new section 5.7(5) (as renumbered) shall be inserted into Section 5.7 (as renumbered):</w:t>
      </w:r>
    </w:p>
    <w:p>
      <w:pPr>
        <w:spacing w:after="0" w:line="27"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 procure the payment of the Settlement Price referenced in Section 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183" w:lineRule="exact"/>
        <w:rPr>
          <w:sz w:val="20"/>
          <w:szCs w:val="20"/>
          <w:color w:val="auto"/>
        </w:rPr>
      </w:pPr>
    </w:p>
    <w:p>
      <w:pPr>
        <w:ind w:left="380" w:hanging="378"/>
        <w:spacing w:after="0"/>
        <w:tabs>
          <w:tab w:leader="none" w:pos="38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6 – INCENTIVE SHARE UNITS</w:t>
      </w:r>
    </w:p>
    <w:p>
      <w:pPr>
        <w:spacing w:after="0" w:line="229" w:lineRule="exact"/>
        <w:rPr>
          <w:sz w:val="20"/>
          <w:szCs w:val="20"/>
          <w:color w:val="auto"/>
        </w:rPr>
      </w:pPr>
    </w:p>
    <w:p>
      <w:pPr>
        <w:ind w:left="380" w:right="40" w:hanging="360"/>
        <w:spacing w:after="0" w:line="261" w:lineRule="auto"/>
        <w:rPr>
          <w:sz w:val="20"/>
          <w:szCs w:val="20"/>
          <w:color w:val="auto"/>
        </w:rPr>
      </w:pPr>
      <w:r>
        <w:rPr>
          <w:rFonts w:ascii="Times New Roman" w:cs="Times New Roman" w:eastAsia="Times New Roman" w:hAnsi="Times New Roman"/>
          <w:sz w:val="18"/>
          <w:szCs w:val="18"/>
          <w:color w:val="auto"/>
        </w:rPr>
        <w:t>6.1 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678815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63" w:name="page64"/>
    <w:bookmarkEnd w:id="63"/>
    <w:p>
      <w:pPr>
        <w:ind w:left="760" w:hanging="378"/>
        <w:spacing w:after="0"/>
        <w:tabs>
          <w:tab w:leader="none" w:pos="7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7 – SETTLEMENT &amp; EXPIRY</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7.1. The following new section 7.1(6) shall be inserted into Section 7.1:</w:t>
      </w:r>
    </w:p>
    <w:p>
      <w:pPr>
        <w:spacing w:after="0" w:line="27"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as August 15, 2024 and amended on December 12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20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purpose of this Plan is to advance the interests of the Company and its shareholders by providing to the employees of the Company or its Group Companies a performance incentive for continued and improved services with the Company and its Group Companies.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purposes of this Plan, the following terms shall have the following meanings:</w:t>
      </w:r>
    </w:p>
    <w:p>
      <w:pPr>
        <w:spacing w:after="0" w:line="127" w:lineRule="exact"/>
        <w:rPr>
          <w:sz w:val="20"/>
          <w:szCs w:val="20"/>
          <w:color w:val="auto"/>
        </w:rPr>
      </w:pPr>
    </w:p>
    <w:p>
      <w:pPr>
        <w:ind w:left="1020" w:right="160" w:hanging="553"/>
        <w:spacing w:after="0" w:line="286" w:lineRule="auto"/>
        <w:tabs>
          <w:tab w:leader="none" w:pos="10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Issuances</w:t>
      </w:r>
      <w:r>
        <w:rPr>
          <w:rFonts w:ascii="Times New Roman" w:cs="Times New Roman" w:eastAsia="Times New Roman" w:hAnsi="Times New Roman"/>
          <w:sz w:val="18"/>
          <w:szCs w:val="18"/>
          <w:color w:val="auto"/>
        </w:rPr>
        <w:t>" has the meaning given to it in the BCA (save that any Awards granted under this Plan or any sub-plan thereto shall not be considered Reissued Options);</w:t>
      </w:r>
    </w:p>
    <w:p>
      <w:pPr>
        <w:spacing w:after="0" w:line="154" w:lineRule="exact"/>
        <w:rPr>
          <w:rFonts w:ascii="Times New Roman" w:cs="Times New Roman" w:eastAsia="Times New Roman" w:hAnsi="Times New Roman"/>
          <w:sz w:val="18"/>
          <w:szCs w:val="18"/>
          <w:color w:val="auto"/>
        </w:rPr>
      </w:pPr>
    </w:p>
    <w:p>
      <w:pPr>
        <w:ind w:left="1020" w:right="120" w:hanging="553"/>
        <w:spacing w:after="0" w:line="286" w:lineRule="auto"/>
        <w:tabs>
          <w:tab w:leader="none" w:pos="10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means such person who obtains Control of the Company either alone or together with persons acting in concert (as such term is defined in the City Code on Takeovers and Mergers);</w:t>
      </w:r>
    </w:p>
    <w:p>
      <w:pPr>
        <w:spacing w:after="0" w:line="154" w:lineRule="exact"/>
        <w:rPr>
          <w:rFonts w:ascii="Times New Roman" w:cs="Times New Roman" w:eastAsia="Times New Roman" w:hAnsi="Times New Roman"/>
          <w:sz w:val="18"/>
          <w:szCs w:val="18"/>
          <w:color w:val="auto"/>
        </w:rPr>
      </w:pPr>
    </w:p>
    <w:p>
      <w:pPr>
        <w:ind w:left="1020" w:right="20" w:hanging="553"/>
        <w:spacing w:after="0" w:line="259" w:lineRule="auto"/>
        <w:tabs>
          <w:tab w:leader="none" w:pos="10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206" w:lineRule="exact"/>
        <w:rPr>
          <w:rFonts w:ascii="Times New Roman" w:cs="Times New Roman" w:eastAsia="Times New Roman" w:hAnsi="Times New Roman"/>
          <w:sz w:val="18"/>
          <w:szCs w:val="18"/>
          <w:color w:val="auto"/>
        </w:rPr>
      </w:pPr>
    </w:p>
    <w:p>
      <w:pPr>
        <w:ind w:left="1020" w:right="40" w:hanging="553"/>
        <w:spacing w:after="0" w:line="256" w:lineRule="auto"/>
        <w:tabs>
          <w:tab w:leader="none" w:pos="10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Withholding Tax Liability</w:t>
      </w:r>
      <w:r>
        <w:rPr>
          <w:rFonts w:ascii="Times New Roman" w:cs="Times New Roman" w:eastAsia="Times New Roman" w:hAnsi="Times New Roman"/>
          <w:sz w:val="18"/>
          <w:szCs w:val="18"/>
          <w:color w:val="auto"/>
        </w:rPr>
        <w:t>” means a liability to account for any Participant's tax, national insurance (excluding, unless otherwise specified by the Award Agreement, Employer's NICs), social security or other levies in respect of any Award (whether by reason of grant, vesting, exercise, settlement, or otherwise), including for the avoidance of doubt and without limitation any liability arising after the termination of the Participant's employment for whatever reason and which:</w:t>
      </w:r>
    </w:p>
    <w:p>
      <w:pPr>
        <w:spacing w:after="0" w:line="3"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arise or be incurred in any jurisdiction whatsoever and,</w:t>
      </w:r>
    </w:p>
    <w:p>
      <w:pPr>
        <w:spacing w:after="0" w:line="9"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2"/>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law of the same jurisdiction may or shall be recovered from the person entitled to the Award;</w:t>
      </w:r>
    </w:p>
    <w:p>
      <w:pPr>
        <w:spacing w:after="0" w:line="108" w:lineRule="exact"/>
        <w:rPr>
          <w:rFonts w:ascii="Times New Roman" w:cs="Times New Roman" w:eastAsia="Times New Roman" w:hAnsi="Times New Roman"/>
          <w:sz w:val="18"/>
          <w:szCs w:val="18"/>
          <w:color w:val="auto"/>
        </w:rPr>
      </w:pPr>
    </w:p>
    <w:p>
      <w:pPr>
        <w:ind w:left="860" w:hanging="451"/>
        <w:spacing w:after="0"/>
        <w:tabs>
          <w:tab w:leader="none" w:pos="8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means any award of Units or an Option under the Plan;</w:t>
      </w:r>
    </w:p>
    <w:p>
      <w:pPr>
        <w:spacing w:after="0" w:line="225" w:lineRule="exact"/>
        <w:rPr>
          <w:rFonts w:ascii="Times New Roman" w:cs="Times New Roman" w:eastAsia="Times New Roman" w:hAnsi="Times New Roman"/>
          <w:sz w:val="18"/>
          <w:szCs w:val="18"/>
          <w:color w:val="auto"/>
        </w:rPr>
      </w:pPr>
    </w:p>
    <w:p>
      <w:pPr>
        <w:ind w:left="860" w:hanging="451"/>
        <w:spacing w:after="0"/>
        <w:tabs>
          <w:tab w:leader="none" w:pos="8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Certificate</w:t>
      </w:r>
      <w:r>
        <w:rPr>
          <w:rFonts w:ascii="Times New Roman" w:cs="Times New Roman" w:eastAsia="Times New Roman" w:hAnsi="Times New Roman"/>
          <w:sz w:val="18"/>
          <w:szCs w:val="18"/>
          <w:color w:val="auto"/>
        </w:rPr>
        <w:t>" means a certificate setting out the terms of an Award;</w:t>
      </w:r>
    </w:p>
    <w:p>
      <w:pPr>
        <w:spacing w:after="0" w:line="31" w:lineRule="exact"/>
        <w:rPr>
          <w:rFonts w:ascii="Times New Roman" w:cs="Times New Roman" w:eastAsia="Times New Roman" w:hAnsi="Times New Roman"/>
          <w:sz w:val="18"/>
          <w:szCs w:val="18"/>
          <w:color w:val="auto"/>
        </w:rPr>
      </w:pPr>
    </w:p>
    <w:p>
      <w:pPr>
        <w:ind w:left="860" w:right="2020" w:hanging="451"/>
        <w:spacing w:after="0" w:line="253" w:lineRule="auto"/>
        <w:tabs>
          <w:tab w:leader="none" w:pos="8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means the Business Combination Agreement initially entered into by and among Armada Acquisition Corp. I, Rezolve Merger Sub and the Company (each as defined therein) entered into on 17 December 2021, amended on 10 November 2022, and further amended and restated on 16 June 2023 pursuant to a deed of release, amendment and restatement entered into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4" w:name="page65"/>
    <w:bookmarkEnd w:id="64"/>
    <w:p>
      <w:pPr>
        <w:ind w:left="407"/>
        <w:spacing w:after="0"/>
        <w:rPr>
          <w:sz w:val="20"/>
          <w:szCs w:val="20"/>
          <w:color w:val="auto"/>
        </w:rPr>
      </w:pPr>
      <w:r>
        <w:rPr>
          <w:rFonts w:ascii="Times New Roman" w:cs="Times New Roman" w:eastAsia="Times New Roman" w:hAnsi="Times New Roman"/>
          <w:sz w:val="18"/>
          <w:szCs w:val="18"/>
          <w:color w:val="auto"/>
        </w:rPr>
        <w:t>the New Company, CaymanCo, MergerSub, and Armada (each as defined in such deed) on 16 June 2023;</w:t>
      </w:r>
    </w:p>
    <w:p>
      <w:pPr>
        <w:spacing w:after="0" w:line="127" w:lineRule="exact"/>
        <w:rPr>
          <w:sz w:val="20"/>
          <w:szCs w:val="20"/>
          <w:color w:val="auto"/>
        </w:rPr>
      </w:pPr>
    </w:p>
    <w:p>
      <w:pPr>
        <w:ind w:left="567" w:right="180" w:hanging="567"/>
        <w:spacing w:after="0" w:line="286" w:lineRule="auto"/>
        <w:tabs>
          <w:tab w:leader="none" w:pos="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as constituted from time to time, or a committee thereof to which authority has been delegated by the board of directors with respect to any particular functions of the board of directors, as set forth herein;</w:t>
      </w:r>
    </w:p>
    <w:p>
      <w:pPr>
        <w:spacing w:after="0" w:line="60" w:lineRule="exact"/>
        <w:rPr>
          <w:rFonts w:ascii="Times New Roman" w:cs="Times New Roman" w:eastAsia="Times New Roman" w:hAnsi="Times New Roman"/>
          <w:sz w:val="18"/>
          <w:szCs w:val="18"/>
          <w:color w:val="auto"/>
        </w:rPr>
      </w:pPr>
    </w:p>
    <w:p>
      <w:pPr>
        <w:ind w:left="567" w:right="20" w:hanging="567"/>
        <w:spacing w:after="0" w:line="286" w:lineRule="auto"/>
        <w:tabs>
          <w:tab w:leader="none" w:pos="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or Sunday, on which banking institutions in London, England, and New York, New York (United States of America) are open for business;</w:t>
      </w:r>
    </w:p>
    <w:p>
      <w:pPr>
        <w:spacing w:after="0" w:line="182" w:lineRule="exact"/>
        <w:rPr>
          <w:sz w:val="20"/>
          <w:szCs w:val="20"/>
          <w:color w:val="auto"/>
        </w:rPr>
      </w:pPr>
    </w:p>
    <w:p>
      <w:pPr>
        <w:ind w:left="567" w:right="120" w:hanging="553"/>
        <w:spacing w:after="0" w:line="317" w:lineRule="auto"/>
        <w:tabs>
          <w:tab w:leader="none" w:pos="56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w:t>
      </w:r>
      <w:r>
        <w:rPr>
          <w:rFonts w:ascii="Times New Roman" w:cs="Times New Roman" w:eastAsia="Times New Roman" w:hAnsi="Times New Roman"/>
          <w:sz w:val="17"/>
          <w:szCs w:val="17"/>
          <w:color w:val="auto"/>
        </w:rPr>
        <w:t>” means the amount of money expressed in British Pound Sterling equal to the Market Value multiplied by the number of vested Units in the Participant’s notional account, on the ISU Settlement Date, RSU Settlement Date or DSU Payment Date, as applicable;</w:t>
      </w:r>
    </w:p>
    <w:p>
      <w:pPr>
        <w:spacing w:after="0" w:line="37" w:lineRule="exact"/>
        <w:rPr>
          <w:sz w:val="20"/>
          <w:szCs w:val="20"/>
          <w:color w:val="auto"/>
        </w:rPr>
      </w:pPr>
    </w:p>
    <w:p>
      <w:pPr>
        <w:ind w:left="567" w:right="800" w:hanging="553"/>
        <w:spacing w:after="0" w:line="286" w:lineRule="auto"/>
        <w:tabs>
          <w:tab w:leader="none" w:pos="56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unless the Board determines otherwise, the happening, in a single transaction or in a series of related transactions, of any of the following events:</w:t>
      </w:r>
    </w:p>
    <w:p>
      <w:pPr>
        <w:spacing w:after="0" w:line="64" w:lineRule="exact"/>
        <w:rPr>
          <w:rFonts w:ascii="Times New Roman" w:cs="Times New Roman" w:eastAsia="Times New Roman" w:hAnsi="Times New Roman"/>
          <w:sz w:val="18"/>
          <w:szCs w:val="18"/>
          <w:color w:val="auto"/>
        </w:rPr>
      </w:pPr>
    </w:p>
    <w:p>
      <w:pPr>
        <w:ind w:left="1127" w:right="140" w:hanging="560"/>
        <w:spacing w:after="0" w:line="258" w:lineRule="auto"/>
        <w:tabs>
          <w:tab w:leader="none" w:pos="112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(other than a transaction described in clause (ii) below) pursuant to which any person or group of persons acting jointly or in concert acquires the direct or indirect beneficial ownership of shares of the Company representing 50% or more of the aggregate voting power of all of the Company’s then issued and outstanding shares entitled to vote in the election of directors of the Company, other than any such acquisition that occurs upon the exercise or settlement of options or other securities granted by the Company under any of the Company’s equity incentive plans;</w:t>
      </w:r>
    </w:p>
    <w:p>
      <w:pPr>
        <w:spacing w:after="0" w:line="88" w:lineRule="exact"/>
        <w:rPr>
          <w:rFonts w:ascii="Times New Roman" w:cs="Times New Roman" w:eastAsia="Times New Roman" w:hAnsi="Times New Roman"/>
          <w:sz w:val="18"/>
          <w:szCs w:val="18"/>
          <w:color w:val="auto"/>
        </w:rPr>
      </w:pPr>
    </w:p>
    <w:p>
      <w:pPr>
        <w:ind w:left="1127" w:right="60" w:hanging="560"/>
        <w:spacing w:after="0" w:line="254" w:lineRule="auto"/>
        <w:tabs>
          <w:tab w:leader="none" w:pos="112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arrangement, amalgamation, merger, consolidation or similar transaction involving (directly or indirectly) the Company and, immediately after the consummation of such arrangement, amalgamation, merger, consolidation or similar transaction, the shareholders of the Company immediately prior thereto do not beneficially own, directly or indirectly, either (A) outstanding voting securities representing more than 50% of the combined outstanding voting power of the surviving or resulting entity in such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Company immediately prior to such transaction;</w:t>
      </w:r>
    </w:p>
    <w:p>
      <w:pPr>
        <w:spacing w:after="0" w:line="97" w:lineRule="exact"/>
        <w:rPr>
          <w:rFonts w:ascii="Times New Roman" w:cs="Times New Roman" w:eastAsia="Times New Roman" w:hAnsi="Times New Roman"/>
          <w:sz w:val="18"/>
          <w:szCs w:val="18"/>
          <w:color w:val="auto"/>
        </w:rPr>
      </w:pPr>
    </w:p>
    <w:p>
      <w:pPr>
        <w:ind w:left="1127" w:hanging="560"/>
        <w:spacing w:after="0" w:line="256" w:lineRule="auto"/>
        <w:tabs>
          <w:tab w:leader="none" w:pos="112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license or other disposition of all or substantially all of the Company’s assets to a person other than a person that was an Affiliate of the Company at the time of such sale, lease, exchange, license or other disposition, other than a sale, lease, exchange, license or other disposition to an entity, more than fifty percent (50%) of the combined voting power of the voting securities of which are beneficially owned by shareholders of the Company in substantially the same proportions as their beneficial ownership of the outstanding voting securities of the Company immediately prior to such sale, lease, exchange, license or other disposition;</w:t>
      </w:r>
    </w:p>
    <w:p>
      <w:pPr>
        <w:spacing w:after="0" w:line="92" w:lineRule="exact"/>
        <w:rPr>
          <w:rFonts w:ascii="Times New Roman" w:cs="Times New Roman" w:eastAsia="Times New Roman" w:hAnsi="Times New Roman"/>
          <w:sz w:val="18"/>
          <w:szCs w:val="18"/>
          <w:color w:val="auto"/>
        </w:rPr>
      </w:pPr>
    </w:p>
    <w:p>
      <w:pPr>
        <w:ind w:left="1127" w:right="180" w:hanging="560"/>
        <w:spacing w:after="0" w:line="258" w:lineRule="auto"/>
        <w:tabs>
          <w:tab w:leader="none" w:pos="112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passing of a resolution by the Board or Shareholders to substantially liquidate the assets of the Company or wind up the Company’s business or significantly rearrange its affairs in one or more transactions or series of transactions or the commencement of proceedings for such a liquidation, winding-up or re-arrangement (except where such re-arrangement is part of a bona fide reorganization of the Company in circumstances where the business of the Company is continued and the shareholdings remain substantially the same following the re-arrangement); or</w:t>
      </w:r>
    </w:p>
    <w:p>
      <w:pPr>
        <w:spacing w:after="0" w:line="179" w:lineRule="exact"/>
        <w:rPr>
          <w:rFonts w:ascii="Times New Roman" w:cs="Times New Roman" w:eastAsia="Times New Roman" w:hAnsi="Times New Roman"/>
          <w:sz w:val="18"/>
          <w:szCs w:val="18"/>
          <w:color w:val="auto"/>
        </w:rPr>
      </w:pPr>
    </w:p>
    <w:p>
      <w:pPr>
        <w:ind w:left="1127" w:right="220" w:hanging="560"/>
        <w:spacing w:after="0" w:line="262" w:lineRule="auto"/>
        <w:tabs>
          <w:tab w:leader="none" w:pos="112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members of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rFonts w:ascii="Times New Roman" w:cs="Times New Roman" w:eastAsia="Times New Roman" w:hAnsi="Times New Roman"/>
          <w:sz w:val="18"/>
          <w:szCs w:val="18"/>
          <w:color w:val="auto"/>
        </w:rPr>
      </w:pPr>
    </w:p>
    <w:p>
      <w:pPr>
        <w:ind w:left="11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and solely for the purpose of determining the</w:t>
      </w:r>
    </w:p>
    <w:p>
      <w:pPr>
        <w:spacing w:after="0" w:line="27" w:lineRule="exact"/>
        <w:rPr>
          <w:rFonts w:ascii="Times New Roman" w:cs="Times New Roman" w:eastAsia="Times New Roman" w:hAnsi="Times New Roman"/>
          <w:sz w:val="18"/>
          <w:szCs w:val="18"/>
          <w:color w:val="auto"/>
        </w:rPr>
      </w:pPr>
    </w:p>
    <w:p>
      <w:pPr>
        <w:ind w:left="1127"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timing of payment or timing of distribution of any compensation or benefit that constitutes “nonqualified deferred compensation” within the meaning of Section 409A of the US Internal Revenue Code of 1986, as amended, a Change of Control shall not be deemed to occur under this Plan unless the Change of Control also constitutes a “change in the ownership” of the Company, a “change in</w:t>
      </w:r>
    </w:p>
    <w:p>
      <w:pPr>
        <w:ind w:left="1127" w:right="220"/>
        <w:spacing w:after="0" w:line="250" w:lineRule="auto"/>
        <w:rPr>
          <w:sz w:val="20"/>
          <w:szCs w:val="20"/>
          <w:color w:val="auto"/>
        </w:rPr>
      </w:pPr>
      <w:r>
        <w:rPr>
          <w:rFonts w:ascii="Times New Roman" w:cs="Times New Roman" w:eastAsia="Times New Roman" w:hAnsi="Times New Roman"/>
          <w:sz w:val="18"/>
          <w:szCs w:val="18"/>
          <w:color w:val="auto"/>
        </w:rPr>
        <w:t>effective control” of the Company, or a “change in the ownership of a substantial portion of the assets” of the Company under U.S. Treasury Regulations § 1.409A-3(i)(5), or any successor provision;</w:t>
      </w:r>
    </w:p>
    <w:p>
      <w:pPr>
        <w:spacing w:after="0" w:line="1" w:lineRule="exact"/>
        <w:rPr>
          <w:sz w:val="20"/>
          <w:szCs w:val="20"/>
          <w:color w:val="auto"/>
        </w:rPr>
      </w:pPr>
    </w:p>
    <w:p>
      <w:pPr>
        <w:ind w:left="1127" w:hanging="560"/>
        <w:spacing w:after="0"/>
        <w:tabs>
          <w:tab w:leader="none" w:pos="11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636270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7"/>
          </w:cols>
          <w:pgMar w:left="773" w:top="769" w:right="339" w:bottom="1440" w:gutter="0" w:footer="0" w:header="0"/>
        </w:sectPr>
      </w:pPr>
    </w:p>
    <w:bookmarkStart w:id="65" w:name="page66"/>
    <w:bookmarkEnd w:id="65"/>
    <w:p>
      <w:pPr>
        <w:ind w:left="567" w:right="220" w:hanging="567"/>
        <w:spacing w:after="0" w:line="286" w:lineRule="auto"/>
        <w:tabs>
          <w:tab w:leader="none" w:pos="61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Rezolve AI Plc, a company incorporated in England with company number 14573691, whose registered office is at 5 New Street Square, London, United Kingdom, EC4A 3TW;</w:t>
      </w:r>
    </w:p>
    <w:p>
      <w:pPr>
        <w:spacing w:after="0" w:line="154" w:lineRule="exact"/>
        <w:rPr>
          <w:rFonts w:ascii="Times New Roman" w:cs="Times New Roman" w:eastAsia="Times New Roman" w:hAnsi="Times New Roman"/>
          <w:sz w:val="18"/>
          <w:szCs w:val="18"/>
          <w:color w:val="auto"/>
        </w:rPr>
      </w:pPr>
    </w:p>
    <w:p>
      <w:pPr>
        <w:ind w:left="567" w:right="40" w:hanging="567"/>
        <w:spacing w:after="0" w:line="286" w:lineRule="auto"/>
        <w:tabs>
          <w:tab w:leader="none" w:pos="5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collectively: (i) the series A preferred shares, designated as “Series A Shares” pursuant to the Company Articles of Association; and (ii) the ordinary shares designated as "Ordinary Shares" pursuant to the Company's Articles of Association;</w:t>
      </w:r>
    </w:p>
    <w:p>
      <w:pPr>
        <w:spacing w:after="0" w:line="154"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given in section 995 of the Income Tax Act 2007;</w:t>
      </w:r>
    </w:p>
    <w:p>
      <w:pPr>
        <w:spacing w:after="0" w:line="225" w:lineRule="exact"/>
        <w:rPr>
          <w:rFonts w:ascii="Times New Roman" w:cs="Times New Roman" w:eastAsia="Times New Roman" w:hAnsi="Times New Roman"/>
          <w:sz w:val="18"/>
          <w:szCs w:val="18"/>
          <w:color w:val="auto"/>
        </w:rPr>
      </w:pPr>
    </w:p>
    <w:p>
      <w:pPr>
        <w:ind w:left="567" w:right="220" w:hanging="567"/>
        <w:spacing w:after="0" w:line="286" w:lineRule="auto"/>
        <w:tabs>
          <w:tab w:leader="none" w:pos="56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Legislation</w:t>
      </w:r>
      <w:r>
        <w:rPr>
          <w:rFonts w:ascii="Times New Roman" w:cs="Times New Roman" w:eastAsia="Times New Roman" w:hAnsi="Times New Roman"/>
          <w:sz w:val="18"/>
          <w:szCs w:val="18"/>
          <w:color w:val="auto"/>
        </w:rPr>
        <w:t>" means to the extent applicable, the General Data Protection Regulation 2016/679 (the EU GDPR), the UK General Data Protection Regulation (the UK GDPR) and the UK Data Protection Act 2018;</w:t>
      </w:r>
    </w:p>
    <w:p>
      <w:pPr>
        <w:spacing w:after="0" w:line="181" w:lineRule="exact"/>
        <w:rPr>
          <w:rFonts w:ascii="Times New Roman" w:cs="Times New Roman" w:eastAsia="Times New Roman" w:hAnsi="Times New Roman"/>
          <w:sz w:val="18"/>
          <w:szCs w:val="18"/>
          <w:color w:val="auto"/>
        </w:rPr>
      </w:pPr>
    </w:p>
    <w:p>
      <w:pPr>
        <w:ind w:left="567" w:right="120" w:hanging="553"/>
        <w:spacing w:after="0" w:line="268" w:lineRule="auto"/>
        <w:tabs>
          <w:tab w:leader="none" w:pos="56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on which a particular Award is granted by the Board as evidenced by either the Grant Agreement pursuant to which the applicable Award was granted or if the Award is granted by unilateral deed of grant, as evidenced by the applicable Award Certificate;</w:t>
      </w:r>
    </w:p>
    <w:p>
      <w:pPr>
        <w:spacing w:after="0" w:line="76" w:lineRule="exact"/>
        <w:rPr>
          <w:rFonts w:ascii="Times New Roman" w:cs="Times New Roman" w:eastAsia="Times New Roman" w:hAnsi="Times New Roman"/>
          <w:sz w:val="18"/>
          <w:szCs w:val="18"/>
          <w:color w:val="auto"/>
        </w:rPr>
      </w:pPr>
    </w:p>
    <w:p>
      <w:pPr>
        <w:ind w:left="567" w:right="120" w:hanging="553"/>
        <w:spacing w:after="0" w:line="286" w:lineRule="auto"/>
        <w:tabs>
          <w:tab w:leader="none" w:pos="56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DSU</w:t>
      </w:r>
      <w:r>
        <w:rPr>
          <w:rFonts w:ascii="Times New Roman" w:cs="Times New Roman" w:eastAsia="Times New Roman" w:hAnsi="Times New Roman"/>
          <w:sz w:val="18"/>
          <w:szCs w:val="18"/>
          <w:color w:val="auto"/>
        </w:rPr>
        <w:t>” means a unit designated as a Deferred Share Unit representing the right to receive one Share or the Cash Equivalent in accordance with the terms set forth in the Plan;</w:t>
      </w:r>
    </w:p>
    <w:p>
      <w:pPr>
        <w:spacing w:after="0" w:line="60" w:lineRule="exact"/>
        <w:rPr>
          <w:sz w:val="20"/>
          <w:szCs w:val="20"/>
          <w:color w:val="auto"/>
        </w:rPr>
      </w:pPr>
    </w:p>
    <w:p>
      <w:pPr>
        <w:ind w:left="567" w:hanging="567"/>
        <w:spacing w:after="0" w:line="268" w:lineRule="auto"/>
        <w:tabs>
          <w:tab w:leader="none" w:pos="5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means a director of the Company (who for the avoidance of doubt must also be an employee) who has been designated by the Company for participation in the Plan and who has agreed to participate in the Plan and to whom Deferred Share Units have or will be granted thereunder;</w:t>
      </w:r>
    </w:p>
    <w:p>
      <w:pPr>
        <w:spacing w:after="0" w:line="76" w:lineRule="exact"/>
        <w:rPr>
          <w:rFonts w:ascii="Times New Roman" w:cs="Times New Roman" w:eastAsia="Times New Roman" w:hAnsi="Times New Roman"/>
          <w:sz w:val="18"/>
          <w:szCs w:val="18"/>
          <w:color w:val="auto"/>
        </w:rPr>
      </w:pPr>
    </w:p>
    <w:p>
      <w:pPr>
        <w:ind w:left="567" w:right="180" w:hanging="567"/>
        <w:spacing w:after="0" w:line="286" w:lineRule="auto"/>
        <w:tabs>
          <w:tab w:leader="none" w:pos="5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Payment Date</w:t>
      </w:r>
      <w:r>
        <w:rPr>
          <w:rFonts w:ascii="Times New Roman" w:cs="Times New Roman" w:eastAsia="Times New Roman" w:hAnsi="Times New Roman"/>
          <w:sz w:val="18"/>
          <w:szCs w:val="18"/>
          <w:color w:val="auto"/>
        </w:rPr>
        <w:t>” means, with respect to a Deferred Share Unit granted to a DSU Participant, no later than December 31 of the Fiscal Year following the Fiscal Year in which the DSU Termination Date occurred;</w:t>
      </w:r>
    </w:p>
    <w:p>
      <w:pPr>
        <w:spacing w:after="0" w:line="60" w:lineRule="exact"/>
        <w:rPr>
          <w:rFonts w:ascii="Times New Roman" w:cs="Times New Roman" w:eastAsia="Times New Roman" w:hAnsi="Times New Roman"/>
          <w:sz w:val="18"/>
          <w:szCs w:val="18"/>
          <w:color w:val="auto"/>
        </w:rPr>
      </w:pPr>
    </w:p>
    <w:p>
      <w:pPr>
        <w:ind w:left="567" w:right="280" w:hanging="567"/>
        <w:spacing w:after="0" w:line="286" w:lineRule="auto"/>
        <w:tabs>
          <w:tab w:leader="none" w:pos="5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Settlement Notice</w:t>
      </w:r>
      <w:r>
        <w:rPr>
          <w:rFonts w:ascii="Times New Roman" w:cs="Times New Roman" w:eastAsia="Times New Roman" w:hAnsi="Times New Roman"/>
          <w:sz w:val="18"/>
          <w:szCs w:val="18"/>
          <w:color w:val="auto"/>
        </w:rPr>
        <w:t>” means a notice, in a form determined by the Board, by a DSU Participant to the Company electing the desired form of settlement of Deferred Share Units;</w:t>
      </w:r>
    </w:p>
    <w:p>
      <w:pPr>
        <w:spacing w:after="0" w:line="60" w:lineRule="exact"/>
        <w:rPr>
          <w:sz w:val="20"/>
          <w:szCs w:val="20"/>
          <w:color w:val="auto"/>
        </w:rPr>
      </w:pPr>
    </w:p>
    <w:p>
      <w:pPr>
        <w:ind w:left="587" w:right="80" w:hanging="573"/>
        <w:spacing w:after="0" w:line="268" w:lineRule="auto"/>
        <w:tabs>
          <w:tab w:leader="none" w:pos="58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of a DSU Participant means, the day that the DSU Participant ceases to be a director (regardless of whether they have also ceased to be or have previously ceased to be an employee) of the Company for any reason including, without limiting the generality of the foregoing, as a result of retirement, death, voluntary or involuntary termination without cause, or Incapacity;</w:t>
      </w:r>
    </w:p>
    <w:p>
      <w:pPr>
        <w:spacing w:after="0" w:line="76"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ascribed thereto in Section 2.5;</w:t>
      </w:r>
    </w:p>
    <w:p>
      <w:pPr>
        <w:spacing w:after="0" w:line="13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has the meaning ascribed thereto in Section 5.3(1);</w:t>
      </w:r>
    </w:p>
    <w:p>
      <w:pPr>
        <w:spacing w:after="0" w:line="157" w:lineRule="exact"/>
        <w:rPr>
          <w:rFonts w:ascii="Times New Roman" w:cs="Times New Roman" w:eastAsia="Times New Roman" w:hAnsi="Times New Roman"/>
          <w:sz w:val="18"/>
          <w:szCs w:val="18"/>
          <w:color w:val="auto"/>
        </w:rPr>
      </w:pPr>
    </w:p>
    <w:p>
      <w:pPr>
        <w:ind w:left="547" w:hanging="547"/>
        <w:spacing w:after="0"/>
        <w:tabs>
          <w:tab w:leader="none" w:pos="54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has the meaning ascribed thereto in Section 5.3(1);</w:t>
      </w:r>
    </w:p>
    <w:p>
      <w:pPr>
        <w:spacing w:after="0" w:line="13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employee of the Company or any of its Group Companies, as designated by the Board in a resolution;</w:t>
      </w:r>
    </w:p>
    <w:p>
      <w:pPr>
        <w:spacing w:after="0" w:line="3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Employer's NICs</w:t>
      </w:r>
      <w:r>
        <w:rPr>
          <w:rFonts w:ascii="Times New Roman" w:cs="Times New Roman" w:eastAsia="Times New Roman" w:hAnsi="Times New Roman"/>
          <w:sz w:val="18"/>
          <w:szCs w:val="18"/>
          <w:color w:val="auto"/>
        </w:rPr>
        <w:t>" means secondary Class 1 National Insurance contributions;</w:t>
      </w:r>
    </w:p>
    <w:p>
      <w:pPr>
        <w:spacing w:after="0" w:line="203" w:lineRule="exact"/>
        <w:rPr>
          <w:sz w:val="20"/>
          <w:szCs w:val="20"/>
          <w:color w:val="auto"/>
        </w:rPr>
      </w:pPr>
    </w:p>
    <w:p>
      <w:pPr>
        <w:ind w:left="567" w:hanging="567"/>
        <w:spacing w:after="0" w:line="286" w:lineRule="auto"/>
        <w:tabs>
          <w:tab w:leader="none" w:pos="5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any share, share capital, capital stock, partnership, membership, joint venture or similar interest in any Person (as defined in the BCA) (including any stock appreciation, phantom stock, profit participation or similar rights);</w:t>
      </w:r>
    </w:p>
    <w:p>
      <w:pPr>
        <w:spacing w:after="0" w:line="60" w:lineRule="exact"/>
        <w:rPr>
          <w:rFonts w:ascii="Times New Roman" w:cs="Times New Roman" w:eastAsia="Times New Roman" w:hAnsi="Times New Roman"/>
          <w:sz w:val="18"/>
          <w:szCs w:val="18"/>
          <w:color w:val="auto"/>
        </w:rPr>
      </w:pPr>
    </w:p>
    <w:p>
      <w:pPr>
        <w:ind w:left="567" w:right="100" w:hanging="567"/>
        <w:spacing w:after="0" w:line="291" w:lineRule="auto"/>
        <w:tabs>
          <w:tab w:leader="none" w:pos="567"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Expire</w:t>
      </w:r>
      <w:r>
        <w:rPr>
          <w:rFonts w:ascii="Times New Roman" w:cs="Times New Roman" w:eastAsia="Times New Roman" w:hAnsi="Times New Roman"/>
          <w:sz w:val="17"/>
          <w:szCs w:val="17"/>
          <w:color w:val="auto"/>
        </w:rPr>
        <w:t>” means, with respect to a Unit, the termination of such Unit, on the occurrence of which such Unit is void, incapable of settlement, and of no value whatsoever; and with respect to an Option, the termination or lapsing of such Option, on the occurrence of which such Option is void, incapable of exercise or settlement, and of no value whatsoever; and Expires and Expired have a similar meaning;</w:t>
      </w:r>
    </w:p>
    <w:p>
      <w:pPr>
        <w:spacing w:after="0" w:line="58" w:lineRule="exact"/>
        <w:rPr>
          <w:rFonts w:ascii="Times New Roman" w:cs="Times New Roman" w:eastAsia="Times New Roman" w:hAnsi="Times New Roman"/>
          <w:sz w:val="17"/>
          <w:szCs w:val="17"/>
          <w:color w:val="auto"/>
        </w:rPr>
      </w:pPr>
    </w:p>
    <w:p>
      <w:pPr>
        <w:ind w:left="567" w:right="80" w:hanging="567"/>
        <w:spacing w:after="0" w:line="286" w:lineRule="auto"/>
        <w:tabs>
          <w:tab w:leader="none" w:pos="5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Company, which as of the Effective Date is the annual period commencing January 1 and ending the following December 31;</w:t>
      </w:r>
    </w:p>
    <w:p>
      <w:pPr>
        <w:spacing w:after="0" w:line="60"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Agreement</w:t>
      </w:r>
      <w:r>
        <w:rPr>
          <w:rFonts w:ascii="Times New Roman" w:cs="Times New Roman" w:eastAsia="Times New Roman" w:hAnsi="Times New Roman"/>
          <w:sz w:val="18"/>
          <w:szCs w:val="18"/>
          <w:color w:val="auto"/>
        </w:rPr>
        <w:t>” means an agreement between the Company and a Participant under which an Award is granted;</w:t>
      </w:r>
    </w:p>
    <w:p>
      <w:pPr>
        <w:spacing w:after="0" w:line="31" w:lineRule="exact"/>
        <w:rPr>
          <w:rFonts w:ascii="Times New Roman" w:cs="Times New Roman" w:eastAsia="Times New Roman" w:hAnsi="Times New Roman"/>
          <w:sz w:val="18"/>
          <w:szCs w:val="18"/>
          <w:color w:val="auto"/>
        </w:rPr>
      </w:pPr>
    </w:p>
    <w:p>
      <w:pPr>
        <w:ind w:left="567" w:hanging="567"/>
        <w:spacing w:after="0"/>
        <w:tabs>
          <w:tab w:leader="none" w:pos="5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 Company</w:t>
      </w:r>
      <w:r>
        <w:rPr>
          <w:rFonts w:ascii="Times New Roman" w:cs="Times New Roman" w:eastAsia="Times New Roman" w:hAnsi="Times New Roman"/>
          <w:sz w:val="18"/>
          <w:szCs w:val="18"/>
          <w:color w:val="auto"/>
        </w:rPr>
        <w:t>" means any subsidiary (as defined in section 1159 of the Companies Act) of the Company;</w:t>
      </w:r>
    </w:p>
    <w:p>
      <w:pPr>
        <w:spacing w:after="0" w:line="108" w:lineRule="exact"/>
        <w:rPr>
          <w:rFonts w:ascii="Times New Roman" w:cs="Times New Roman" w:eastAsia="Times New Roman" w:hAnsi="Times New Roman"/>
          <w:sz w:val="18"/>
          <w:szCs w:val="18"/>
          <w:color w:val="auto"/>
        </w:rPr>
      </w:pPr>
    </w:p>
    <w:p>
      <w:pPr>
        <w:ind w:left="567" w:right="400" w:hanging="567"/>
        <w:spacing w:after="0" w:line="286" w:lineRule="auto"/>
        <w:tabs>
          <w:tab w:leader="none" w:pos="56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means the permanent and total incapacity of a Participant as determined in accordance with procedures established by the Board for purposes of this Plan;</w:t>
      </w:r>
    </w:p>
    <w:p>
      <w:pPr>
        <w:spacing w:after="0" w:line="60" w:lineRule="exact"/>
        <w:rPr>
          <w:rFonts w:ascii="Times New Roman" w:cs="Times New Roman" w:eastAsia="Times New Roman" w:hAnsi="Times New Roman"/>
          <w:sz w:val="18"/>
          <w:szCs w:val="18"/>
          <w:color w:val="auto"/>
        </w:rPr>
      </w:pPr>
    </w:p>
    <w:p>
      <w:pPr>
        <w:ind w:left="567" w:hanging="472"/>
        <w:spacing w:after="0"/>
        <w:tabs>
          <w:tab w:leader="none" w:pos="56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has the meaning given to that term in Section 1.1(i)(v);</w:t>
      </w:r>
    </w:p>
    <w:p>
      <w:pPr>
        <w:spacing w:after="0" w:line="229" w:lineRule="exact"/>
        <w:rPr>
          <w:sz w:val="20"/>
          <w:szCs w:val="20"/>
          <w:color w:val="auto"/>
        </w:rPr>
      </w:pPr>
    </w:p>
    <w:p>
      <w:pPr>
        <w:ind w:left="87"/>
        <w:spacing w:after="0"/>
        <w:rPr>
          <w:sz w:val="20"/>
          <w:szCs w:val="20"/>
          <w:color w:val="auto"/>
        </w:rPr>
      </w:pPr>
      <w:r>
        <w:rPr>
          <w:rFonts w:ascii="Times New Roman" w:cs="Times New Roman" w:eastAsia="Times New Roman" w:hAnsi="Times New Roman"/>
          <w:sz w:val="18"/>
          <w:szCs w:val="18"/>
          <w:color w:val="auto"/>
        </w:rPr>
        <w:t>hh)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844550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7"/>
          </w:cols>
          <w:pgMar w:left="773" w:top="765" w:right="399" w:bottom="1440" w:gutter="0" w:footer="0" w:header="0"/>
        </w:sectPr>
      </w:pPr>
    </w:p>
    <w:bookmarkStart w:id="66" w:name="page67"/>
    <w:bookmarkEnd w:id="66"/>
    <w:p>
      <w:pPr>
        <w:ind w:left="131"/>
        <w:spacing w:after="0"/>
        <w:rPr>
          <w:sz w:val="20"/>
          <w:szCs w:val="20"/>
          <w:color w:val="auto"/>
        </w:rPr>
      </w:pPr>
      <w:r>
        <w:rPr>
          <w:rFonts w:ascii="Times New Roman" w:cs="Times New Roman" w:eastAsia="Times New Roman" w:hAnsi="Times New Roman"/>
          <w:sz w:val="18"/>
          <w:szCs w:val="18"/>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(jj)</w:t>
      </w:r>
    </w:p>
    <w:p>
      <w:pPr>
        <w:spacing w:after="0" w:line="225"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(kk)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1"/>
        <w:spacing w:after="0"/>
        <w:rPr>
          <w:sz w:val="20"/>
          <w:szCs w:val="20"/>
          <w:color w:val="auto"/>
        </w:rPr>
      </w:pPr>
      <w:r>
        <w:rPr>
          <w:rFonts w:ascii="Times New Roman" w:cs="Times New Roman" w:eastAsia="Times New Roman" w:hAnsi="Times New Roman"/>
          <w:sz w:val="18"/>
          <w:szCs w:val="18"/>
          <w:color w:val="auto"/>
        </w:rPr>
        <w:t>(mm)</w:t>
      </w:r>
    </w:p>
    <w:p>
      <w:pPr>
        <w:spacing w:after="0" w:line="248" w:lineRule="exact"/>
        <w:rPr>
          <w:sz w:val="20"/>
          <w:szCs w:val="20"/>
          <w:color w:val="auto"/>
        </w:rPr>
      </w:pPr>
    </w:p>
    <w:p>
      <w:pPr>
        <w:ind w:left="591" w:hanging="547"/>
        <w:spacing w:after="0"/>
        <w:tabs>
          <w:tab w:leader="none" w:pos="59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Team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means the founder of the Company, being Daniel Wagner;</w:t>
      </w:r>
    </w:p>
    <w:p>
      <w:pPr>
        <w:spacing w:after="0" w:line="130" w:lineRule="exact"/>
        <w:rPr>
          <w:rFonts w:ascii="Times New Roman" w:cs="Times New Roman" w:eastAsia="Times New Roman" w:hAnsi="Times New Roman"/>
          <w:sz w:val="18"/>
          <w:szCs w:val="18"/>
          <w:color w:val="auto"/>
        </w:rPr>
      </w:pPr>
    </w:p>
    <w:p>
      <w:pPr>
        <w:ind w:left="611" w:hanging="553"/>
        <w:spacing w:after="0" w:line="256" w:lineRule="auto"/>
        <w:tabs>
          <w:tab w:leader="none" w:pos="611"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Value</w:t>
      </w:r>
      <w:r>
        <w:rPr>
          <w:rFonts w:ascii="Times New Roman" w:cs="Times New Roman" w:eastAsia="Times New Roman" w:hAnsi="Times New Roman"/>
          <w:sz w:val="18"/>
          <w:szCs w:val="18"/>
          <w:color w:val="auto"/>
        </w:rPr>
        <w:t>” means, on any particular day, the volume weighted average trading price of a Share on the NASDAQ for the five (5) preceding days on which the Shares were traded, or on any other share exchange as selected by the Board for these purposes. In the event that such Shares are not listed and posted for trading on any share exchange, the Market Value shall be the fair market value of such Shares as determined by the Board in its sole and absolute discretion;</w:t>
      </w:r>
    </w:p>
    <w:p>
      <w:pPr>
        <w:spacing w:after="0" w:line="3" w:lineRule="exact"/>
        <w:rPr>
          <w:rFonts w:ascii="Times New Roman" w:cs="Times New Roman" w:eastAsia="Times New Roman" w:hAnsi="Times New Roman"/>
          <w:sz w:val="18"/>
          <w:szCs w:val="18"/>
          <w:color w:val="auto"/>
        </w:rPr>
      </w:pPr>
    </w:p>
    <w:p>
      <w:pPr>
        <w:ind w:left="611" w:hanging="553"/>
        <w:spacing w:after="0"/>
        <w:tabs>
          <w:tab w:leader="none" w:pos="611"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means a notice of exercise in such form as may be prescribed or required by the Board from time to time;</w:t>
      </w:r>
    </w:p>
    <w:p>
      <w:pPr>
        <w:spacing w:after="0" w:line="108" w:lineRule="exact"/>
        <w:rPr>
          <w:rFonts w:ascii="Times New Roman" w:cs="Times New Roman" w:eastAsia="Times New Roman" w:hAnsi="Times New Roman"/>
          <w:sz w:val="18"/>
          <w:szCs w:val="18"/>
          <w:color w:val="auto"/>
        </w:rPr>
      </w:pPr>
    </w:p>
    <w:p>
      <w:pPr>
        <w:ind w:left="731" w:right="2140" w:hanging="731"/>
        <w:spacing w:after="0" w:line="259" w:lineRule="auto"/>
        <w:tabs>
          <w:tab w:leader="none" w:pos="73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share option granted to an Option Participant pursuant to the terms of this Plan that, subject to the provisions hereof, entitles an Option Participant to receive one Share or the Option Cash Equivalent in accordance with the terms set forth in the Plan;</w:t>
      </w:r>
    </w:p>
    <w:p>
      <w:pPr>
        <w:ind w:left="731" w:right="2140" w:hanging="731"/>
        <w:spacing w:after="0" w:line="250" w:lineRule="auto"/>
        <w:tabs>
          <w:tab w:leader="none" w:pos="73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Cash Equivalent</w:t>
      </w:r>
      <w:r>
        <w:rPr>
          <w:rFonts w:ascii="Times New Roman" w:cs="Times New Roman" w:eastAsia="Times New Roman" w:hAnsi="Times New Roman"/>
          <w:sz w:val="18"/>
          <w:szCs w:val="18"/>
          <w:color w:val="auto"/>
        </w:rPr>
        <w:t>" means the amount of money expressed in British Pound Sterling equal to: (a) the Market Value multiplied by the number of Shares in respect of which the Option is being exercised and which is to be settled by cash; (b) less the Option Price applicable to such Shares;</w:t>
      </w:r>
    </w:p>
    <w:p>
      <w:pPr>
        <w:spacing w:after="0" w:line="1" w:lineRule="exact"/>
        <w:rPr>
          <w:rFonts w:ascii="Times New Roman" w:cs="Times New Roman" w:eastAsia="Times New Roman" w:hAnsi="Times New Roman"/>
          <w:sz w:val="18"/>
          <w:szCs w:val="18"/>
          <w:color w:val="auto"/>
        </w:rPr>
      </w:pPr>
    </w:p>
    <w:p>
      <w:pPr>
        <w:ind w:left="731" w:right="2140" w:hanging="731"/>
        <w:spacing w:after="0" w:line="250" w:lineRule="auto"/>
        <w:tabs>
          <w:tab w:leader="none" w:pos="73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an Option has been granted or will be granted thereunder;</w:t>
      </w:r>
    </w:p>
    <w:p>
      <w:pPr>
        <w:spacing w:after="0" w:line="1" w:lineRule="exact"/>
        <w:rPr>
          <w:rFonts w:ascii="Times New Roman" w:cs="Times New Roman" w:eastAsia="Times New Roman" w:hAnsi="Times New Roman"/>
          <w:sz w:val="18"/>
          <w:szCs w:val="18"/>
          <w:color w:val="auto"/>
        </w:rPr>
      </w:pPr>
    </w:p>
    <w:p>
      <w:pPr>
        <w:ind w:left="731" w:right="2040" w:hanging="731"/>
        <w:spacing w:after="0" w:line="250" w:lineRule="auto"/>
        <w:tabs>
          <w:tab w:leader="none" w:pos="73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price per Share determined by the Board in relation to an Option, in accordance with Section 9.2;</w:t>
      </w:r>
    </w:p>
    <w:p>
      <w:pPr>
        <w:ind w:left="731" w:right="2020" w:hanging="731"/>
        <w:spacing w:after="0" w:line="251" w:lineRule="auto"/>
        <w:tabs>
          <w:tab w:leader="none" w:pos="73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means the date on which an Option Participant ceases to be an Eligible Person as a result of a termination of employment with the Company or a Group Company for any reason, including death, retirement, or resignation. For the purposes of the Plan, an Option Participant’s employment with the Company or a Group Company shall be considered to have terminated effective on the last day of the Option Participant’s actual and active employment with the Company or Group Company, whether such day is selected by agreement with the individual, or unilaterally by the Option Participant or the Company or Group Company, and whether with or without advance notice to the Option Participant. For the avoidance of doubt, no period of notice or pay in lieu of notice that is given or that ought to have been given under applicable law in respect of such termination of employment that follows or is in respect of a period after the Option Participant’s last day of actual and active employment shall be considered as extending the Option Participant’s period of employment for the purposes of determining his or her entitlement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704215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1"/>
          </w:cols>
          <w:pgMar w:left="729" w:top="985" w:right="359" w:bottom="1440" w:gutter="0" w:footer="0" w:header="0"/>
        </w:sectPr>
      </w:pPr>
    </w:p>
    <w:bookmarkStart w:id="67" w:name="page68"/>
    <w:bookmarkEnd w:id="67"/>
    <w:p>
      <w:pPr>
        <w:ind w:left="1020" w:hanging="553"/>
        <w:spacing w:after="0"/>
        <w:tabs>
          <w:tab w:leader="none" w:pos="102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 RSU Participant, or a DSU Participant, or a ISU Participant or an Option Participant, as applicable;</w:t>
      </w:r>
    </w:p>
    <w:p>
      <w:pPr>
        <w:spacing w:after="0" w:line="131" w:lineRule="exact"/>
        <w:rPr>
          <w:sz w:val="20"/>
          <w:szCs w:val="20"/>
          <w:color w:val="auto"/>
        </w:rPr>
      </w:pPr>
    </w:p>
    <w:p>
      <w:pPr>
        <w:ind w:left="1020" w:right="300" w:hanging="567"/>
        <w:spacing w:after="0" w:line="263" w:lineRule="auto"/>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shall mean criteria, if any, established by the Board which, without limitation, may include criteria based on the financial performance of the Company and/or an Affiliate;</w:t>
      </w:r>
    </w:p>
    <w:p>
      <w:pPr>
        <w:ind w:left="1020" w:hanging="567"/>
        <w:spacing w:after="0" w:line="255" w:lineRule="auto"/>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Representatives</w:t>
      </w:r>
      <w:r>
        <w:rPr>
          <w:rFonts w:ascii="Times New Roman" w:cs="Times New Roman" w:eastAsia="Times New Roman" w:hAnsi="Times New Roman"/>
          <w:sz w:val="18"/>
          <w:szCs w:val="18"/>
          <w:color w:val="auto"/>
        </w:rPr>
        <w:t>" means in relation to the Participant, the Participant's legal personal representatives (being either the executors of his will to whom a valid grant of probate has been made or the duly appointed administrators of his estate) who in either case have provided the Board with satisfactory evidence of their appointment</w:t>
      </w:r>
    </w:p>
    <w:p>
      <w:pPr>
        <w:spacing w:after="0" w:line="208"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this Long Term Incentive Plan, as amended from time to time;</w:t>
      </w:r>
    </w:p>
    <w:p>
      <w:pPr>
        <w:spacing w:after="0" w:line="252" w:lineRule="exact"/>
        <w:rPr>
          <w:rFonts w:ascii="Times New Roman" w:cs="Times New Roman" w:eastAsia="Times New Roman" w:hAnsi="Times New Roman"/>
          <w:sz w:val="18"/>
          <w:szCs w:val="18"/>
          <w:color w:val="auto"/>
        </w:rPr>
      </w:pPr>
    </w:p>
    <w:p>
      <w:pPr>
        <w:ind w:left="1020" w:right="200" w:hanging="553"/>
        <w:spacing w:after="0" w:line="268" w:lineRule="auto"/>
        <w:tabs>
          <w:tab w:leader="none" w:pos="10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means a unit granted or credited to an RSU Participant’s notional account pursuant to the terms of this Plan that, subject to the provisions hereof, entitles an RSU Participant to receive one Share or the Cash Equivalent in accordance with the terms set forth in the Plan;</w:t>
      </w:r>
    </w:p>
    <w:p>
      <w:pPr>
        <w:spacing w:after="0" w:line="76" w:lineRule="exact"/>
        <w:rPr>
          <w:sz w:val="20"/>
          <w:szCs w:val="20"/>
          <w:color w:val="auto"/>
        </w:rPr>
      </w:pPr>
    </w:p>
    <w:p>
      <w:pPr>
        <w:ind w:left="1040" w:right="140" w:hanging="573"/>
        <w:spacing w:after="0" w:line="286" w:lineRule="auto"/>
        <w:tabs>
          <w:tab w:leader="none" w:pos="1040"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Participant</w:t>
      </w:r>
      <w:r>
        <w:rPr>
          <w:rFonts w:ascii="Times New Roman" w:cs="Times New Roman" w:eastAsia="Times New Roman" w:hAnsi="Times New Roman"/>
          <w:sz w:val="18"/>
          <w:szCs w:val="18"/>
          <w:color w:val="auto"/>
        </w:rPr>
        <w:t>” means an Eligible Person who has been designated by the Company for participation in the Plan and who has agreed to participate in the Plan and to whom a Restricted Share Unit has been granted or will be granted thereunder;</w:t>
      </w:r>
    </w:p>
    <w:p>
      <w:pPr>
        <w:spacing w:after="0" w:line="87"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 has the meaning ascribed thereto in Section 4.1(1);</w:t>
      </w:r>
    </w:p>
    <w:p>
      <w:pPr>
        <w:spacing w:after="0" w:line="130" w:lineRule="exact"/>
        <w:rPr>
          <w:rFonts w:ascii="Times New Roman" w:cs="Times New Roman" w:eastAsia="Times New Roman" w:hAnsi="Times New Roman"/>
          <w:sz w:val="18"/>
          <w:szCs w:val="18"/>
          <w:color w:val="auto"/>
        </w:rPr>
      </w:pPr>
    </w:p>
    <w:p>
      <w:pPr>
        <w:ind w:left="1020" w:right="240" w:hanging="567"/>
        <w:spacing w:after="0" w:line="286" w:lineRule="auto"/>
        <w:tabs>
          <w:tab w:leader="none" w:pos="1020"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Settlement Notice</w:t>
      </w:r>
      <w:r>
        <w:rPr>
          <w:rFonts w:ascii="Times New Roman" w:cs="Times New Roman" w:eastAsia="Times New Roman" w:hAnsi="Times New Roman"/>
          <w:sz w:val="18"/>
          <w:szCs w:val="18"/>
          <w:color w:val="auto"/>
        </w:rPr>
        <w:t>” means a notice, in a form determined by the Board, by an RSU Participant to the Company electing the desired form of settlement of vested Restricted Share Units;</w:t>
      </w:r>
    </w:p>
    <w:p>
      <w:pPr>
        <w:spacing w:after="0" w:line="60" w:lineRule="exact"/>
        <w:rPr>
          <w:rFonts w:ascii="Times New Roman" w:cs="Times New Roman" w:eastAsia="Times New Roman" w:hAnsi="Times New Roman"/>
          <w:sz w:val="18"/>
          <w:szCs w:val="18"/>
          <w:color w:val="auto"/>
        </w:rPr>
      </w:pPr>
    </w:p>
    <w:p>
      <w:pPr>
        <w:ind w:left="1020" w:hanging="553"/>
        <w:spacing w:after="0" w:line="254" w:lineRule="auto"/>
        <w:tabs>
          <w:tab w:leader="none" w:pos="1020" w:val="left"/>
        </w:tabs>
        <w:numPr>
          <w:ilvl w:val="3"/>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means the date on which an RSU Participant ceases to be an Eligible Person as a result of a termination of employment with the Company or a Group Company for any reason, including death, retirement, or resignation. For the purposes of the Plan, an RSU Participant’s employment or retention with the Company or a Group Company shall be considered to have terminated effective on the last day of the RSU Participant’s actual and active employment with the Company or Group Company, whether such day is selected by agreement with the individual, or unilaterally by the RSU Participant or the Company or Group Company, and whether with or without advance notice to the RSU Participant. For the avoidance of doubt, no period of notice or pay in lieu of notice that is given or that ought to have been given under applicable law in respect of such termination of employment that follows or is in respect of a period after the RSU Participant’s last day of actual and active employment shall be considered as extending the RSU Participant’s period of employment or retention for the purposes of determining his or her entitlement under the Plan;</w:t>
      </w:r>
    </w:p>
    <w:p>
      <w:pPr>
        <w:spacing w:after="0" w:line="93" w:lineRule="exact"/>
        <w:rPr>
          <w:rFonts w:ascii="Times New Roman" w:cs="Times New Roman" w:eastAsia="Times New Roman" w:hAnsi="Times New Roman"/>
          <w:sz w:val="18"/>
          <w:szCs w:val="18"/>
          <w:color w:val="auto"/>
        </w:rPr>
      </w:pPr>
    </w:p>
    <w:p>
      <w:pPr>
        <w:ind w:left="1020" w:right="120" w:hanging="553"/>
        <w:spacing w:after="0" w:line="259" w:lineRule="auto"/>
        <w:tabs>
          <w:tab w:leader="none" w:pos="1020" w:val="left"/>
        </w:tabs>
        <w:numPr>
          <w:ilvl w:val="3"/>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RSU Vesting Date</w:t>
      </w:r>
      <w:r>
        <w:rPr>
          <w:rFonts w:ascii="Times New Roman" w:cs="Times New Roman" w:eastAsia="Times New Roman" w:hAnsi="Times New Roman"/>
          <w:sz w:val="18"/>
          <w:szCs w:val="18"/>
          <w:color w:val="auto"/>
        </w:rPr>
        <w:t>” means the date or dates determined in accordance with the terms of the Grant Agreement or deed of grant entered into in respect of such Restricted Share Units (as described in Section 3.4), on and after which a particular Restricted Share Unit will be settled, subject to amendment or acceleration from time to time in accordance with the terms hereof;</w:t>
      </w:r>
    </w:p>
    <w:p>
      <w:pPr>
        <w:ind w:left="1020" w:right="180" w:hanging="553"/>
        <w:spacing w:after="0" w:line="260" w:lineRule="auto"/>
        <w:tabs>
          <w:tab w:leader="none" w:pos="1020" w:val="left"/>
        </w:tabs>
        <w:numPr>
          <w:ilvl w:val="3"/>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431 Election</w:t>
      </w:r>
      <w:r>
        <w:rPr>
          <w:rFonts w:ascii="Times New Roman" w:cs="Times New Roman" w:eastAsia="Times New Roman" w:hAnsi="Times New Roman"/>
          <w:sz w:val="18"/>
          <w:szCs w:val="18"/>
          <w:color w:val="auto"/>
        </w:rPr>
        <w:t>" means an election made under section 431(1) of the Income Tax (Earnings and Pensions) Act 2003 in such form as the Board or HM Revenue &amp; Customs may prescribe;</w:t>
      </w:r>
    </w:p>
    <w:p>
      <w:pPr>
        <w:spacing w:after="0" w:line="82"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 ordinary share in the capital of the Company;</w:t>
      </w:r>
    </w:p>
    <w:p>
      <w:pPr>
        <w:spacing w:after="0" w:line="130" w:lineRule="exact"/>
        <w:rPr>
          <w:rFonts w:ascii="Times New Roman" w:cs="Times New Roman" w:eastAsia="Times New Roman" w:hAnsi="Times New Roman"/>
          <w:sz w:val="18"/>
          <w:szCs w:val="18"/>
          <w:color w:val="auto"/>
        </w:rPr>
      </w:pPr>
    </w:p>
    <w:p>
      <w:pPr>
        <w:ind w:left="1080" w:right="120" w:hanging="775"/>
        <w:spacing w:after="0" w:line="268"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Compensation Arrangement</w:t>
      </w:r>
      <w:r>
        <w:rPr>
          <w:rFonts w:ascii="Times New Roman" w:cs="Times New Roman" w:eastAsia="Times New Roman" w:hAnsi="Times New Roman"/>
          <w:sz w:val="18"/>
          <w:szCs w:val="18"/>
          <w:color w:val="auto"/>
        </w:rPr>
        <w:t>” means any share option, share option plan, employee share purchase plan, long-term incentive plan or any other compensation or incentive mechanism of the Company involving the issuance or potential issuance of securities of the Company;</w:t>
      </w:r>
    </w:p>
    <w:p>
      <w:pPr>
        <w:spacing w:after="0" w:line="76"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holders of Shares;</w:t>
      </w:r>
    </w:p>
    <w:p>
      <w:pPr>
        <w:spacing w:after="0" w:line="130" w:lineRule="exact"/>
        <w:rPr>
          <w:rFonts w:ascii="Times New Roman" w:cs="Times New Roman" w:eastAsia="Times New Roman" w:hAnsi="Times New Roman"/>
          <w:sz w:val="18"/>
          <w:szCs w:val="18"/>
          <w:color w:val="auto"/>
        </w:rPr>
      </w:pPr>
    </w:p>
    <w:p>
      <w:pPr>
        <w:ind w:left="1020" w:right="240" w:hanging="567"/>
        <w:spacing w:after="0" w:line="286" w:lineRule="auto"/>
        <w:tabs>
          <w:tab w:leader="none" w:pos="1020"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or, if the Shares are not listed or posted for trading on the NASDAQ but are listed and posted for trading on another share exchange, the share exchange on which the Shares are listed or posted for trading;</w:t>
      </w:r>
    </w:p>
    <w:p>
      <w:pPr>
        <w:spacing w:after="0" w:line="6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3"/>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 has the meaning ascribed thereto in Section 5.4(1);</w:t>
      </w:r>
    </w:p>
    <w:p>
      <w:pPr>
        <w:spacing w:after="0" w:line="31" w:lineRule="exact"/>
        <w:rPr>
          <w:rFonts w:ascii="Times New Roman" w:cs="Times New Roman" w:eastAsia="Times New Roman" w:hAnsi="Times New Roman"/>
          <w:sz w:val="18"/>
          <w:szCs w:val="18"/>
          <w:color w:val="auto"/>
        </w:rPr>
      </w:pPr>
    </w:p>
    <w:p>
      <w:pPr>
        <w:ind w:left="1020" w:right="420" w:hanging="553"/>
        <w:spacing w:after="0" w:line="255" w:lineRule="auto"/>
        <w:tabs>
          <w:tab w:leader="none" w:pos="1020" w:val="left"/>
        </w:tabs>
        <w:numPr>
          <w:ilvl w:val="3"/>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Pool Percentage</w:t>
      </w:r>
      <w:r>
        <w:rPr>
          <w:rFonts w:ascii="Times New Roman" w:cs="Times New Roman" w:eastAsia="Times New Roman" w:hAnsi="Times New Roman"/>
          <w:sz w:val="18"/>
          <w:szCs w:val="18"/>
          <w:color w:val="auto"/>
        </w:rPr>
        <w:t>" means, subject to Section 2.2 below, a number of Company Shares equal to fifteen percent (15%) of the fully diluted issued and outstanding Equity Securities, and any option, warrant, right or security (including debt securities) convertible, exchangeable or exercisable therefor) of the Company as of the Closing (as defined in the BCA);</w:t>
      </w:r>
    </w:p>
    <w:p>
      <w:pPr>
        <w:spacing w:after="0" w:line="87" w:lineRule="exact"/>
        <w:rPr>
          <w:rFonts w:ascii="Times New Roman" w:cs="Times New Roman" w:eastAsia="Times New Roman" w:hAnsi="Times New Roman"/>
          <w:sz w:val="18"/>
          <w:szCs w:val="18"/>
          <w:color w:val="auto"/>
        </w:rPr>
      </w:pPr>
    </w:p>
    <w:p>
      <w:pPr>
        <w:ind w:left="1120" w:hanging="748"/>
        <w:spacing w:after="0"/>
        <w:tabs>
          <w:tab w:leader="none" w:pos="11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and</w:t>
      </w:r>
    </w:p>
    <w:p>
      <w:pPr>
        <w:spacing w:after="0" w:line="131" w:lineRule="exact"/>
        <w:rPr>
          <w:sz w:val="20"/>
          <w:szCs w:val="20"/>
          <w:color w:val="auto"/>
        </w:rPr>
      </w:pPr>
    </w:p>
    <w:p>
      <w:pPr>
        <w:ind w:left="1080" w:hanging="775"/>
        <w:spacing w:after="0"/>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DSUs, ISUs and RSUs, as applicable.</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8" w:name="page69"/>
    <w:bookmarkEnd w:id="68"/>
    <w:p>
      <w:pPr>
        <w:ind w:left="460" w:right="440" w:hanging="452"/>
        <w:spacing w:after="0" w:line="282" w:lineRule="auto"/>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Plan, words importing the singular shall include the plural and vice versa and words importing any gender include any other gender.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the Participant’s Grant Agreement or Award Certificate, all references to money amounts are to English currency.</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terms “Article” and “Section” mean and refer to the specified Article and Section of this Plan, respectively.</w:t>
      </w:r>
    </w:p>
    <w:p>
      <w:pPr>
        <w:spacing w:after="0" w:line="130"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135" w:lineRule="exact"/>
        <w:rPr>
          <w:sz w:val="20"/>
          <w:szCs w:val="20"/>
          <w:color w:val="auto"/>
        </w:rPr>
      </w:pPr>
    </w:p>
    <w:p>
      <w:pPr>
        <w:ind w:left="460" w:right="500" w:hanging="452"/>
        <w:spacing w:after="0" w:line="282"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administer this Plan. Nothing contained herein shall prevent the Board from adopting other or additional Share Compensation Arrangements or other compensation arrangements.</w:t>
      </w:r>
    </w:p>
    <w:p>
      <w:pPr>
        <w:spacing w:after="0" w:line="67" w:lineRule="exact"/>
        <w:rPr>
          <w:rFonts w:ascii="Times New Roman" w:cs="Times New Roman" w:eastAsia="Times New Roman" w:hAnsi="Times New Roman"/>
          <w:sz w:val="18"/>
          <w:szCs w:val="18"/>
          <w:color w:val="auto"/>
        </w:rPr>
      </w:pPr>
    </w:p>
    <w:p>
      <w:pPr>
        <w:ind w:left="460" w:right="80" w:hanging="452"/>
        <w:spacing w:after="0" w:line="253"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Board has the authority: (i) to grant Restricted Share Units to RSU Participants; (ii) to grant Deferred Share Units to DSU Participants; (iii) to grant Incentive Share Units to ISU Participants; (iv) to grant Options to Option Participants; (v) to determine the terms, including the limitations, restrictions, vesting period, and conditions (including any Performance Criteria), if any, of such grants; (vi) to interpret this Plan and all agreements entered into hereunder; (vii) to adopt, amend and rescind such administrative guidelines and other rules relating to this Plan as it may from time to time deem advisable; (viii) establish sub-plans to operate in the United Kingdom or in any jurisdictions outside the United Kingdom (overseas sub-plans) provided that insofar as possible, any overseas sub-plan shall be governed by rules similar to the rules of the Plan, but modified to take account of applicable tax, social security, employment, company, exchange control, trust or securities (or any other relevant) law, regulation or practice; and provide that any sub-plan may include provision to grant equity-based awards that are not Units or Options and/or to grant awards to be settled in cash only; and (ix) to make all other determinations and to take all other actions in connection with the implementation and administration of this Plan as it may deem necessary or advisable. The Board’s guidelines, rules, interpretations, and determinations shall be conclusive and to the fullest extent permitted by applicable law binding upon the Company, its subsidiaries, and all RSU Participants, DSU Participants, ISU Participants, Eligible Persons and their legal, personal representatives and beneficiaries.</w:t>
      </w:r>
    </w:p>
    <w:p>
      <w:pPr>
        <w:spacing w:after="0" w:line="92"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 other provision contained herein, the Board shall have the right to delegate the administration and operation of this Plan, in whole or in part, to a remuneration committee thereof. For greater certainty, any such delegation by the Board may be revoked at any time at the Board’s sole discretion. Without prejudice to the foregoing right to delegate at any time, there shall be delegated to the Management Team the right to grant and to determine to whom there shall be granted one half of all Awards available for allocation from time to time. All other grants of Awards shall be carried out by the Board on the recommendation of the remuneration committee (if any), in consultation with the Management Team and the Chairman of the Company (if any).</w:t>
      </w:r>
    </w:p>
    <w:p>
      <w:pPr>
        <w:spacing w:after="0" w:line="92" w:lineRule="exact"/>
        <w:rPr>
          <w:rFonts w:ascii="Times New Roman" w:cs="Times New Roman" w:eastAsia="Times New Roman" w:hAnsi="Times New Roman"/>
          <w:sz w:val="18"/>
          <w:szCs w:val="18"/>
          <w:color w:val="auto"/>
        </w:rPr>
      </w:pPr>
    </w:p>
    <w:p>
      <w:pPr>
        <w:ind w:left="460" w:right="20" w:hanging="452"/>
        <w:spacing w:after="0" w:line="266"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Company with respect to any such action or determination.</w:t>
      </w:r>
    </w:p>
    <w:p>
      <w:pPr>
        <w:spacing w:after="0" w:line="81" w:lineRule="exact"/>
        <w:rPr>
          <w:rFonts w:ascii="Times New Roman" w:cs="Times New Roman" w:eastAsia="Times New Roman" w:hAnsi="Times New Roman"/>
          <w:sz w:val="18"/>
          <w:szCs w:val="18"/>
          <w:color w:val="auto"/>
        </w:rPr>
      </w:pPr>
    </w:p>
    <w:p>
      <w:pPr>
        <w:ind w:left="460" w:right="140" w:hanging="452"/>
        <w:spacing w:after="0" w:line="257"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such rules or regulations and vary the terms of this Plan and any grant hereunder as it considers necessary to address tax or other requirements of any applicable jurisdiction. Without limiting the generality of the foregoing, if any provision of this Plan contravenes Section 409A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or</w:t>
      </w:r>
    </w:p>
    <w:p>
      <w:pPr>
        <w:spacing w:after="0" w:line="1" w:lineRule="exact"/>
        <w:rPr>
          <w:rFonts w:ascii="Times New Roman" w:cs="Times New Roman" w:eastAsia="Times New Roman" w:hAnsi="Times New Roman"/>
          <w:sz w:val="18"/>
          <w:szCs w:val="18"/>
          <w:color w:val="auto"/>
        </w:rPr>
      </w:pPr>
    </w:p>
    <w:p>
      <w:pPr>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457A (“</w:t>
      </w:r>
      <w:r>
        <w:rPr>
          <w:rFonts w:ascii="Times New Roman" w:cs="Times New Roman" w:eastAsia="Times New Roman" w:hAnsi="Times New Roman"/>
          <w:sz w:val="18"/>
          <w:szCs w:val="18"/>
          <w:b w:val="1"/>
          <w:bCs w:val="1"/>
          <w:color w:val="auto"/>
        </w:rPr>
        <w:t>Section 457</w:t>
      </w:r>
      <w:r>
        <w:rPr>
          <w:rFonts w:ascii="Times New Roman" w:cs="Times New Roman" w:eastAsia="Times New Roman" w:hAnsi="Times New Roman"/>
          <w:sz w:val="18"/>
          <w:szCs w:val="18"/>
          <w:color w:val="auto"/>
        </w:rPr>
        <w:t>”) of the U.S. Internal Revenue Code of 1986, as amended, the Board may, in its sole discretion and without the participant’s consent, modify such provision to: (i) comply with, or avoid being subject to, Section 409A or Section 457, or to avoid incurring taxes, interest or penalties under Section 409A or Section 457, or otherwise; and/or (ii) maintain, to the maximum extent practicable, the original intent and economic benefit to the Participant of the applicable provision without materially increasing the cost to the Company and contravening Section 409A or Section 457.</w:t>
      </w:r>
    </w:p>
    <w:p>
      <w:pPr>
        <w:spacing w:after="0" w:line="92"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in any way fetter, limit, obligate, restrict or constrain the Board with regard to the allotment or issue of any Shares or any other securities in the capital of the Company other than as specifically provided for in the Plan.</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b w:val="1"/>
          <w:bCs w:val="1"/>
          <w:color w:val="auto"/>
        </w:rPr>
        <w:t>Grant of Awards and Shares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ind w:left="460" w:right="320" w:hanging="452"/>
        <w:spacing w:after="0" w:line="282" w:lineRule="auto"/>
        <w:tabs>
          <w:tab w:leader="none" w:pos="4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Awards to Participants upon the terms, conditions and limitations set forth herein and such other terms, conditions and limitations permitted by and not inconsistent with this Plan as the Board may determine, provided that:</w:t>
      </w:r>
    </w:p>
    <w:p>
      <w:pPr>
        <w:spacing w:after="0" w:line="67" w:lineRule="exact"/>
        <w:rPr>
          <w:rFonts w:ascii="Times New Roman" w:cs="Times New Roman" w:eastAsia="Times New Roman" w:hAnsi="Times New Roman"/>
          <w:sz w:val="18"/>
          <w:szCs w:val="18"/>
          <w:color w:val="auto"/>
        </w:rPr>
      </w:pPr>
    </w:p>
    <w:p>
      <w:pPr>
        <w:ind w:left="1020" w:right="20" w:hanging="567"/>
        <w:spacing w:after="0" w:line="266"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reserved for issuance or transfer from treasury, in the aggregate, under this Plan and any sub-plan thereto shall initially be equal to the Total Pool Percentage minus the number of Company Shares issued or proposed to be issued in connection with the Additional Issuances;</w:t>
      </w:r>
    </w:p>
    <w:p>
      <w:pPr>
        <w:spacing w:after="0" w:line="108" w:lineRule="exact"/>
        <w:rPr>
          <w:rFonts w:ascii="Times New Roman" w:cs="Times New Roman" w:eastAsia="Times New Roman" w:hAnsi="Times New Roman"/>
          <w:sz w:val="18"/>
          <w:szCs w:val="18"/>
          <w:color w:val="auto"/>
        </w:rPr>
      </w:pPr>
    </w:p>
    <w:p>
      <w:pPr>
        <w:ind w:left="1020" w:right="120" w:hanging="553"/>
        <w:spacing w:after="0" w:line="261" w:lineRule="auto"/>
        <w:tabs>
          <w:tab w:leader="none" w:pos="102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reserved for issuance or transfer from treasury under this Plan and any sub-plan thereto that are subject to any grants of Awards (or portions thereof) that (i) Expire or are forfeited, surrendered, cancelled or otherwise terminated prior to the issuance of the Shares pursuant to a grant of Awards or (ii) are settled in cash in lieu of settlement in Shares or settled by the transfer of Shares other than from treasury shall, in each case, automatically become available to be made and subject to new grants under this Plan; and</w:t>
      </w:r>
    </w:p>
    <w:p>
      <w:pPr>
        <w:spacing w:after="0" w:line="179" w:lineRule="exact"/>
        <w:rPr>
          <w:rFonts w:ascii="Times New Roman" w:cs="Times New Roman" w:eastAsia="Times New Roman" w:hAnsi="Times New Roman"/>
          <w:sz w:val="18"/>
          <w:szCs w:val="18"/>
          <w:color w:val="auto"/>
        </w:rPr>
      </w:pPr>
    </w:p>
    <w:p>
      <w:pPr>
        <w:ind w:left="1020" w:hanging="553"/>
        <w:spacing w:after="0" w:line="254" w:lineRule="auto"/>
        <w:tabs>
          <w:tab w:leader="none" w:pos="102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sole discretion, at any time on or after 1 January 2025 and in each calendar year thereafter determine that an additional pool of Shares be reserved for issuance or transfer from treasury, under this Plan and any sub-plan being a pool of up to 5% of the fully diluted issued and outstanding Equity Securities, (and any option, warrant, right or security (including debt securities) convertible, exchangeable or exercisable therefor) of the Company (the "</w:t>
      </w:r>
      <w:r>
        <w:rPr>
          <w:rFonts w:ascii="Times New Roman" w:cs="Times New Roman" w:eastAsia="Times New Roman" w:hAnsi="Times New Roman"/>
          <w:sz w:val="18"/>
          <w:szCs w:val="18"/>
          <w:b w:val="1"/>
          <w:bCs w:val="1"/>
          <w:color w:val="auto"/>
        </w:rPr>
        <w:t>Fully Diluted Capital</w:t>
      </w:r>
      <w:r>
        <w:rPr>
          <w:rFonts w:ascii="Times New Roman" w:cs="Times New Roman" w:eastAsia="Times New Roman" w:hAnsi="Times New Roman"/>
          <w:sz w:val="18"/>
          <w:szCs w:val="18"/>
          <w:color w:val="auto"/>
        </w:rPr>
        <w:t>") as of such date in the relevant calendar year that the Board may determine (the "</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(provided that each such additional pool shall be capped at 5% of such Fully Diluted Capital each calendar year and shall be separate to the reservation set out in Section 2.2(a) and to any additional pool created in any previous year.) For the avoidance of doubt, there may not be more than one Calculation Date in a calendar year but the Calculation Date in one calendar year need not be the same as the Calculation Date in another calendar year.</w:t>
      </w:r>
    </w:p>
    <w:p>
      <w:pPr>
        <w:spacing w:after="0" w:line="33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b w:val="1"/>
          <w:bCs w:val="1"/>
          <w:color w:val="auto"/>
        </w:rPr>
        <w:t>Amendment and Termination.</w:t>
      </w:r>
    </w:p>
    <w:p>
      <w:pPr>
        <w:spacing w:after="0" w:line="135" w:lineRule="exact"/>
        <w:rPr>
          <w:sz w:val="20"/>
          <w:szCs w:val="20"/>
          <w:color w:val="auto"/>
        </w:rPr>
      </w:pPr>
    </w:p>
    <w:p>
      <w:pPr>
        <w:jc w:val="both"/>
        <w:ind w:left="460" w:right="60" w:hanging="452"/>
        <w:spacing w:after="0" w:line="266" w:lineRule="auto"/>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sole discretion, suspend or terminate the Plan at any time or from time to time and/or amend or revise the terms of the Plan or of any Award granted under the Plan and any Grant Agreement or Award Certificate or deed of grant relating thereto provided that such suspension, termination, amendment, or revision shall:</w:t>
      </w:r>
    </w:p>
    <w:p>
      <w:pPr>
        <w:spacing w:after="0" w:line="81"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adversely alter or impair any Award previously granted except as permitted by the terms of this Plan;</w:t>
      </w:r>
    </w:p>
    <w:p>
      <w:pPr>
        <w:spacing w:after="0" w:line="131" w:lineRule="exact"/>
        <w:rPr>
          <w:sz w:val="20"/>
          <w:szCs w:val="20"/>
          <w:color w:val="auto"/>
        </w:rPr>
      </w:pPr>
    </w:p>
    <w:p>
      <w:pPr>
        <w:ind w:left="1040" w:hanging="573"/>
        <w:spacing w:after="0" w:line="282" w:lineRule="auto"/>
        <w:tabs>
          <w:tab w:leader="none" w:pos="104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compliance with applicable law and subject to any regulatory approvals including, where required, the approval of the Stock Exchange; and</w:t>
      </w:r>
    </w:p>
    <w:p>
      <w:pPr>
        <w:spacing w:after="0" w:line="6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Shareholder approval, where required by law, the requirements of the Stock Exchange or this Plan.</w:t>
      </w:r>
    </w:p>
    <w:p>
      <w:pPr>
        <w:spacing w:after="0" w:line="130" w:lineRule="exact"/>
        <w:rPr>
          <w:rFonts w:ascii="Times New Roman" w:cs="Times New Roman" w:eastAsia="Times New Roman" w:hAnsi="Times New Roman"/>
          <w:sz w:val="18"/>
          <w:szCs w:val="18"/>
          <w:color w:val="auto"/>
        </w:rPr>
      </w:pPr>
    </w:p>
    <w:p>
      <w:pPr>
        <w:jc w:val="both"/>
        <w:ind w:left="460" w:right="180" w:hanging="452"/>
        <w:spacing w:after="0" w:line="261" w:lineRule="auto"/>
        <w:tabs>
          <w:tab w:leader="none" w:pos="4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85" w:lineRule="exact"/>
        <w:rPr>
          <w:rFonts w:ascii="Times New Roman" w:cs="Times New Roman" w:eastAsia="Times New Roman" w:hAnsi="Times New Roman"/>
          <w:sz w:val="18"/>
          <w:szCs w:val="18"/>
          <w:color w:val="auto"/>
        </w:rPr>
      </w:pPr>
    </w:p>
    <w:p>
      <w:pPr>
        <w:ind w:left="460" w:right="80" w:hanging="452"/>
        <w:spacing w:after="0" w:line="282" w:lineRule="auto"/>
        <w:tabs>
          <w:tab w:leader="none" w:pos="4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2.3(1), the Board may from time to time, in its discretion and without the approval of Shareholders or Participants, make changes to the Plan or any Award that do not require the approval of Shareholders under Section 2.3(4), which may include but are not limited to:</w:t>
      </w:r>
    </w:p>
    <w:p>
      <w:pPr>
        <w:spacing w:after="0" w:line="67" w:lineRule="exact"/>
        <w:rPr>
          <w:rFonts w:ascii="Times New Roman" w:cs="Times New Roman" w:eastAsia="Times New Roman" w:hAnsi="Times New Roman"/>
          <w:sz w:val="18"/>
          <w:szCs w:val="18"/>
          <w:color w:val="auto"/>
        </w:rPr>
      </w:pPr>
    </w:p>
    <w:p>
      <w:pPr>
        <w:jc w:val="both"/>
        <w:ind w:left="1020" w:right="260" w:hanging="567"/>
        <w:spacing w:after="0" w:line="266" w:lineRule="auto"/>
        <w:tabs>
          <w:tab w:leader="none" w:pos="10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 administrative nature, including without limitation those made to clarify the meaning of an existing provision of the Plan, correct or supplement any provision of the Plan that is inconsistent with any other provision of the Plan, correct any grammatical or typographical errors or amend the definitions in the Plan regarding administration of the Plan;</w:t>
      </w:r>
    </w:p>
    <w:p>
      <w:pPr>
        <w:spacing w:after="0" w:line="81"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alter, extend or accelerate the terms of vesting or settlement applicable to any Awards;</w:t>
      </w:r>
    </w:p>
    <w:p>
      <w:pPr>
        <w:spacing w:after="0" w:line="15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Plan respecting administration and eligibility for participation under the Plan; and</w:t>
      </w:r>
    </w:p>
    <w:p>
      <w:pPr>
        <w:spacing w:after="0" w:line="130" w:lineRule="exact"/>
        <w:rPr>
          <w:rFonts w:ascii="Times New Roman" w:cs="Times New Roman" w:eastAsia="Times New Roman" w:hAnsi="Times New Roman"/>
          <w:sz w:val="18"/>
          <w:szCs w:val="18"/>
          <w:color w:val="auto"/>
        </w:rPr>
      </w:pPr>
    </w:p>
    <w:p>
      <w:pPr>
        <w:ind w:left="1020" w:right="260" w:hanging="567"/>
        <w:spacing w:after="0" w:line="282" w:lineRule="auto"/>
        <w:tabs>
          <w:tab w:leader="none" w:pos="10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Plan or a Award as necessary to comply with applicable law or the requirements of the Stock Exchange or any other regulatory body having authority over the Company, the Plan, the Participants or the Shareholders.</w:t>
      </w:r>
    </w:p>
    <w:p>
      <w:pPr>
        <w:spacing w:after="0" w:line="67"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the following amendments to the Plan:</w:t>
      </w:r>
    </w:p>
    <w:p>
      <w:pPr>
        <w:spacing w:after="0" w:line="252" w:lineRule="exact"/>
        <w:rPr>
          <w:rFonts w:ascii="Times New Roman" w:cs="Times New Roman" w:eastAsia="Times New Roman" w:hAnsi="Times New Roman"/>
          <w:sz w:val="18"/>
          <w:szCs w:val="18"/>
          <w:color w:val="auto"/>
        </w:rPr>
      </w:pPr>
    </w:p>
    <w:p>
      <w:pPr>
        <w:ind w:left="1020" w:right="100" w:hanging="553"/>
        <w:spacing w:after="0" w:line="261" w:lineRule="auto"/>
        <w:tabs>
          <w:tab w:leader="none" w:pos="1020"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such shareholder approval is required by applicable law and/or the rules and regulations of the Stock Exchange or any other stock exchange on which the Shares are listed or posted for trading, any increase in the maximum number of Shares that may be issuable by the Company, including from treasury, pursuant to Awards granted under the Plan (as set out in Section 2.2), other than an adjustment pursuant to Section 2.15;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0" w:name="page71"/>
    <w:bookmarkEnd w:id="70"/>
    <w:p>
      <w:pPr>
        <w:ind w:left="1020" w:hanging="553"/>
        <w:spacing w:after="0"/>
        <w:tabs>
          <w:tab w:leader="none" w:pos="10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Section 2.3(3) and this Section 2.3(4).</w:t>
      </w:r>
    </w:p>
    <w:p>
      <w:pPr>
        <w:spacing w:after="0" w:line="200" w:lineRule="exact"/>
        <w:rPr>
          <w:sz w:val="20"/>
          <w:szCs w:val="20"/>
          <w:color w:val="auto"/>
        </w:rPr>
      </w:pPr>
    </w:p>
    <w:p>
      <w:pPr>
        <w:spacing w:after="0" w:line="29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b w:val="1"/>
          <w:bCs w:val="1"/>
          <w:color w:val="auto"/>
        </w:rPr>
        <w:t>Compliance with Legislation</w:t>
      </w:r>
    </w:p>
    <w:p>
      <w:pPr>
        <w:spacing w:after="0" w:line="135" w:lineRule="exact"/>
        <w:rPr>
          <w:sz w:val="20"/>
          <w:szCs w:val="20"/>
          <w:color w:val="auto"/>
        </w:rPr>
      </w:pPr>
    </w:p>
    <w:p>
      <w:pPr>
        <w:ind w:left="460" w:right="40" w:hanging="452"/>
        <w:spacing w:after="0" w:line="256" w:lineRule="auto"/>
        <w:tabs>
          <w:tab w:leader="none" w:pos="4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of the Plan (including any amendments thereto), the terms of the grant of any Award under the Plan, the grant of Awards, and the Company’s obligation to issue Shares or deliver a Cash Equivalent shall be subject to all applicable laws, rules and regulations, the rules and regulations of the Stock Exchange and any other stock exchange on which the Shares are listed or posted for trading, and to such approvals by any regulatory or governmental agency as may, in the opinion of counsel to the Company, be required. The Company shall not be obliged by any provision of the Plan or the grant of any Award hereunder to issue Shares or deliver a Cash Equivalent or Option Cash Equivalent in violation of such laws, rules and regulations or any condition of such approvals.</w:t>
      </w:r>
    </w:p>
    <w:p>
      <w:pPr>
        <w:spacing w:after="0" w:line="92" w:lineRule="exact"/>
        <w:rPr>
          <w:rFonts w:ascii="Times New Roman" w:cs="Times New Roman" w:eastAsia="Times New Roman" w:hAnsi="Times New Roman"/>
          <w:sz w:val="18"/>
          <w:szCs w:val="18"/>
          <w:color w:val="auto"/>
        </w:rPr>
      </w:pPr>
    </w:p>
    <w:p>
      <w:pPr>
        <w:ind w:left="460" w:right="40" w:hanging="452"/>
        <w:spacing w:after="0" w:line="261" w:lineRule="auto"/>
        <w:tabs>
          <w:tab w:leader="none" w:pos="4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issue or transfer (or procure the transfer of) any Shares pursuant to this Plan unless upon official notice of issuance such Shares shall have been duly listed with the Stock Exchange (and any other stock exchange on which the Shares are listed or posted for trading). Shares issued to Participants pursuant to the settlement of Awards may be subject to limitations on sale or resale under applicable securities laws.</w:t>
      </w:r>
    </w:p>
    <w:p>
      <w:pPr>
        <w:spacing w:after="0" w:line="85" w:lineRule="exact"/>
        <w:rPr>
          <w:sz w:val="20"/>
          <w:szCs w:val="20"/>
          <w:color w:val="auto"/>
        </w:rPr>
      </w:pPr>
    </w:p>
    <w:p>
      <w:pPr>
        <w:ind w:left="460" w:right="20" w:hanging="452"/>
        <w:spacing w:after="0" w:line="255" w:lineRule="auto"/>
        <w:tabs>
          <w:tab w:leader="none" w:pos="4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Board, in its sole and absolute discretion determine that it is not feasible to provide for the settlement of Restricted Share Units, Deferred Share Units, Incentive Share Units or Options in shares, as applicable, including by reason of any such laws, regulations, rules, orders or requirements, it shall notify the Participants of such determination and on receipt of such notice each Participant shall have the option of electing that such settlement obligations be satisfied by means of a cash payment by the Company equal to the Cash Equivalent of the Restricted Share Units, Deferred Share Units or Incentive Share Units or the Option Cash Equivalent of the Options, as applicable. Each Participant shall comply with all such laws, regulations, rules, orders and requirements, and shall furnish the Company with any and all information and undertakings, as may be required to ensure compliance therewith.</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shall be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the closing of the initial public offering of the Shares.</w:t>
      </w:r>
    </w:p>
    <w:p>
      <w:pPr>
        <w:spacing w:after="0" w:line="3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b w:val="1"/>
          <w:bCs w:val="1"/>
          <w:color w:val="auto"/>
        </w:rPr>
        <w:t>Applicable Tax Withholdings and Deductions.</w:t>
      </w:r>
    </w:p>
    <w:p>
      <w:pPr>
        <w:spacing w:after="0" w:line="135" w:lineRule="exact"/>
        <w:rPr>
          <w:sz w:val="20"/>
          <w:szCs w:val="20"/>
          <w:color w:val="auto"/>
        </w:rPr>
      </w:pPr>
    </w:p>
    <w:p>
      <w:pPr>
        <w:ind w:left="460" w:hanging="452"/>
        <w:spacing w:after="0" w:line="255" w:lineRule="auto"/>
        <w:tabs>
          <w:tab w:leader="none" w:pos="4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and together with Section 2.6(3) the Company or the relevant Affiliate or Group Company, as applicable (the "</w:t>
      </w:r>
      <w:r>
        <w:rPr>
          <w:rFonts w:ascii="Times New Roman" w:cs="Times New Roman" w:eastAsia="Times New Roman" w:hAnsi="Times New Roman"/>
          <w:sz w:val="18"/>
          <w:szCs w:val="18"/>
          <w:b w:val="1"/>
          <w:bCs w:val="1"/>
          <w:color w:val="auto"/>
        </w:rPr>
        <w:t>Relevant Company</w:t>
      </w:r>
      <w:r>
        <w:rPr>
          <w:rFonts w:ascii="Times New Roman" w:cs="Times New Roman" w:eastAsia="Times New Roman" w:hAnsi="Times New Roman"/>
          <w:sz w:val="18"/>
          <w:szCs w:val="18"/>
          <w:color w:val="auto"/>
        </w:rPr>
        <w:t>"), shall be entitled to withhold from any amount payable to a Participant, either under this Plan or otherwise, such amounts as may be necessary so as to ensure that the Relevant Company is in compliance with all liabilities or obligations, whether under any statute or regulation or otherwise, to account to any revenue or other authority for sums in respect of an Applicable Withholding Tax Liability To this end, the Participant shall, to the extent permitted by law, indemnify and shall keep indemnified the Relevant Company for the Applicable Withholding Tax Liability and the Participant shall pay the Relevant Company a sum equal to the Applicable Withholding Tax Liability immediately upon written notice of the quantum of the said liability.</w:t>
      </w:r>
    </w:p>
    <w:p>
      <w:pPr>
        <w:spacing w:after="0" w:line="94"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responsibility of the Participant to complete and file any tax returns which may be required within the periods specified in applicable laws as a result of the Participant’s participation in the Plan and which by law such Participant is required to file. The Company shall not be held responsible for any tax consequences to a Participant as a result of the Participant’s participation in the Plan and, without prejudice to (1) above, the Participant shall indemnify and keep indemnified the Company and the Relevant Company from and against any and all loss, liability, damage, penalty or expense (including legal expense), which may be asserted against the Company or which the Company may suffer or incur arising out of, resulting from, or relating in any manner whatsoever to any tax liability in connection therewith.</w:t>
      </w:r>
    </w:p>
    <w:p>
      <w:pPr>
        <w:spacing w:after="0" w:line="9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 cash payment will be made nor will Shares be issued until:</w:t>
      </w:r>
    </w:p>
    <w:p>
      <w:pPr>
        <w:spacing w:after="0" w:line="130" w:lineRule="exact"/>
        <w:rPr>
          <w:rFonts w:ascii="Times New Roman" w:cs="Times New Roman" w:eastAsia="Times New Roman" w:hAnsi="Times New Roman"/>
          <w:sz w:val="18"/>
          <w:szCs w:val="18"/>
          <w:color w:val="auto"/>
        </w:rPr>
      </w:pPr>
    </w:p>
    <w:p>
      <w:pPr>
        <w:ind w:left="1020" w:right="560" w:hanging="567"/>
        <w:spacing w:after="0" w:line="266"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sufficient to cover the Applicable Withholding Tax Liability payable on the settlement of Awards has been received by the Company (or withheld by the Company from the Cash Equivalent or Option Cash Equivalent and/or cash payment noted above if applicable);</w:t>
      </w:r>
    </w:p>
    <w:p>
      <w:pPr>
        <w:spacing w:after="0" w:line="81" w:lineRule="exact"/>
        <w:rPr>
          <w:rFonts w:ascii="Times New Roman" w:cs="Times New Roman" w:eastAsia="Times New Roman" w:hAnsi="Times New Roman"/>
          <w:sz w:val="18"/>
          <w:szCs w:val="18"/>
          <w:color w:val="auto"/>
        </w:rPr>
      </w:pPr>
    </w:p>
    <w:p>
      <w:pPr>
        <w:ind w:left="1020" w:right="680" w:hanging="567"/>
        <w:spacing w:after="0" w:line="282"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undertakes to arrange for such number of Shares to be sold as is necessary to raise an amount equal to the Applicable Withholding Tax Liability, and to cause the proceeds from the sale of such Shares to be delivered to the Company; or</w:t>
      </w:r>
    </w:p>
    <w:p>
      <w:pPr>
        <w:spacing w:after="0" w:line="67" w:lineRule="exact"/>
        <w:rPr>
          <w:rFonts w:ascii="Times New Roman" w:cs="Times New Roman" w:eastAsia="Times New Roman" w:hAnsi="Times New Roman"/>
          <w:sz w:val="18"/>
          <w:szCs w:val="18"/>
          <w:color w:val="auto"/>
        </w:rPr>
      </w:pPr>
    </w:p>
    <w:p>
      <w:pPr>
        <w:ind w:left="1020" w:right="180" w:hanging="567"/>
        <w:spacing w:after="0" w:line="282" w:lineRule="auto"/>
        <w:tabs>
          <w:tab w:leader="none" w:pos="10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elects to settle for cash such number of Awards as is necessary to raise funds sufficient to cover the Applicable Withholding Tax Liability with such amount being withheld by the Company.</w:t>
      </w:r>
    </w:p>
    <w:p>
      <w:pPr>
        <w:spacing w:after="0" w:line="9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7"/>
          <w:szCs w:val="17"/>
          <w:b w:val="1"/>
          <w:bCs w:val="1"/>
          <w:color w:val="auto"/>
        </w:rPr>
        <w:t>No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No interest or other amounts shall accrue to the Participant in respect of any amount payable by the Company to the Participant under this Plan or Award.</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b w:val="1"/>
          <w:bCs w:val="1"/>
          <w:color w:val="auto"/>
        </w:rPr>
        <w:t>Non-Transferability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set forth herein, Awards are not transferable. Units may be settled and Options may be exercised only by:</w:t>
      </w:r>
    </w:p>
    <w:p>
      <w:pPr>
        <w:spacing w:after="0" w:line="131" w:lineRule="exact"/>
        <w:rPr>
          <w:sz w:val="20"/>
          <w:szCs w:val="20"/>
          <w:color w:val="auto"/>
        </w:rPr>
      </w:pPr>
    </w:p>
    <w:p>
      <w:pPr>
        <w:ind w:left="1000" w:hanging="547"/>
        <w:spacing w:after="0"/>
        <w:tabs>
          <w:tab w:leader="none" w:pos="10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to whom the Awards were granted; or</w:t>
      </w:r>
    </w:p>
    <w:p>
      <w:pPr>
        <w:spacing w:after="0" w:line="252"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death, by the Participant’s Personal Representatives.,</w:t>
      </w:r>
    </w:p>
    <w:p>
      <w:pPr>
        <w:spacing w:after="0" w:line="200" w:lineRule="exact"/>
        <w:rPr>
          <w:sz w:val="20"/>
          <w:szCs w:val="20"/>
          <w:color w:val="auto"/>
        </w:rPr>
      </w:pPr>
    </w:p>
    <w:p>
      <w:pPr>
        <w:spacing w:after="0" w:line="29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b w:val="1"/>
          <w:bCs w:val="1"/>
          <w:color w:val="auto"/>
        </w:rPr>
        <w:t>Participation in this Plan.</w:t>
      </w:r>
    </w:p>
    <w:p>
      <w:pPr>
        <w:spacing w:after="0" w:line="135" w:lineRule="exact"/>
        <w:rPr>
          <w:sz w:val="20"/>
          <w:szCs w:val="20"/>
          <w:color w:val="auto"/>
        </w:rPr>
      </w:pPr>
    </w:p>
    <w:p>
      <w:pPr>
        <w:ind w:left="460" w:right="20" w:hanging="452"/>
        <w:spacing w:after="0" w:line="253"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his contract of employment nor does the existence of a contract of employment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or employment shall not be affected by his participation under the Rules or any right he may have to participate. An individual who participates under the Rules waives all and any rights to compensation or damages in consequence of the termination of his office or employment with any company for any reason whatsoever, whether lawful or not, in so far as those rights arise, or may arise, from his ceasing to have rights under or be entitled to the exercise or settlement of an Award under the Rules as a result of such termination or from the loss or diminution of value of such rights or entitlements. If necessary, the Participant's terms of employment shall be varied accordingly.</w:t>
      </w:r>
    </w:p>
    <w:p>
      <w:pPr>
        <w:spacing w:after="0" w:line="99"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any rights or privileges as a Shareholder of the Company in respect of Shares that are issuable or transferable upon the settlement of an Award pursuant to the terms of this Plan until the allotment and issuance of such Shares or their transfer to the Participant. The Participant or the Participant’s legal representative shall not, by reason of the grant of any Award, be considered to be a Shareholder of the Company until an Award has been duly settled and Shares have been issued or transferred in respect thereof. In addition, Shares issued or so transferred shall rank pari passu in all respects with the Shares already then in issue provided that Shares issued or transferred in settlement of an Award will not rank for any dividend or other distribution of the Company paid or made by reference to a record date prior to the date of allotment or transfer, as relevant.</w:t>
      </w:r>
    </w:p>
    <w:p>
      <w:pPr>
        <w:spacing w:after="0" w:line="92"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credited to an unfunded notional bookkeeping account established and maintained by the Company in the name of each Participant. Notwithstanding any other provision of the Plan to the contrary, an Award shall not be considered or construed as an actual investment in Shares. Participants shall have no legal or equitable rights, claims, or interest in any specific property or assets of the Company or any Affiliate or Group Company. No assets of the Company or any Affiliate or Group Company shall be held in any way as collateral security for the fulfilment of the obligations of the Company or any Affiliate or Group Company under this Plan. Any and all of the Company’s or any Affiliate’s or Group Company'sassets shall be, and remain, the general unrestricted assets of the Company or Affiliate or Group Company.</w:t>
      </w:r>
    </w:p>
    <w:p>
      <w:pPr>
        <w:spacing w:after="0" w:line="214" w:lineRule="exact"/>
        <w:rPr>
          <w:rFonts w:ascii="Times New Roman" w:cs="Times New Roman" w:eastAsia="Times New Roman" w:hAnsi="Times New Roman"/>
          <w:sz w:val="18"/>
          <w:szCs w:val="18"/>
          <w:color w:val="auto"/>
        </w:rPr>
      </w:pPr>
    </w:p>
    <w:p>
      <w:pPr>
        <w:ind w:left="460" w:right="40" w:hanging="452"/>
        <w:spacing w:after="0" w:line="254" w:lineRule="auto"/>
        <w:tabs>
          <w:tab w:leader="none" w:pos="4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as to the future Market Value of the Shares or with respect to any income tax matters affecting the Participant resulting from the grant, exercise or settlement of an Award or transactions in the Shares. With respect to any fluctuations in the Market Value of Shares, neither the Company,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Company does not assume responsibility for the income or other tax consequences resulting to the Participant and they are advised to consult with their own tax advisors.</w:t>
      </w:r>
    </w:p>
    <w:p>
      <w:pPr>
        <w:spacing w:after="0" w:line="33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b w:val="1"/>
          <w:bCs w:val="1"/>
          <w:color w:val="auto"/>
        </w:rPr>
        <w:t>Notice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Notice required to be given pursuant to the Plan must be in writing. All notices to the Company must be delivered personally, by prepaid registered mail or by email and must be addressed to the secretary of the Company. All notices to the Participant will be addressed to the principal address of the Participant on file with the Company and/or to the Participant's work email (or any other email address of the Participant known to the Company). Either the Company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at the time of transmission. Any notice given by either the Participant or the Company is not binding on the recipient thereof until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b w:val="1"/>
          <w:bCs w:val="1"/>
          <w:color w:val="auto"/>
        </w:rPr>
        <w:t>Right to Issue Other Shares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shall not by virtue of this Plan be in any way restricted from declaring and paying dividends in respect of Shares, issuing further Shares, repurchasing Shares or varying or amending its share capital or corporate structure.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b w:val="1"/>
          <w:bCs w:val="1"/>
          <w:color w:val="auto"/>
        </w:rPr>
        <w:t>Quotation of Shares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So long as the Shares are listed on a Stock Exchange, the Company must apply to the Stock Exchange for the listing or quotation, as applicable, of the Shares issued upon the settlement of all Awards granted under the Plan, however, the Company cannot guarantee that such Shares will be listed or quoted on the Stock Exchange or any other stock exchange.</w:t>
      </w:r>
    </w:p>
    <w:p>
      <w:pPr>
        <w:spacing w:after="0" w:line="200" w:lineRule="exact"/>
        <w:rPr>
          <w:sz w:val="20"/>
          <w:szCs w:val="20"/>
          <w:color w:val="auto"/>
        </w:rPr>
      </w:pPr>
    </w:p>
    <w:p>
      <w:pPr>
        <w:spacing w:after="0" w:line="21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b w:val="1"/>
          <w:bCs w:val="1"/>
          <w:color w:val="auto"/>
        </w:rPr>
        <w:t>Conformity to Plan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an Award is granted or a Grant Agreement or deed of grant and/or Award Certificate is executed which does not conform in all particulars with the provisions of this Plan, or purports to grant Awards on terms different from those permitted under this Plan, the Award, or the grant of such Award shall not be in any way void or invalidated, but the Award so granted will be adjusted to become, in all respects, in conformity with this Plan.</w:t>
      </w:r>
    </w:p>
    <w:p>
      <w:pPr>
        <w:spacing w:after="0" w:line="32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b w:val="1"/>
          <w:bCs w:val="1"/>
          <w:color w:val="auto"/>
        </w:rPr>
        <w:t>Dividend Equivalents.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event a dividend becomes payable on the Shares, then on the payment date for such dividend, each Participant’s notional account shall, unless otherwise determined by the Board in respect of any grant of Units, be credited with additional Units of the same kind as credited in such Participant’s applicable notional account, the number of which shall be determined by dividing: (i) the amount determined by multiplying (a) the number of Units in such Participant’s notional account (whether vested or unvested) on the record date for the payment of such dividend by (b) the dividend paid per Share, by</w:t>
      </w:r>
    </w:p>
    <w:p>
      <w:pPr>
        <w:spacing w:after="0" w:line="3" w:lineRule="exact"/>
        <w:rPr>
          <w:sz w:val="20"/>
          <w:szCs w:val="20"/>
          <w:color w:val="auto"/>
        </w:rPr>
      </w:pPr>
    </w:p>
    <w:p>
      <w:pPr>
        <w:ind w:right="560" w:firstLine="8"/>
        <w:spacing w:after="0" w:line="260" w:lineRule="auto"/>
        <w:tabs>
          <w:tab w:leader="none" w:pos="2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a Share on the dividend payment date for such dividend, in each case, with fractions computed to two decimal places. Such additional Units, if credited, shall vest on the same basis as the underlying Units. This provision shall not apply to Options.</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b w:val="1"/>
          <w:bCs w:val="1"/>
          <w:color w:val="auto"/>
        </w:rPr>
        <w:t>Adjustments.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Subject to any required approval by the Stock Exchange or regulatory authority, in the case of any merger, amalgamation, arrangement, rights offering, subdivision, consolidation, or reclassification of the Shares or other relevant change in the capitalization of the Company, or dividend or distribution payable in respect of Shares (excluding dividends or distributions which may be paid in cash or in Shares at the option of the Shareholder), or exchange of the Shares for other securities or property, the Company shall make appropriate adjustments in the Shares issuable or amounts payable or, in the case of Options, the Option Price (provided that such Option Price may not be reduced to below the nominal value of a Share unless only if, and to the extent that, the Board shall be authorised to capitalise from the reserves of the Company a sum equal to the amount by which the aggregate nominal value of the Shares in respect of which the Option is exercisable exceeds the aggregate adjusted Option Price, so that on exercise of any Option in respect of which the Option Price has been reduced, the Board shall capitalise and apply such sum (if any) as is necessary to pay up the amount by which the aggregate nominal value of the Shares in respect of which the Option is exercised exceeds the aggregate Option Price for such Shares), as the case may be, as determined as appropriate by the Board, to preclude a dilution or enlargement of the benefits hereunder, and any such adjustment (or non-adjustment) by the Company shall be conclusive, final and binding upon the Participants. However, no amount will be paid to, or in respect of, the Participants under the Plan or pursuant to any other arrangement, and no additional Awards will be granted to such Participant to compensation for a downward fluctuation in the price of the Shares, nor will any other form of benefit be conferred upon, or in respect of, a Participant for such purpose.</w:t>
      </w:r>
    </w:p>
    <w:p>
      <w:pPr>
        <w:spacing w:after="0" w:line="33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8"/>
          <w:szCs w:val="18"/>
          <w:b w:val="1"/>
          <w:bCs w:val="1"/>
          <w:color w:val="auto"/>
        </w:rPr>
        <w:t>Cancellation of Awards.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Upon payment in full of the value of the Awards, the Awards shall be cancelled and no further payments shall be made from the Plan in relation to such Awards.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shall be governed by the laws of England.</w:t>
      </w:r>
    </w:p>
    <w:p>
      <w:pPr>
        <w:spacing w:after="0" w:line="154" w:lineRule="exact"/>
        <w:rPr>
          <w:sz w:val="20"/>
          <w:szCs w:val="20"/>
          <w:color w:val="auto"/>
        </w:rPr>
      </w:pPr>
    </w:p>
    <w:p>
      <w:pPr>
        <w:ind w:left="120"/>
        <w:spacing w:after="0"/>
        <w:tabs>
          <w:tab w:leader="none" w:pos="14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8"/>
          <w:szCs w:val="18"/>
          <w:b w:val="1"/>
          <w:bCs w:val="1"/>
          <w:color w:val="auto"/>
        </w:rPr>
        <w:t>Data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73" w:name="page74"/>
    <w:bookmarkEnd w:id="73"/>
    <w:p>
      <w:pPr>
        <w:spacing w:after="0" w:line="261" w:lineRule="auto"/>
        <w:rPr>
          <w:sz w:val="20"/>
          <w:szCs w:val="20"/>
          <w:color w:val="auto"/>
        </w:rPr>
      </w:pPr>
      <w:r>
        <w:rPr>
          <w:rFonts w:ascii="Times New Roman" w:cs="Times New Roman" w:eastAsia="Times New Roman" w:hAnsi="Times New Roman"/>
          <w:sz w:val="18"/>
          <w:szCs w:val="18"/>
          <w:color w:val="auto"/>
        </w:rPr>
        <w:t>The Company and Participant's employer (if different) from time to time will collect, hold and process the Participant's personal information for the purposes of the administration of the Award in accordance with the employee privacy notice, which can be found on the Company's intranet. The Company will comply with all applicable requirements of the Data Protection Legislation. This rule is in addition to, and does not relieve, remove or replace the Company's obligations under the Data Protection Legislation.</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RESTRICTED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b w:val="1"/>
          <w:bCs w:val="1"/>
          <w:color w:val="auto"/>
        </w:rPr>
        <w:t>Grant of Restricted Share Units.</w:t>
      </w:r>
    </w:p>
    <w:p>
      <w:pPr>
        <w:spacing w:after="0" w:line="135" w:lineRule="exact"/>
        <w:rPr>
          <w:sz w:val="20"/>
          <w:szCs w:val="20"/>
          <w:color w:val="auto"/>
        </w:rPr>
      </w:pPr>
    </w:p>
    <w:p>
      <w:pPr>
        <w:ind w:left="460" w:right="160" w:hanging="452"/>
        <w:spacing w:after="0" w:line="282" w:lineRule="auto"/>
        <w:tabs>
          <w:tab w:leader="none" w:pos="4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Restricted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460" w:right="300" w:hanging="452"/>
        <w:spacing w:after="0" w:line="282" w:lineRule="auto"/>
        <w:tabs>
          <w:tab w:leader="none" w:pos="4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shall be either made by a deed of grant executed by the Company and evidenced by an Award Certificate, or evidenced by a Grant Agreement, signed on behalf of the Company and, if required by the Board, countersigned by the relevant Participant.</w:t>
      </w:r>
    </w:p>
    <w:p>
      <w:pPr>
        <w:spacing w:after="0" w:line="67"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RSU Participant, in which shall be recorded the number of vested and unvested Restricted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Restricted Share Unit to an RSU Participant, or the settlement of a Restricted Share Unit, under the Plan shall neither entitle such RSU Participant to receive nor preclude such RSU Participant from receiving subsequently granted Restricted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Restricted Share Unit is equivalent to one (1) Share. Fractional Restricted Share Units are not permitted under the Plan.</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number of Restricted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as otherwise provided in an RSU Participant’s Grant Agreement or the applicable deed of grant or any other provision of this Plan:</w:t>
      </w:r>
    </w:p>
    <w:p>
      <w:pPr>
        <w:spacing w:after="0" w:line="131" w:lineRule="exact"/>
        <w:rPr>
          <w:sz w:val="20"/>
          <w:szCs w:val="20"/>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anniversary of the Date of Grant;</w:t>
      </w:r>
    </w:p>
    <w:p>
      <w:pPr>
        <w:spacing w:after="0" w:line="10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of the Restricted Share Units granted pursuant to Section 3.1 shall vest on the third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anniversary of the Date of Grant; and</w:t>
      </w:r>
    </w:p>
    <w:p>
      <w:pPr>
        <w:spacing w:after="0" w:line="107" w:lineRule="exact"/>
        <w:rPr>
          <w:rFonts w:ascii="Times New Roman" w:cs="Times New Roman" w:eastAsia="Times New Roman" w:hAnsi="Times New Roman"/>
          <w:sz w:val="18"/>
          <w:szCs w:val="18"/>
          <w:color w:val="auto"/>
        </w:rPr>
      </w:pPr>
    </w:p>
    <w:p>
      <w:pPr>
        <w:ind w:left="460" w:right="160" w:hanging="452"/>
        <w:spacing w:after="0" w:line="312" w:lineRule="auto"/>
        <w:tabs>
          <w:tab w:leader="none" w:pos="46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Restricted Share Units credited pursuant to Section 2.14 shall vest simultaneously with the Restricted Share Units to which they relate, provided the Participant is continuously employed by the Company, or any of its Group Companies, from the Date of Grant until such Vesting Date,</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provided, however, that in the event of any Change of Control, any unvested Restricted Share Units shall vest on the date which the Board determines in accordance with Article 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b w:val="1"/>
          <w:bCs w:val="1"/>
          <w:color w:val="auto"/>
        </w:rPr>
        <w:t>Settlement of Restricted Share Units.</w:t>
      </w:r>
    </w:p>
    <w:p>
      <w:pPr>
        <w:spacing w:after="0" w:line="135" w:lineRule="exact"/>
        <w:rPr>
          <w:sz w:val="20"/>
          <w:szCs w:val="20"/>
          <w:color w:val="auto"/>
        </w:rPr>
      </w:pPr>
    </w:p>
    <w:p>
      <w:pPr>
        <w:ind w:left="460" w:hanging="452"/>
        <w:spacing w:after="0"/>
        <w:tabs>
          <w:tab w:leader="none" w:pos="4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RSU Participant’s Grant Agreement or applicable deed of grant or any other provision of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4" w:name="page75"/>
    <w:bookmarkEnd w:id="74"/>
    <w:p>
      <w:pPr>
        <w:ind w:left="920" w:right="300" w:hanging="453"/>
        <w:spacing w:after="0" w:line="282" w:lineRule="auto"/>
        <w:tabs>
          <w:tab w:leader="none" w:pos="9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Restricted Share Units covered by a particular grant and the related Restricted Share Units credited pursuant to Section 3.3 may be settled on the first Business Day following their RSU Vesting Date (the “</w:t>
      </w:r>
      <w:r>
        <w:rPr>
          <w:rFonts w:ascii="Times New Roman" w:cs="Times New Roman" w:eastAsia="Times New Roman" w:hAnsi="Times New Roman"/>
          <w:sz w:val="18"/>
          <w:szCs w:val="18"/>
          <w:b w:val="1"/>
          <w:bCs w:val="1"/>
          <w:color w:val="auto"/>
        </w:rPr>
        <w:t>RSU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20" w:right="800" w:hanging="453"/>
        <w:spacing w:after="0" w:line="282" w:lineRule="auto"/>
        <w:tabs>
          <w:tab w:leader="none" w:pos="92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RSU Participant (or such other person as is referred to in Section 2.8) is entitled to deliver to the Company, on or before the RSU Settlement Date, an RSU Settlement Notice in respect of any or all vested Restricted Share Units held by the RSU Participant;</w:t>
      </w:r>
    </w:p>
    <w:p>
      <w:pPr>
        <w:spacing w:after="0" w:line="67" w:lineRule="exact"/>
        <w:rPr>
          <w:rFonts w:ascii="Times New Roman" w:cs="Times New Roman" w:eastAsia="Times New Roman" w:hAnsi="Times New Roman"/>
          <w:sz w:val="18"/>
          <w:szCs w:val="18"/>
          <w:color w:val="auto"/>
        </w:rPr>
      </w:pPr>
    </w:p>
    <w:p>
      <w:pPr>
        <w:ind w:left="920" w:right="200" w:hanging="467"/>
        <w:spacing w:after="0" w:line="266" w:lineRule="auto"/>
        <w:tabs>
          <w:tab w:leader="none" w:pos="9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RSU Settlement Notice, the RSU Participant will elect, in the RSU Participant’s sole discretion, to settle vested Restricted Share Units for their Cash Equivalent (determined in accordance with Section 4.2(1)), Shares (determined in accordance with Section 4.2(2)) or a combination thereof.</w:t>
      </w:r>
    </w:p>
    <w:p>
      <w:pPr>
        <w:spacing w:after="0" w:line="8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4.1(3), settlement of Restricted Share Units shall take place promptly following the RSU Settlement Date and take the form set out in the RSU Settlement Notice through:</w:t>
      </w:r>
    </w:p>
    <w:p>
      <w:pPr>
        <w:spacing w:after="0" w:line="94" w:lineRule="exact"/>
        <w:rPr>
          <w:rFonts w:ascii="Times New Roman" w:cs="Times New Roman" w:eastAsia="Times New Roman" w:hAnsi="Times New Roman"/>
          <w:sz w:val="18"/>
          <w:szCs w:val="18"/>
          <w:color w:val="auto"/>
        </w:rPr>
      </w:pPr>
    </w:p>
    <w:p>
      <w:pPr>
        <w:ind w:left="1020" w:right="340" w:hanging="567"/>
        <w:spacing w:after="0" w:line="282" w:lineRule="auto"/>
        <w:tabs>
          <w:tab w:leader="none" w:pos="10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their Cash Equivalent, delivery of a cheque or a wire or bank transfer of cash to the RSU Participant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20" w:right="100" w:hanging="567"/>
        <w:spacing w:after="0" w:line="282" w:lineRule="auto"/>
        <w:tabs>
          <w:tab w:leader="none" w:pos="10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Shares, the issue and allotment or transfer or procurement of transfer to the Participant (or such other person as is referred to in Section 2.8) ; or</w:t>
      </w:r>
    </w:p>
    <w:p>
      <w:pPr>
        <w:spacing w:after="0" w:line="67"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Restricted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right="180" w:hanging="452"/>
        <w:spacing w:after="0" w:line="282" w:lineRule="auto"/>
        <w:tabs>
          <w:tab w:leader="none" w:pos="4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Settlement Notice is not received by the Company on or before the RSU Settlement Date, settlement shall take the form of Shares issued by the Company or transferred from treasury, or otherwise transferred, as set out in Section 4.2(2).</w:t>
      </w:r>
    </w:p>
    <w:p>
      <w:pPr>
        <w:spacing w:after="0" w:line="67" w:lineRule="exact"/>
        <w:rPr>
          <w:rFonts w:ascii="Times New Roman" w:cs="Times New Roman" w:eastAsia="Times New Roman" w:hAnsi="Times New Roman"/>
          <w:sz w:val="18"/>
          <w:szCs w:val="18"/>
          <w:color w:val="auto"/>
        </w:rPr>
      </w:pPr>
    </w:p>
    <w:p>
      <w:pPr>
        <w:ind w:left="460" w:right="40" w:hanging="452"/>
        <w:spacing w:after="0" w:line="255" w:lineRule="auto"/>
        <w:tabs>
          <w:tab w:leader="none" w:pos="4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an RSU Settlement Date falls during a black-out period or other trading restriction imposed by the Company and an RSU Participant has not delivered an RSU Settlement Notice, then such RSU Settlement Date shall be automatically extended to the tenth (10th) Business Day following the date that such black-out period or other trading restriction is lifted, terminated or removed.</w:t>
      </w:r>
    </w:p>
    <w:p>
      <w:pPr>
        <w:spacing w:after="0" w:line="2" w:lineRule="exact"/>
        <w:rPr>
          <w:rFonts w:ascii="Times New Roman" w:cs="Times New Roman" w:eastAsia="Times New Roman" w:hAnsi="Times New Roman"/>
          <w:sz w:val="18"/>
          <w:szCs w:val="18"/>
          <w:color w:val="auto"/>
        </w:rPr>
      </w:pPr>
    </w:p>
    <w:p>
      <w:pPr>
        <w:ind w:left="460" w:hanging="452"/>
        <w:spacing w:after="0" w:line="260" w:lineRule="auto"/>
        <w:tabs>
          <w:tab w:leader="none" w:pos="4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RSU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100" w:hanging="452"/>
        <w:spacing w:after="0" w:line="262" w:lineRule="auto"/>
        <w:tabs>
          <w:tab w:leader="none" w:pos="4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Restricted Share Units</w:t>
      </w:r>
      <w:r>
        <w:rPr>
          <w:rFonts w:ascii="Times New Roman" w:cs="Times New Roman" w:eastAsia="Times New Roman" w:hAnsi="Times New Roman"/>
          <w:sz w:val="18"/>
          <w:szCs w:val="18"/>
          <w:color w:val="auto"/>
        </w:rPr>
        <w:t>. For purposes of determining the Cash Equivalent of Restricted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4.1(2)(a) or Section 4.1(2)(c), such calculation will be made on the RSU Settlement Date based on the Market Value on the RSU Settlement Date multiplied by the number of vested Restricted Share Units in the Participant’s Restricted Share Unit notional account which the Participant desires to settle in cash pursuant to the RSU Settlement Notice.</w:t>
      </w:r>
    </w:p>
    <w:p>
      <w:pPr>
        <w:spacing w:after="0" w:line="81" w:lineRule="exact"/>
        <w:rPr>
          <w:rFonts w:ascii="Times New Roman" w:cs="Times New Roman" w:eastAsia="Times New Roman" w:hAnsi="Times New Roman"/>
          <w:sz w:val="18"/>
          <w:szCs w:val="18"/>
          <w:color w:val="auto"/>
        </w:rPr>
      </w:pPr>
    </w:p>
    <w:p>
      <w:pPr>
        <w:ind w:left="460" w:right="20" w:hanging="452"/>
        <w:spacing w:after="0" w:line="262" w:lineRule="auto"/>
        <w:tabs>
          <w:tab w:leader="none" w:pos="4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an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Restricted Share Units pursuant to Section 4.1(2)(b) or Section 4.1(2)(c), such calculation will be made on the RSU Settlement Date based on the whole number of Shares equal to the whole number of vested Restricted Share Units then recorded in the Participant’s Restricted Share Unit notional account which the Participant desires to settle pursuant to the RSU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ind w:left="460" w:right="280" w:hanging="452"/>
        <w:spacing w:after="0" w:line="282" w:lineRule="auto"/>
        <w:tabs>
          <w:tab w:leader="none" w:pos="4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Board may otherwise determine or unless otherwise provided in the RSU Participant’s Grant Agreement or applicable deed of grant and regardless of any adverse or potentially adverse tax or other consequences resulting from the following:</w:t>
      </w:r>
    </w:p>
    <w:p>
      <w:pPr>
        <w:spacing w:after="0" w:line="337" w:lineRule="exact"/>
        <w:rPr>
          <w:rFonts w:ascii="Times New Roman" w:cs="Times New Roman" w:eastAsia="Times New Roman" w:hAnsi="Times New Roman"/>
          <w:sz w:val="18"/>
          <w:szCs w:val="18"/>
          <w:color w:val="auto"/>
        </w:rPr>
      </w:pPr>
    </w:p>
    <w:p>
      <w:pPr>
        <w:ind w:left="1020" w:right="300" w:hanging="553"/>
        <w:spacing w:after="0" w:line="261" w:lineRule="auto"/>
        <w:tabs>
          <w:tab w:leader="none" w:pos="10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an Eligible Person as a result of such RSU Participant’s termination for "cause" or resignation without "good reason" (as such terms are defined in the relevant Grant Agreement or applicable deed of grant), subject to (b) below, any unvested Restricted Share Units held by such RSU Participant shall Expire on the RSU Termination Date and be of no further force or effect whatsoever and such Participant shall no longer be eligible for a grant of RSUs; and</w:t>
      </w:r>
    </w:p>
    <w:p>
      <w:pPr>
        <w:spacing w:after="0" w:line="85" w:lineRule="exact"/>
        <w:rPr>
          <w:rFonts w:ascii="Times New Roman" w:cs="Times New Roman" w:eastAsia="Times New Roman" w:hAnsi="Times New Roman"/>
          <w:sz w:val="18"/>
          <w:szCs w:val="18"/>
          <w:color w:val="auto"/>
        </w:rPr>
      </w:pPr>
    </w:p>
    <w:p>
      <w:pPr>
        <w:ind w:left="1020" w:right="260" w:hanging="553"/>
        <w:spacing w:after="0" w:line="282" w:lineRule="auto"/>
        <w:tabs>
          <w:tab w:leader="none" w:pos="10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RSU Participant ceases to be Eligible Person as a result of such RSU Participant’s dismissal without "cause" or resignation for "good reason" (as such terms are defined in the relevant Grant Agreement or applicable deed of grant),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ind w:left="1020" w:right="140"/>
        <w:spacing w:after="0" w:line="282" w:lineRule="auto"/>
        <w:rPr>
          <w:sz w:val="20"/>
          <w:szCs w:val="20"/>
          <w:color w:val="auto"/>
        </w:rPr>
      </w:pPr>
      <w:r>
        <w:rPr>
          <w:rFonts w:ascii="Times New Roman" w:cs="Times New Roman" w:eastAsia="Times New Roman" w:hAnsi="Times New Roman"/>
          <w:sz w:val="18"/>
          <w:szCs w:val="18"/>
          <w:color w:val="auto"/>
        </w:rPr>
        <w:t>as a result of such RSU Participant’s death or physical or psychological Incapacity, any unvested Restricted Share Units held by such RSU Participant shall vest on the RSU Termination Date.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b w:val="1"/>
          <w:bCs w:val="1"/>
          <w:color w:val="auto"/>
        </w:rPr>
        <w:t>Grant of Deferred Share Units.</w:t>
      </w:r>
    </w:p>
    <w:p>
      <w:pPr>
        <w:spacing w:after="0" w:line="135" w:lineRule="exact"/>
        <w:rPr>
          <w:sz w:val="20"/>
          <w:szCs w:val="20"/>
          <w:color w:val="auto"/>
        </w:rPr>
      </w:pPr>
    </w:p>
    <w:p>
      <w:pPr>
        <w:ind w:left="460" w:hanging="452"/>
        <w:spacing w:after="0"/>
        <w:tabs>
          <w:tab w:leader="none" w:pos="4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5, the Board may recommend the grant of, from time to time, Deferred Share Units to a DSU Participant.</w:t>
      </w:r>
    </w:p>
    <w:p>
      <w:pPr>
        <w:spacing w:after="0" w:line="130" w:lineRule="exact"/>
        <w:rPr>
          <w:rFonts w:ascii="Times New Roman" w:cs="Times New Roman" w:eastAsia="Times New Roman" w:hAnsi="Times New Roman"/>
          <w:sz w:val="18"/>
          <w:szCs w:val="18"/>
          <w:color w:val="auto"/>
        </w:rPr>
      </w:pPr>
    </w:p>
    <w:p>
      <w:pPr>
        <w:ind w:left="460" w:right="320" w:hanging="452"/>
        <w:spacing w:after="0" w:line="282" w:lineRule="auto"/>
        <w:tabs>
          <w:tab w:leader="none" w:pos="4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shall be either made by a deed of grant executed by the Company and evidenced by an Award Certificate, or evidenced by a Grant Agreement, signed on behalf of the Company.</w:t>
      </w:r>
    </w:p>
    <w:p>
      <w:pPr>
        <w:spacing w:after="0" w:line="6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DSU Participant, in which shall be recorded the number of Deferred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 Deferred Share Unit to a DSU Participant, or the settlement of a Deferred Share Unit, under the Plan shall neither entitle such DSU Participant to receive nor preclude such DSU Participant from receiving subsequently granted Deferred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Deferred Share Unit is equivalent to one (1) Share.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b w:val="1"/>
          <w:bCs w:val="1"/>
          <w:color w:val="auto"/>
        </w:rPr>
        <w:t>Termination Right.</w:t>
      </w:r>
    </w:p>
    <w:p>
      <w:pPr>
        <w:spacing w:after="0" w:line="135" w:lineRule="exact"/>
        <w:rPr>
          <w:sz w:val="20"/>
          <w:szCs w:val="20"/>
          <w:color w:val="auto"/>
        </w:rPr>
      </w:pPr>
    </w:p>
    <w:p>
      <w:pPr>
        <w:jc w:val="both"/>
        <w:ind w:left="460" w:right="140" w:hanging="452"/>
        <w:spacing w:after="0" w:line="266" w:lineRule="auto"/>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DSU Participant is entitled to terminate his or her participation in the Plan by filing with the Chief Financial Officer of the Company, or such other officer of the Company designated by the Board, a notice electing to terminate the receipt of additional Deferred Share Units in such form as the Board may determine (“</w:t>
      </w:r>
      <w:r>
        <w:rPr>
          <w:rFonts w:ascii="Times New Roman" w:cs="Times New Roman" w:eastAsia="Times New Roman" w:hAnsi="Times New Roman"/>
          <w:sz w:val="18"/>
          <w:szCs w:val="18"/>
          <w:b w:val="1"/>
          <w:bCs w:val="1"/>
          <w:color w:val="auto"/>
        </w:rPr>
        <w:t>Termination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Termination Notice shall be effective as of the date received by the Company.</w:t>
      </w:r>
    </w:p>
    <w:p>
      <w:pPr>
        <w:spacing w:after="0" w:line="131" w:lineRule="exact"/>
        <w:rPr>
          <w:sz w:val="20"/>
          <w:szCs w:val="20"/>
          <w:color w:val="auto"/>
        </w:rPr>
      </w:pPr>
    </w:p>
    <w:p>
      <w:pPr>
        <w:ind w:left="460" w:right="100" w:hanging="452"/>
        <w:spacing w:after="0" w:line="282" w:lineRule="auto"/>
        <w:tabs>
          <w:tab w:leader="none" w:pos="4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to the extent a DSU Participant terminates his or her participation in the Plan, he or she shall not be entitled to become a DSU Participant again until the Fiscal Year following the Fiscal Year in which the Termination Notice becomes effective.</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35" w:lineRule="exact"/>
        <w:rPr>
          <w:sz w:val="20"/>
          <w:szCs w:val="20"/>
          <w:color w:val="auto"/>
        </w:rPr>
      </w:pPr>
    </w:p>
    <w:p>
      <w:pPr>
        <w:ind w:left="460" w:right="100" w:hanging="452"/>
        <w:spacing w:after="0" w:line="282" w:lineRule="auto"/>
        <w:tabs>
          <w:tab w:leader="none" w:pos="4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 dividing (i) the dollar amount of such grant by (ii) the Market Value of a Share on the Date of Grant.</w:t>
      </w:r>
    </w:p>
    <w:p>
      <w:pPr>
        <w:spacing w:after="0" w:line="200" w:lineRule="exact"/>
        <w:rPr>
          <w:sz w:val="20"/>
          <w:szCs w:val="20"/>
          <w:color w:val="auto"/>
        </w:rPr>
      </w:pPr>
    </w:p>
    <w:p>
      <w:pPr>
        <w:spacing w:after="0" w:line="2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35" w:lineRule="exact"/>
        <w:rPr>
          <w:sz w:val="20"/>
          <w:szCs w:val="20"/>
          <w:color w:val="auto"/>
        </w:rPr>
      </w:pPr>
    </w:p>
    <w:p>
      <w:pPr>
        <w:ind w:left="460" w:right="320" w:hanging="452"/>
        <w:spacing w:after="0" w:line="282" w:lineRule="auto"/>
        <w:tabs>
          <w:tab w:leader="none" w:pos="4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Share Units recorded in a DSU Participant’s Deferred Share Unit notional account shall vest on the DSU Termination Date, unless otherwise determined by the Board at its sole discretion, subject to a determination of the Board made in accordance with Article 8.</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DSU Participants will not have any right to receive any benefit under the Plan in respect of a Deferred Share Unit until the DSU Termination Date.</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b w:val="1"/>
          <w:bCs w:val="1"/>
          <w:color w:val="auto"/>
        </w:rPr>
        <w:t>Settlement in respect of Deferred Share Units.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respect of an award of Deferred Share Units granted to a DSU Participant, settlement shall be as soon as practicable following the DSU Termination Date and no later than the DSU Payment Date:</w:t>
      </w:r>
    </w:p>
    <w:p>
      <w:pPr>
        <w:spacing w:after="0" w:line="67" w:lineRule="exact"/>
        <w:rPr>
          <w:sz w:val="20"/>
          <w:szCs w:val="20"/>
          <w:color w:val="auto"/>
        </w:rPr>
      </w:pPr>
    </w:p>
    <w:p>
      <w:pPr>
        <w:ind w:left="460" w:right="200" w:hanging="452"/>
        <w:spacing w:after="0" w:line="261" w:lineRule="auto"/>
        <w:tabs>
          <w:tab w:leader="none" w:pos="4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5.6(2), the DSU Participant (or where the DSU Participant has died, the Personal Representative of the DSU Participant) will deliver to the Company a DSU Settlement Notice, in the DSU Participant’s sole discretion, to elect to settle all Deferred Share Units in such DSU Participant’s notional account for their Cash Equivalent (determined in accordance with Section 5.7(1)), Shares (determined in accordance with Section 5.7(2)) or a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76" w:name="page77"/>
    <w:bookmarkEnd w:id="76"/>
    <w:p>
      <w:pPr>
        <w:ind w:left="460" w:right="80" w:hanging="452"/>
        <w:spacing w:after="0" w:line="282" w:lineRule="auto"/>
        <w:tabs>
          <w:tab w:leader="none" w:pos="4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DSU Settlement Notice is not received by the Company within 30 days prior to the DSU Payment Date, settlement shall take the form of the Cash Equivalent determined in accordance with Section 5.8(1), among other provisions of this Plan.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Deferred Share Units shall take place on the DSU Payment Date and in the form set out in the DSU Settlement Notice through:</w:t>
      </w:r>
    </w:p>
    <w:p>
      <w:pPr>
        <w:spacing w:after="0" w:line="130" w:lineRule="exact"/>
        <w:rPr>
          <w:rFonts w:ascii="Times New Roman" w:cs="Times New Roman" w:eastAsia="Times New Roman" w:hAnsi="Times New Roman"/>
          <w:sz w:val="18"/>
          <w:szCs w:val="18"/>
          <w:color w:val="auto"/>
        </w:rPr>
      </w:pPr>
    </w:p>
    <w:p>
      <w:pPr>
        <w:jc w:val="both"/>
        <w:ind w:left="1020" w:right="40" w:hanging="567"/>
        <w:spacing w:after="0" w:line="266" w:lineRule="auto"/>
        <w:tabs>
          <w:tab w:leader="none" w:pos="10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their Cash Equivalent, delivery of a cheque to the Participant, a dependant or relation of the Participant or the Participant’s duly authorized legal representative (or such other person as is referred to in Section 2.8), as the case may be, representing the Cash Equivalent;</w:t>
      </w:r>
    </w:p>
    <w:p>
      <w:pPr>
        <w:spacing w:after="0" w:line="108" w:lineRule="exact"/>
        <w:rPr>
          <w:rFonts w:ascii="Times New Roman" w:cs="Times New Roman" w:eastAsia="Times New Roman" w:hAnsi="Times New Roman"/>
          <w:sz w:val="18"/>
          <w:szCs w:val="18"/>
          <w:color w:val="auto"/>
        </w:rPr>
      </w:pPr>
    </w:p>
    <w:p>
      <w:pPr>
        <w:ind w:left="1020" w:right="200" w:hanging="553"/>
        <w:spacing w:after="0" w:line="282" w:lineRule="auto"/>
        <w:tabs>
          <w:tab w:leader="none" w:pos="1020"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Shares issue and allotment or transfer or procurement of transfer to the Participant (or such other person as is referred to in Section 2.8)); or</w:t>
      </w:r>
    </w:p>
    <w:p>
      <w:pPr>
        <w:spacing w:after="0" w:line="67" w:lineRule="exact"/>
        <w:rPr>
          <w:rFonts w:ascii="Times New Roman" w:cs="Times New Roman" w:eastAsia="Times New Roman" w:hAnsi="Times New Roman"/>
          <w:sz w:val="18"/>
          <w:szCs w:val="18"/>
          <w:color w:val="auto"/>
        </w:rPr>
      </w:pPr>
    </w:p>
    <w:p>
      <w:pPr>
        <w:ind w:left="1080" w:hanging="487"/>
        <w:spacing w:after="0"/>
        <w:tabs>
          <w:tab w:leader="none" w:pos="1080" w:val="left"/>
        </w:tabs>
        <w:numPr>
          <w:ilvl w:val="3"/>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Deferred Share Units for a combination of Shares and the Cash Equivalent, a combination of (a) and (b) above.</w:t>
      </w:r>
    </w:p>
    <w:p>
      <w:pPr>
        <w:spacing w:after="0" w:line="27" w:lineRule="exact"/>
        <w:rPr>
          <w:rFonts w:ascii="Times New Roman" w:cs="Times New Roman" w:eastAsia="Times New Roman" w:hAnsi="Times New Roman"/>
          <w:sz w:val="18"/>
          <w:szCs w:val="18"/>
          <w:color w:val="auto"/>
        </w:rPr>
      </w:pPr>
    </w:p>
    <w:p>
      <w:pPr>
        <w:ind w:left="540" w:right="460" w:hanging="532"/>
        <w:spacing w:after="0" w:line="180" w:lineRule="auto"/>
        <w:tabs>
          <w:tab w:leader="none" w:pos="540" w:val="left"/>
        </w:tabs>
        <w:numPr>
          <w:ilvl w:val="0"/>
          <w:numId w:val="21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Notwithstanding any other provision of the Plan, the Company may require as a condition of settlement that the DSU Participant enters into a Section 431 Election with their employer in respect of any Shares to be acquired.</w:t>
      </w:r>
    </w:p>
    <w:p>
      <w:pPr>
        <w:spacing w:after="0" w:line="37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220" w:hanging="452"/>
        <w:spacing w:after="0" w:line="268" w:lineRule="auto"/>
        <w:tabs>
          <w:tab w:leader="none" w:pos="4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Deferred Share Units</w:t>
      </w:r>
      <w:r>
        <w:rPr>
          <w:rFonts w:ascii="Times New Roman" w:cs="Times New Roman" w:eastAsia="Times New Roman" w:hAnsi="Times New Roman"/>
          <w:sz w:val="18"/>
          <w:szCs w:val="18"/>
          <w:color w:val="auto"/>
        </w:rPr>
        <w:t>. For purposes of determining the Cash Equivalent of Deferred Share Units, such calculation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based on the Market Value on the DSU Payment Date multiplied by the number of Deferred Share Units in the Participant’s Deferred Share Unit notional account as of the DSU Payment Date.</w:t>
      </w:r>
    </w:p>
    <w:p>
      <w:pPr>
        <w:spacing w:after="0" w:line="76"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DSU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Deferred Share Units, such calculation will be made on the DSU Termination Date, or if the DSU Termination Date is not a Business Day, on the next such Business Day, based on the whole number of Shares equal to the whole number of Deferred Share Units then recorded in the Participant’s Deferred Share Unit notional account.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SHARE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b w:val="1"/>
          <w:bCs w:val="1"/>
          <w:color w:val="auto"/>
        </w:rPr>
        <w:t>Grant of Incentive Share Units</w:t>
      </w:r>
    </w:p>
    <w:p>
      <w:pPr>
        <w:spacing w:after="0" w:line="135" w:lineRule="exact"/>
        <w:rPr>
          <w:sz w:val="20"/>
          <w:szCs w:val="20"/>
          <w:color w:val="auto"/>
        </w:rPr>
      </w:pPr>
    </w:p>
    <w:p>
      <w:pPr>
        <w:ind w:left="460" w:right="200" w:hanging="452"/>
        <w:spacing w:after="0" w:line="282"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Incentive Share Units to any Eligible Person upon the terms, conditions and limitations set forth herein and such other terms, conditions and limitations permitted by and not inconsistent with this Plan as the Board may determine.</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shall be either made by a deed of grant executed by the Company and evidenced by an Award Certificate, or evidenced by a Grant Agreement, signed on behalf of the Company.</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 notional account for each ISU Participant, in which shall be recorded the number of vested and unvested Incentive Share Units granted or credited to such Participant.</w:t>
      </w:r>
    </w:p>
    <w:p>
      <w:pPr>
        <w:spacing w:after="0" w:line="67"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Incentive Share Unit to an ISU Participant, or the settlement of an Incentive Share Unit, under the Plan shall neither entitle such ISU Participant to receive nor preclude such ISU Participant from receiving subsequently granted Incentive Share Units.</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b w:val="1"/>
          <w:bCs w:val="1"/>
          <w:color w:val="auto"/>
        </w:rPr>
        <w:t>Equivalence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(1) Incentive Share Unit is equivalent to one (1) Share.</w:t>
      </w:r>
    </w:p>
    <w:p>
      <w:pPr>
        <w:spacing w:after="0" w:line="3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b w:val="1"/>
          <w:bCs w:val="1"/>
          <w:color w:val="auto"/>
        </w:rPr>
        <w:t>Calculation.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number of Incentive Share Units granted at any particular time pursuant to this Plan will be calculated by dividing (i) the dollar amount of such grant by (ii) the Market Value of a Share on the Date of Grant.</w:t>
      </w:r>
    </w:p>
    <w:p>
      <w:pPr>
        <w:spacing w:after="0" w:line="30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b w:val="1"/>
          <w:bCs w:val="1"/>
          <w:color w:val="auto"/>
        </w:rPr>
        <w:t>Vesting.</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Each ISU Participant’s Grant Agreement or the applicable deed of grant shall describe the Performance Criteria established by the Board that must be achieved for Incentive Share Units to vest to the ISU Participant, provided the ISU Participant is continuously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77" w:name="page78"/>
    <w:bookmarkEnd w:id="77"/>
    <w:p>
      <w:pPr>
        <w:ind w:right="240"/>
        <w:spacing w:after="0" w:line="266" w:lineRule="auto"/>
        <w:rPr>
          <w:sz w:val="20"/>
          <w:szCs w:val="20"/>
          <w:color w:val="auto"/>
        </w:rPr>
      </w:pPr>
      <w:r>
        <w:rPr>
          <w:rFonts w:ascii="Times New Roman" w:cs="Times New Roman" w:eastAsia="Times New Roman" w:hAnsi="Times New Roman"/>
          <w:sz w:val="18"/>
          <w:szCs w:val="18"/>
          <w:color w:val="auto"/>
        </w:rPr>
        <w:t>employed by or in service with the Company, or any of its Group Companies, from the Date of Grant until such ISU Vesting Date, and provided further that in the event of any Change of Control, any unvested Incentive Share Units shall vest on the date which the Board determines in accordance with Article 8.</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SETTLEMENT &amp; EXPIRY</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b w:val="1"/>
          <w:bCs w:val="1"/>
          <w:color w:val="auto"/>
        </w:rPr>
        <w:t>Settlement of Incentive Share Units.</w:t>
      </w:r>
    </w:p>
    <w:p>
      <w:pPr>
        <w:spacing w:after="0" w:line="135" w:lineRule="exact"/>
        <w:rPr>
          <w:sz w:val="20"/>
          <w:szCs w:val="20"/>
          <w:color w:val="auto"/>
        </w:rPr>
      </w:pPr>
    </w:p>
    <w:p>
      <w:pPr>
        <w:ind w:left="460" w:hanging="452"/>
        <w:spacing w:after="0"/>
        <w:tabs>
          <w:tab w:leader="none" w:pos="4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ISU Participant’s Grant Agreement or the applicable deed of grant, or any other provision of this Plan:</w:t>
      </w:r>
    </w:p>
    <w:p>
      <w:pPr>
        <w:spacing w:after="0" w:line="130" w:lineRule="exact"/>
        <w:rPr>
          <w:rFonts w:ascii="Times New Roman" w:cs="Times New Roman" w:eastAsia="Times New Roman" w:hAnsi="Times New Roman"/>
          <w:sz w:val="18"/>
          <w:szCs w:val="18"/>
          <w:color w:val="auto"/>
        </w:rPr>
      </w:pPr>
    </w:p>
    <w:p>
      <w:pPr>
        <w:ind w:left="1020" w:right="260" w:hanging="567"/>
        <w:spacing w:after="0" w:line="282"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vested Incentive Share Units covered by a particular grant and the related Incentive Share Units credited pursuant to Section 6.2 may be settled on the first Business Day following their ISU Vesting Date (the “</w:t>
      </w:r>
      <w:r>
        <w:rPr>
          <w:rFonts w:ascii="Times New Roman" w:cs="Times New Roman" w:eastAsia="Times New Roman" w:hAnsi="Times New Roman"/>
          <w:sz w:val="18"/>
          <w:szCs w:val="18"/>
          <w:b w:val="1"/>
          <w:bCs w:val="1"/>
          <w:color w:val="auto"/>
        </w:rPr>
        <w:t>ISU Settlement Date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right="440" w:hanging="567"/>
        <w:spacing w:after="0" w:line="282"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ISU Participant shall become entitled to deliver to the Company, on or before the ISU Settlement Date, an ISU Settlement Notice in respect of any or all vested Incentive Share Units held by the ISU Participant; and</w:t>
      </w:r>
    </w:p>
    <w:p>
      <w:pPr>
        <w:spacing w:after="0" w:line="67" w:lineRule="exact"/>
        <w:rPr>
          <w:rFonts w:ascii="Times New Roman" w:cs="Times New Roman" w:eastAsia="Times New Roman" w:hAnsi="Times New Roman"/>
          <w:sz w:val="18"/>
          <w:szCs w:val="18"/>
          <w:color w:val="auto"/>
        </w:rPr>
      </w:pPr>
    </w:p>
    <w:p>
      <w:pPr>
        <w:ind w:left="1020" w:right="180" w:hanging="567"/>
        <w:spacing w:after="0" w:line="266" w:lineRule="auto"/>
        <w:tabs>
          <w:tab w:leader="none" w:pos="10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ISU Settlement Notice, the ISU Participant will elect, in the ISU Participant’s sole discretion, , to settle vested Incentive Share Units for their Cash Equivalent (determined in accordance with Section 7.2(1)), Shares (determined in accordance with Section 7.2(2)) or a combination thereof.</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7.1(3), settlement of Incentive Share Units shall take the form set out in the ISU Settlement Notice through delivery of:</w:t>
      </w:r>
    </w:p>
    <w:p>
      <w:pPr>
        <w:spacing w:after="0" w:line="130" w:lineRule="exact"/>
        <w:rPr>
          <w:rFonts w:ascii="Times New Roman" w:cs="Times New Roman" w:eastAsia="Times New Roman" w:hAnsi="Times New Roman"/>
          <w:sz w:val="18"/>
          <w:szCs w:val="18"/>
          <w:color w:val="auto"/>
        </w:rPr>
      </w:pPr>
    </w:p>
    <w:p>
      <w:pPr>
        <w:ind w:left="1020" w:right="120" w:hanging="553"/>
        <w:spacing w:after="0" w:line="282" w:lineRule="auto"/>
        <w:tabs>
          <w:tab w:leader="none" w:pos="1020"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their Cash Equivalent, a cheque to the ISU Participant or wire or bank transfer of cash (or such other person as is referred to in Section 2.8) representing the Cash Equivalent;</w:t>
      </w:r>
    </w:p>
    <w:p>
      <w:pPr>
        <w:spacing w:after="0" w:line="67" w:lineRule="exact"/>
        <w:rPr>
          <w:rFonts w:ascii="Times New Roman" w:cs="Times New Roman" w:eastAsia="Times New Roman" w:hAnsi="Times New Roman"/>
          <w:sz w:val="18"/>
          <w:szCs w:val="18"/>
          <w:color w:val="auto"/>
        </w:rPr>
      </w:pPr>
    </w:p>
    <w:p>
      <w:pPr>
        <w:ind w:left="1020" w:right="60" w:hanging="567"/>
        <w:spacing w:after="0" w:line="282" w:lineRule="auto"/>
        <w:tabs>
          <w:tab w:leader="none" w:pos="1020"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Shares, the issue and allotment or transfer or procurement of transfer to the Participant (or such other person as is referred to in Section 2.8) ; or</w:t>
      </w:r>
    </w:p>
    <w:p>
      <w:pPr>
        <w:spacing w:after="0" w:line="94" w:lineRule="exact"/>
        <w:rPr>
          <w:rFonts w:ascii="Times New Roman" w:cs="Times New Roman" w:eastAsia="Times New Roman" w:hAnsi="Times New Roman"/>
          <w:sz w:val="18"/>
          <w:szCs w:val="18"/>
          <w:color w:val="auto"/>
        </w:rPr>
      </w:pPr>
    </w:p>
    <w:p>
      <w:pPr>
        <w:ind w:left="1020" w:hanging="567"/>
        <w:spacing w:after="0"/>
        <w:tabs>
          <w:tab w:leader="none" w:pos="1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Incentive Share Units for a combination of Shares and the Cash Equivalent, a combination of (a) and (b) above.</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ISU Settlement Notice is not received by the Company on or before the ISU Settlement Date, settlement shall take the form of Shares issued by the Company or transferred as set out in Section 7.2(2).</w:t>
      </w:r>
    </w:p>
    <w:p>
      <w:pPr>
        <w:spacing w:after="0" w:line="67" w:lineRule="exact"/>
        <w:rPr>
          <w:rFonts w:ascii="Times New Roman" w:cs="Times New Roman" w:eastAsia="Times New Roman" w:hAnsi="Times New Roman"/>
          <w:sz w:val="18"/>
          <w:szCs w:val="18"/>
          <w:color w:val="auto"/>
        </w:rPr>
      </w:pPr>
    </w:p>
    <w:p>
      <w:pPr>
        <w:ind w:left="460" w:right="140" w:hanging="452"/>
        <w:spacing w:after="0" w:line="272" w:lineRule="auto"/>
        <w:tabs>
          <w:tab w:leader="none" w:pos="46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Plan, in the event that a ISU Settlement Date falls during a black-out period or other trading restriction imposed by the Company and a ISU Participant has not delivered a ISU Settlement Notice, then such ISU Settlement Date shall be automatically extended to the tenth (10th) Business Day following the date that such black-out period or other trading restriction is lifted, terminated or removed.</w:t>
      </w:r>
    </w:p>
    <w:p>
      <w:pPr>
        <w:spacing w:after="0" w:line="1" w:lineRule="exact"/>
        <w:rPr>
          <w:rFonts w:ascii="Times New Roman" w:cs="Times New Roman" w:eastAsia="Times New Roman" w:hAnsi="Times New Roman"/>
          <w:sz w:val="17"/>
          <w:szCs w:val="17"/>
          <w:color w:val="auto"/>
        </w:rPr>
      </w:pPr>
    </w:p>
    <w:p>
      <w:pPr>
        <w:ind w:left="460" w:right="20" w:hanging="452"/>
        <w:spacing w:after="0" w:line="260" w:lineRule="auto"/>
        <w:tabs>
          <w:tab w:leader="none" w:pos="4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the Company may require as a condition of settlement that the ISU Participant enters into a Section 431 Election with their employer in respect of any Shares to be acquired.</w:t>
      </w:r>
    </w:p>
    <w:p>
      <w:pPr>
        <w:spacing w:after="0" w:line="32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b w:val="1"/>
          <w:bCs w:val="1"/>
          <w:color w:val="auto"/>
        </w:rPr>
        <w:t>Determination of Amounts.</w:t>
      </w:r>
    </w:p>
    <w:p>
      <w:pPr>
        <w:spacing w:after="0" w:line="131" w:lineRule="exact"/>
        <w:rPr>
          <w:sz w:val="20"/>
          <w:szCs w:val="20"/>
          <w:color w:val="auto"/>
        </w:rPr>
      </w:pPr>
    </w:p>
    <w:p>
      <w:pPr>
        <w:ind w:left="460" w:right="160" w:hanging="452"/>
        <w:spacing w:after="0" w:line="262"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Cash Equivalent of Incentive Share Units</w:t>
      </w:r>
      <w:r>
        <w:rPr>
          <w:rFonts w:ascii="Times New Roman" w:cs="Times New Roman" w:eastAsia="Times New Roman" w:hAnsi="Times New Roman"/>
          <w:sz w:val="18"/>
          <w:szCs w:val="18"/>
          <w:color w:val="auto"/>
        </w:rPr>
        <w:t>. For purposes of determining the Cash Equivalent of Incentive Share Units to be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7.1(2)(a) or Section 7.1(2)(c), such calculation will be made on the ISU Settlement Date based on the Market Value on the ISU Settlement Date multiplied by the number of vested Incentive Share Units in the Participant’s Incentive Share Unit notional account which the Participant desires to settle in cash pursuant to the ISU Settlement Notice.</w:t>
      </w:r>
    </w:p>
    <w:p>
      <w:pPr>
        <w:spacing w:after="0" w:line="81"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in Shares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purposes of determining the number of Shares to be issued or transferred and delivered to a ISU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upon settlement of Incentive Share Units pursuant to Section 7.1(2)(b) or Section 7.1(2)(c), such calculation will be made on the ISU Settlement Date based on the whole number of Shares equal to the whole number of vested Incentive Share Units then recorded in the Participant’s Incentive Share Unit notional account which the Participant desires to settle pursuant to the ISU Settlement Notice.</w:t>
      </w:r>
    </w:p>
    <w:p>
      <w:pPr>
        <w:spacing w:after="0" w:line="3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b w:val="1"/>
          <w:bCs w:val="1"/>
          <w:color w:val="auto"/>
        </w:rPr>
        <w:t>Termination.</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Except as the Board may otherwise determine or unless otherwise provided in the ISU Participant’s Grant Agreement or applicable deed of grant and regardless of any adverse or potentially adverse tax or other consequences resulting from the following, if a ISU Participant ceases to be an Eligible Person for any reason, any unvested Incentive Share Units held by such ISU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78" w:name="page79"/>
    <w:bookmarkEnd w:id="78"/>
    <w:p>
      <w:pPr>
        <w:ind w:right="400"/>
        <w:spacing w:after="0" w:line="282" w:lineRule="auto"/>
        <w:rPr>
          <w:sz w:val="20"/>
          <w:szCs w:val="20"/>
          <w:color w:val="auto"/>
        </w:rPr>
      </w:pPr>
      <w:r>
        <w:rPr>
          <w:rFonts w:ascii="Times New Roman" w:cs="Times New Roman" w:eastAsia="Times New Roman" w:hAnsi="Times New Roman"/>
          <w:sz w:val="18"/>
          <w:szCs w:val="18"/>
          <w:color w:val="auto"/>
        </w:rPr>
        <w:t>shall Expire on the ISU Termination Date and be of no further force or effect whatsoever and such Participant shall no longer be eligible for a grant of ISUs.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CHANGE OF CONTROL - UNITS</w:t>
      </w:r>
    </w:p>
    <w:p>
      <w:pPr>
        <w:spacing w:after="0" w:line="23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b w:val="1"/>
          <w:bCs w:val="1"/>
          <w:color w:val="auto"/>
        </w:rPr>
        <w:t>Conversion or Exchange of Units.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Notwithstanding anything else in this Plan or any Grant Agreement or deed of grant or Award Certificate, the Board has the right to provide for the conversion or exchange of any outstanding Units into or for units, rights or other securities in any entity participating in or resulting from a Change of Control, provided that the value of previously granted Units and the rights of Participants are not materially adversely affected by any such changes.</w:t>
      </w:r>
    </w:p>
    <w:p>
      <w:pPr>
        <w:spacing w:after="0" w:line="32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b w:val="1"/>
          <w:bCs w:val="1"/>
          <w:color w:val="auto"/>
        </w:rPr>
        <w:t>Notice to Participants.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or otherwise becoming aware of a pending Change of Control, the Company may (only if and to the extent not prohibited by applicable laws, regulations or the rules of any Stock Exchange upon which the Shares are listed), give written notice of the proposed Change of Control to Participants, together with a description of the effect of such Change of Control on outstanding Units, not less than seven (7) days prior to the closing of the transaction resulting in the Change of Control.</w:t>
      </w:r>
    </w:p>
    <w:p>
      <w:pPr>
        <w:spacing w:after="0" w:line="32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b w:val="1"/>
          <w:bCs w:val="1"/>
          <w:color w:val="auto"/>
        </w:rPr>
        <w:t>Acceleration of Vesting.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Board may, in its sole discretion, accelerate the vesting and/or the expiry date of any or all outstanding Units, including conditionally, to provide that, notwithstanding the vesting provisions of such Units or any Grant Agreement, applicable deed of grant, or Award Certificate, such designated outstanding Units shall be vested upon (or prior to) the completion of the Change of Control (or, if relevant, prior to the sanctioning of a Compromise as contemplated by Section 8.5 below). If, for any reason, the Change of Control does not occur within the contemplated time period, the acceleration of the vesting of the Units shall be retracted and vesting shall instead revert to the manner provided in the Grant Agreement, applicable deed of grant, or Award Certificate.</w:t>
      </w:r>
    </w:p>
    <w:p>
      <w:pPr>
        <w:spacing w:after="0" w:line="116" w:lineRule="exact"/>
        <w:rPr>
          <w:sz w:val="20"/>
          <w:szCs w:val="20"/>
          <w:color w:val="auto"/>
        </w:rPr>
      </w:pPr>
    </w:p>
    <w:p>
      <w:pPr>
        <w:ind w:left="120"/>
        <w:spacing w:after="0"/>
        <w:tabs>
          <w:tab w:leader="none" w:pos="126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8"/>
          <w:szCs w:val="18"/>
          <w:b w:val="1"/>
          <w:bCs w:val="1"/>
          <w:color w:val="auto"/>
        </w:rPr>
        <w:t>Effect of Change of Control</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in the event of a Change of Control, outstanding Units will lapse immediately following the Change of Control to the extent not vested, unless sections 8.1, 8.5 or 8.6 applies.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8.5</w:t>
      </w:r>
      <w:r>
        <w:rPr>
          <w:sz w:val="20"/>
          <w:szCs w:val="20"/>
          <w:color w:val="auto"/>
        </w:rPr>
        <w:tab/>
      </w:r>
      <w:r>
        <w:rPr>
          <w:rFonts w:ascii="Times New Roman" w:cs="Times New Roman" w:eastAsia="Times New Roman" w:hAnsi="Times New Roman"/>
          <w:sz w:val="18"/>
          <w:szCs w:val="18"/>
          <w:b w:val="1"/>
          <w:bCs w:val="1"/>
          <w:color w:val="auto"/>
        </w:rPr>
        <w:t>Court Sanction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 Companies Act in connection with a Change of Control (a "</w:t>
      </w:r>
      <w:r>
        <w:rPr>
          <w:rFonts w:ascii="Times New Roman" w:cs="Times New Roman" w:eastAsia="Times New Roman" w:hAnsi="Times New Roman"/>
          <w:sz w:val="18"/>
          <w:szCs w:val="18"/>
          <w:b w:val="1"/>
          <w:bCs w:val="1"/>
          <w:color w:val="auto"/>
        </w:rPr>
        <w:t>Compromise</w:t>
      </w:r>
      <w:r>
        <w:rPr>
          <w:rFonts w:ascii="Times New Roman" w:cs="Times New Roman" w:eastAsia="Times New Roman" w:hAnsi="Times New Roman"/>
          <w:sz w:val="18"/>
          <w:szCs w:val="18"/>
          <w:color w:val="auto"/>
        </w:rPr>
        <w:t>"), the RSU will, subject to sections 8.1 above and 8.6 below and unless the Board determines otherwise, Expire immediately after such sanction.</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Section 8.6</w:t>
      </w:r>
      <w:r>
        <w:rPr>
          <w:sz w:val="20"/>
          <w:szCs w:val="20"/>
          <w:color w:val="auto"/>
        </w:rPr>
        <w:tab/>
      </w:r>
      <w:r>
        <w:rPr>
          <w:rFonts w:ascii="Times New Roman" w:cs="Times New Roman" w:eastAsia="Times New Roman" w:hAnsi="Times New Roman"/>
          <w:sz w:val="18"/>
          <w:szCs w:val="18"/>
          <w:b w:val="1"/>
          <w:bCs w:val="1"/>
          <w:color w:val="auto"/>
        </w:rPr>
        <w:t>Replacement of Units</w:t>
      </w:r>
    </w:p>
    <w:p>
      <w:pPr>
        <w:spacing w:after="0" w:line="229" w:lineRule="exact"/>
        <w:rPr>
          <w:sz w:val="20"/>
          <w:szCs w:val="20"/>
          <w:color w:val="auto"/>
        </w:rPr>
      </w:pPr>
    </w:p>
    <w:p>
      <w:pPr>
        <w:ind w:left="760" w:right="440" w:hanging="378"/>
        <w:spacing w:after="0" w:line="276" w:lineRule="auto"/>
        <w:tabs>
          <w:tab w:leader="none" w:pos="76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Section 8.1, if there is an Acquiror who is a Company, each relevant Participant may, by agreement with the Acquiror within such period as the Board and Acquiror may agree, surrender any Units in exchange for a replacement right ("</w:t>
      </w:r>
      <w:r>
        <w:rPr>
          <w:rFonts w:ascii="Times New Roman" w:cs="Times New Roman" w:eastAsia="Times New Roman" w:hAnsi="Times New Roman"/>
          <w:sz w:val="17"/>
          <w:szCs w:val="17"/>
          <w:b w:val="1"/>
          <w:bCs w:val="1"/>
          <w:color w:val="auto"/>
        </w:rPr>
        <w:t>New Unit Award</w:t>
      </w:r>
      <w:r>
        <w:rPr>
          <w:rFonts w:ascii="Times New Roman" w:cs="Times New Roman" w:eastAsia="Times New Roman" w:hAnsi="Times New Roman"/>
          <w:sz w:val="17"/>
          <w:szCs w:val="17"/>
          <w:color w:val="auto"/>
        </w:rPr>
        <w:t>").</w:t>
      </w:r>
    </w:p>
    <w:p>
      <w:pPr>
        <w:ind w:left="760" w:hanging="378"/>
        <w:spacing w:after="0"/>
        <w:tabs>
          <w:tab w:leader="none" w:pos="7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Unit Award shall be granted on such terms and in relation to such shares of such company as the Acquiror and the Participant may agree.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03" w:lineRule="exact"/>
        <w:rPr>
          <w:sz w:val="20"/>
          <w:szCs w:val="20"/>
          <w:color w:val="auto"/>
        </w:rPr>
      </w:pPr>
    </w:p>
    <w:p>
      <w:pPr>
        <w:ind w:left="12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9.1</w:t>
      </w:r>
      <w:r>
        <w:rPr>
          <w:sz w:val="20"/>
          <w:szCs w:val="20"/>
          <w:color w:val="auto"/>
        </w:rPr>
        <w:tab/>
      </w:r>
      <w:r>
        <w:rPr>
          <w:rFonts w:ascii="Times New Roman" w:cs="Times New Roman" w:eastAsia="Times New Roman" w:hAnsi="Times New Roman"/>
          <w:sz w:val="17"/>
          <w:szCs w:val="17"/>
          <w:b w:val="1"/>
          <w:bCs w:val="1"/>
          <w:color w:val="auto"/>
        </w:rPr>
        <w:t>Grant of Options</w:t>
      </w:r>
    </w:p>
    <w:p>
      <w:pPr>
        <w:spacing w:after="0" w:line="31" w:lineRule="exact"/>
        <w:rPr>
          <w:sz w:val="20"/>
          <w:szCs w:val="20"/>
          <w:color w:val="auto"/>
        </w:rPr>
      </w:pPr>
    </w:p>
    <w:p>
      <w:pPr>
        <w:ind w:left="1440" w:right="2020" w:hanging="1328"/>
        <w:spacing w:after="0" w:line="250" w:lineRule="auto"/>
        <w:tabs>
          <w:tab w:leader="none" w:pos="14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the Board may grant Options to any Eligible Person upon the terms, conditions and limitations set forth herein and such other terms, conditions and limitations permitted by and not inconsistent with this Plan as the Board may determine.</w:t>
      </w:r>
    </w:p>
    <w:p>
      <w:pPr>
        <w:spacing w:after="0" w:line="1" w:lineRule="exact"/>
        <w:rPr>
          <w:rFonts w:ascii="Times New Roman" w:cs="Times New Roman" w:eastAsia="Times New Roman" w:hAnsi="Times New Roman"/>
          <w:sz w:val="18"/>
          <w:szCs w:val="18"/>
          <w:color w:val="auto"/>
        </w:rPr>
      </w:pPr>
    </w:p>
    <w:p>
      <w:pPr>
        <w:ind w:left="1440" w:right="2080" w:hanging="1328"/>
        <w:spacing w:after="0" w:line="255" w:lineRule="auto"/>
        <w:tabs>
          <w:tab w:leader="none" w:pos="14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shall be either made by a deed of grant executed by the Company and evidenced by an Award Certificate, or evidenced by a Grant Agreement, signed on behalf of the Company. Among its other provisions, each Grant Agreement or Award Certificate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9" w:name="page80"/>
    <w:bookmarkEnd w:id="79"/>
    <w:p>
      <w:pPr>
        <w:ind w:left="1440" w:right="2020"/>
        <w:spacing w:after="0" w:line="254" w:lineRule="auto"/>
        <w:rPr>
          <w:sz w:val="20"/>
          <w:szCs w:val="20"/>
          <w:color w:val="auto"/>
        </w:rPr>
      </w:pPr>
      <w:r>
        <w:rPr>
          <w:rFonts w:ascii="Times New Roman" w:cs="Times New Roman" w:eastAsia="Times New Roman" w:hAnsi="Times New Roman"/>
          <w:sz w:val="18"/>
          <w:szCs w:val="18"/>
          <w:color w:val="auto"/>
        </w:rPr>
        <w:t>set forth: (a) the number of Shares subject to such Option; and (b) the extent to which the Option Participant will have the right to exercise the Option following the Option Termination Date. Such provisions will be determined in the discretion of the Board and included in the Grant Agreement or deed of grant and Award Certificate, and they need not be uniform among all Options issued pursuant to the Plan or to the same Option Participant.</w:t>
      </w:r>
    </w:p>
    <w:p>
      <w:pPr>
        <w:spacing w:after="0" w:line="3" w:lineRule="exact"/>
        <w:rPr>
          <w:sz w:val="20"/>
          <w:szCs w:val="20"/>
          <w:color w:val="auto"/>
        </w:rPr>
      </w:pPr>
    </w:p>
    <w:p>
      <w:pPr>
        <w:jc w:val="both"/>
        <w:ind w:left="1440" w:right="2200" w:hanging="1328"/>
        <w:spacing w:after="0" w:line="255" w:lineRule="auto"/>
        <w:tabs>
          <w:tab w:leader="none" w:pos="14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Option to an Option Participant, or the vesting, exercise, or settlement of an Option under the Plan shall neither entitle such Option Participant to receive nor preclude such Option Participant from receiving subsequently granted Options.</w:t>
      </w:r>
    </w:p>
    <w:p>
      <w:pPr>
        <w:sectPr>
          <w:pgSz w:w="11900" w:h="16838" w:orient="portrait"/>
          <w:cols w:equalWidth="0" w:num="1">
            <w:col w:w="11240"/>
          </w:cols>
          <w:pgMar w:left="320" w:top="769" w:right="33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Section 9.2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Price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per Share under each Option will be specified in the relevant Grant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deed of grant (and set out in the Award Certificate) but shall not be less than the nominal value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Share in the case of an Option to subscribe for Shares</w:t>
      </w:r>
    </w:p>
    <w:p>
      <w:pPr>
        <w:spacing w:after="0" w:line="200" w:lineRule="exact"/>
        <w:rPr>
          <w:sz w:val="20"/>
          <w:szCs w:val="20"/>
          <w:color w:val="auto"/>
        </w:rPr>
      </w:pPr>
    </w:p>
    <w:p>
      <w:pPr>
        <w:sectPr>
          <w:pgSz w:w="11900" w:h="16838" w:orient="portrait"/>
          <w:cols w:equalWidth="0" w:num="2">
            <w:col w:w="940" w:space="500"/>
            <w:col w:w="9800"/>
          </w:cols>
          <w:pgMar w:left="320" w:top="769"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9280" w:type="dxa"/>
            <w:vAlign w:val="bottom"/>
          </w:tcPr>
          <w:p>
            <w:pPr>
              <w:spacing w:after="0"/>
              <w:rPr>
                <w:sz w:val="19"/>
                <w:szCs w:val="19"/>
                <w:color w:val="auto"/>
              </w:rPr>
            </w:pPr>
          </w:p>
        </w:tc>
      </w:tr>
      <w:tr>
        <w:trPr>
          <w:trHeight w:val="234"/>
        </w:trPr>
        <w:tc>
          <w:tcPr>
            <w:tcW w:w="124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term of the Option will be ten (10) years from the Date of Grant.</w:t>
            </w:r>
          </w:p>
        </w:tc>
      </w:tr>
      <w:tr>
        <w:trPr>
          <w:trHeight w:val="414"/>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9.4</w:t>
            </w: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Subject to Section 9.5 and Article 11, the Board will determine the time or times at which an Option may be</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exercised, in whole or in part. Each Option may specify a required period of continuous employment, the</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Performance Criteria or any other requirements to be achieved before the Option or portion thereof will vest</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and/or become exercisable. Each Option, the exercise of which, or the timing of the exercise of which, is</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dependent, in whole or in part, on the achievement of designated Performance Criteria, may specify a</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minimum level of achievement in respect of the specified Performance Criteria below which such Option</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will not be exercisable and a method for determining the extent to which such Option will be exercisable if</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performance is at or above such minimum but short of full achievement of the Performance Criteria. All</w:t>
            </w: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such particular terms and conditions of the Option will be set forth in the Grant Agreement or applicable</w:t>
            </w:r>
          </w:p>
        </w:tc>
      </w:tr>
      <w:tr>
        <w:trPr>
          <w:trHeight w:val="234"/>
        </w:trPr>
        <w:tc>
          <w:tcPr>
            <w:tcW w:w="1240" w:type="dxa"/>
            <w:vAlign w:val="bottom"/>
          </w:tcPr>
          <w:p>
            <w:pPr>
              <w:spacing w:after="0"/>
              <w:rPr>
                <w:sz w:val="20"/>
                <w:szCs w:val="20"/>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deed of grant. An Option cannot be exercised after the end of the term of the Option.</w:t>
            </w:r>
          </w:p>
        </w:tc>
      </w:tr>
      <w:tr>
        <w:trPr>
          <w:trHeight w:val="414"/>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9.5</w:t>
            </w: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Lapse</w:t>
            </w:r>
          </w:p>
        </w:tc>
        <w:tc>
          <w:tcPr>
            <w:tcW w:w="928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 Option shall immediately Expire and cease to be capable of vesting or exercise on the earliest to occur</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92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tenth anniversary of the Date of Grant;</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date specified for the Options to Expire in the Grant Agreement or applicable deed of grant;</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the event of the Option Participant's death, the first anniversary of the Option Participant's death;</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expiry of any of the periods referred to in Article 11;</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date on which it is purported to be transferred or assigned (other than by reason of death in</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accordance with Section 2.8(b)), mortgaged, charged or otherwise disposed of by the Option</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presentation of any petition to any court of competent jurisdiction by which an order is sought</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bankruptcy of the Option Participant (or any analogous proceeding in any jurisdiction);</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the Option Participant making an application for an interim order or any proposal for a</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voluntary arrangement within Part VIII of the Insolvency Act 1986 (or any analogous proceeding</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any jurisdiction);</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upon the Option Participant proposing any form of compromise with his creditors or any class of</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 (or any analogous proceeding in any jurisdiction); and</w:t>
            </w:r>
          </w:p>
        </w:tc>
      </w:tr>
      <w:tr>
        <w:trPr>
          <w:trHeight w:val="216"/>
        </w:trPr>
        <w:tc>
          <w:tcPr>
            <w:tcW w:w="1240" w:type="dxa"/>
            <w:vAlign w:val="bottom"/>
          </w:tcPr>
          <w:p>
            <w:pPr>
              <w:spacing w:after="0"/>
              <w:rPr>
                <w:sz w:val="18"/>
                <w:szCs w:val="18"/>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date on which the Option Participant is deprived (otherwise than on death) of the legal or</w:t>
            </w:r>
          </w:p>
        </w:tc>
      </w:tr>
      <w:tr>
        <w:trPr>
          <w:trHeight w:val="216"/>
        </w:trPr>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 ownership of the Option by operation of law or by the Option Participant doing or</w:t>
            </w:r>
          </w:p>
        </w:tc>
      </w:tr>
      <w:tr>
        <w:trPr>
          <w:trHeight w:val="234"/>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omitting to do anything which causes him to be so deprived.</w:t>
            </w:r>
          </w:p>
        </w:tc>
      </w:tr>
      <w:tr>
        <w:trPr>
          <w:trHeight w:val="410"/>
        </w:trPr>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8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ARTICLE 10</w:t>
            </w:r>
          </w:p>
        </w:tc>
      </w:tr>
      <w:tr>
        <w:trPr>
          <w:trHeight w:val="238"/>
        </w:trPr>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EXERCISE AND SETTLEMENT OF OPTIONS</w:t>
            </w:r>
          </w:p>
        </w:tc>
      </w:tr>
      <w:tr>
        <w:trPr>
          <w:trHeight w:val="43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10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Exercise of Option</w:t>
            </w:r>
          </w:p>
        </w:tc>
      </w:tr>
      <w:tr>
        <w:trPr>
          <w:trHeight w:val="898"/>
        </w:trPr>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0" w:name="page81"/>
    <w:bookmarkEnd w:id="80"/>
    <w:p>
      <w:pPr>
        <w:ind w:left="1328" w:right="979" w:hanging="1328"/>
        <w:spacing w:after="0" w:line="257" w:lineRule="auto"/>
        <w:tabs>
          <w:tab w:leader="none" w:pos="1328"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11 below and subject to the terms of the Grant Agreement or applicable deed of grant, an Option may only be exercised to the extent it has vested in accordance with the terms of the Grant Agreement or as set out in the applicable deed of grant.</w:t>
      </w:r>
    </w:p>
    <w:p>
      <w:pPr>
        <w:spacing w:after="0" w:line="1" w:lineRule="exact"/>
        <w:rPr>
          <w:rFonts w:ascii="Times New Roman" w:cs="Times New Roman" w:eastAsia="Times New Roman" w:hAnsi="Times New Roman"/>
          <w:sz w:val="18"/>
          <w:szCs w:val="18"/>
          <w:b w:val="1"/>
          <w:bCs w:val="1"/>
          <w:color w:val="auto"/>
        </w:rPr>
      </w:pPr>
    </w:p>
    <w:p>
      <w:pPr>
        <w:ind w:left="1328" w:right="1099" w:hanging="1328"/>
        <w:spacing w:after="0" w:line="250" w:lineRule="auto"/>
        <w:tabs>
          <w:tab w:leader="none" w:pos="1328"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Option shall be exercisable, in whole or in part, by the delivery to the secretary of the Company of the following:</w:t>
      </w:r>
    </w:p>
    <w:p>
      <w:pPr>
        <w:ind w:left="2048" w:right="97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Agreement or Award Certificate covering at least all of the Shares over which the Option is then to be exercised;</w:t>
      </w:r>
    </w:p>
    <w:p>
      <w:pPr>
        <w:ind w:left="2048" w:right="1019" w:hanging="725"/>
        <w:spacing w:after="0" w:line="265" w:lineRule="auto"/>
        <w:tabs>
          <w:tab w:leader="none" w:pos="2048" w:val="left"/>
        </w:tabs>
        <w:numPr>
          <w:ilvl w:val="1"/>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of Exercise in the prescribed form duly completed and signed by the Option Participant (or by his duly authorised agent) which shall specify whether the Option Participant requests settlement in Shares and/or in the Option Cash Equivalent (and in lieu of any specification, the Option Participant shall be deemed to have specified full settlement in Shares);</w:t>
      </w:r>
    </w:p>
    <w:p>
      <w:pPr>
        <w:ind w:left="2048" w:right="103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so requires, a Section 431 Election entered into by the Option Participant in relation to the Shares to be acquired;</w:t>
      </w:r>
    </w:p>
    <w:p>
      <w:pPr>
        <w:ind w:left="2048" w:right="101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 sum equal to the aggregate Option Price for the number of Shares over which the Option is to be exercised (save to the extent the Option is to be settled by payment of an Option Cash Equivalent); and</w:t>
      </w:r>
    </w:p>
    <w:p>
      <w:pPr>
        <w:spacing w:after="0" w:line="1" w:lineRule="exact"/>
        <w:rPr>
          <w:rFonts w:ascii="Times New Roman" w:cs="Times New Roman" w:eastAsia="Times New Roman" w:hAnsi="Times New Roman"/>
          <w:sz w:val="18"/>
          <w:szCs w:val="18"/>
          <w:color w:val="auto"/>
        </w:rPr>
      </w:pPr>
    </w:p>
    <w:p>
      <w:pPr>
        <w:ind w:left="2048" w:right="115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such arrangements for the making of such a payment as the Board shall permit) of any Applicable Withholding Tax Liability in accordance with Section 2.6.</w:t>
      </w:r>
    </w:p>
    <w:p>
      <w:pPr>
        <w:ind w:left="1328" w:right="1439" w:hanging="1328"/>
        <w:spacing w:after="0" w:line="250" w:lineRule="auto"/>
        <w:tabs>
          <w:tab w:leader="none" w:pos="13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10.1(4), settlement of Options shall take the form set out in the Notice of Exercise through delivery of, within 30 days following the effective date of exercise of the Option:</w:t>
      </w:r>
    </w:p>
    <w:p>
      <w:pPr>
        <w:ind w:left="2048" w:right="105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their Option Cash Equivalent, a cheque to the Option Participant (or such other person as is referred to in Section 2.8) or wire or bank transfer of cash representing the Option Cash Equivalent;</w:t>
      </w:r>
    </w:p>
    <w:p>
      <w:pPr>
        <w:spacing w:after="0" w:line="1"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Shares, the issue and allotment or transfer or procurement of transfer to the Participant (or such other person as is referred to in Section 2.8); or</w:t>
      </w:r>
    </w:p>
    <w:p>
      <w:pPr>
        <w:ind w:left="2048" w:right="999" w:hanging="725"/>
        <w:spacing w:after="0" w:line="250" w:lineRule="auto"/>
        <w:tabs>
          <w:tab w:leader="none" w:pos="2048"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settlement of Options for a combination of Shares and the Option Cash Equivalent, a combination of (a) and (b) above.</w:t>
      </w:r>
    </w:p>
    <w:p>
      <w:pPr>
        <w:ind w:left="1328" w:right="1059" w:hanging="1328"/>
        <w:spacing w:after="0" w:line="253" w:lineRule="auto"/>
        <w:tabs>
          <w:tab w:leader="none" w:pos="13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in the event that the exercise of an Option, or the subsequent 30-day period falls during a black-out period or other trading restriction imposed by the Company, then the 30-day period referred to above shall be automatically extended to the tenth (10th) Business Day following the date that such black-out period or other trading restriction is lifted, terminated or removed.</w:t>
      </w:r>
    </w:p>
    <w:p>
      <w:pPr>
        <w:spacing w:after="0" w:line="18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10.2</w:t>
      </w:r>
      <w:r>
        <w:rPr>
          <w:sz w:val="20"/>
          <w:szCs w:val="20"/>
          <w:color w:val="auto"/>
        </w:rPr>
        <w:tab/>
      </w:r>
      <w:r>
        <w:rPr>
          <w:rFonts w:ascii="Times New Roman" w:cs="Times New Roman" w:eastAsia="Times New Roman" w:hAnsi="Times New Roman"/>
          <w:sz w:val="17"/>
          <w:szCs w:val="17"/>
          <w:b w:val="1"/>
          <w:bCs w:val="1"/>
          <w:color w:val="auto"/>
        </w:rPr>
        <w:t>Option Cash Equivalent</w:t>
      </w:r>
    </w:p>
    <w:p>
      <w:pPr>
        <w:spacing w:after="0" w:line="31" w:lineRule="exact"/>
        <w:rPr>
          <w:sz w:val="20"/>
          <w:szCs w:val="20"/>
          <w:color w:val="auto"/>
        </w:rPr>
      </w:pPr>
    </w:p>
    <w:p>
      <w:pPr>
        <w:ind w:left="1328"/>
        <w:spacing w:after="0"/>
        <w:rPr>
          <w:sz w:val="20"/>
          <w:szCs w:val="20"/>
          <w:color w:val="auto"/>
        </w:rPr>
      </w:pPr>
      <w:r>
        <w:rPr>
          <w:rFonts w:ascii="Times New Roman" w:cs="Times New Roman" w:eastAsia="Times New Roman" w:hAnsi="Times New Roman"/>
          <w:sz w:val="18"/>
          <w:szCs w:val="18"/>
          <w:color w:val="auto"/>
        </w:rPr>
        <w:t>For purposes of determining the Option Cash Equivalent of Options to be made pursuant to Section 10.1(3)</w:t>
      </w:r>
    </w:p>
    <w:p>
      <w:pPr>
        <w:spacing w:after="0" w:line="9" w:lineRule="exact"/>
        <w:rPr>
          <w:sz w:val="20"/>
          <w:szCs w:val="20"/>
          <w:color w:val="auto"/>
        </w:rPr>
      </w:pPr>
    </w:p>
    <w:p>
      <w:pPr>
        <w:ind w:left="1328" w:right="959" w:hanging="5"/>
        <w:spacing w:after="0" w:line="253" w:lineRule="auto"/>
        <w:tabs>
          <w:tab w:leader="none" w:pos="157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Section 10.1(3)(c), such calculation will be made on the effective date of exercise based on the Market Value on the effective date of exercise multiplied by the number of Shares in respect of which the Option is being exercised and in respect of which the Option Participant desires to settle in cash pursuant to the Notice of Exercise.</w:t>
      </w:r>
    </w:p>
    <w:p>
      <w:pPr>
        <w:spacing w:after="0" w:line="200" w:lineRule="exact"/>
        <w:rPr>
          <w:sz w:val="20"/>
          <w:szCs w:val="20"/>
          <w:color w:val="auto"/>
        </w:rPr>
      </w:pPr>
    </w:p>
    <w:p>
      <w:pPr>
        <w:spacing w:after="0" w:line="20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988"/>
        <w:spacing w:after="0"/>
        <w:rPr>
          <w:sz w:val="20"/>
          <w:szCs w:val="20"/>
          <w:color w:val="auto"/>
        </w:rPr>
      </w:pPr>
      <w:r>
        <w:rPr>
          <w:rFonts w:ascii="Times New Roman" w:cs="Times New Roman" w:eastAsia="Times New Roman" w:hAnsi="Times New Roman"/>
          <w:sz w:val="18"/>
          <w:szCs w:val="18"/>
          <w:b w:val="1"/>
          <w:bCs w:val="1"/>
          <w:color w:val="auto"/>
        </w:rPr>
        <w:t>CHANGE OF CONTROL – OPTIONS</w:t>
      </w:r>
    </w:p>
    <w:p>
      <w:pPr>
        <w:spacing w:after="0" w:line="9"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11.1</w:t>
      </w:r>
      <w:r>
        <w:rPr>
          <w:sz w:val="20"/>
          <w:szCs w:val="20"/>
          <w:color w:val="auto"/>
        </w:rPr>
        <w:tab/>
      </w:r>
      <w:r>
        <w:rPr>
          <w:rFonts w:ascii="Times New Roman" w:cs="Times New Roman" w:eastAsia="Times New Roman" w:hAnsi="Times New Roman"/>
          <w:sz w:val="17"/>
          <w:szCs w:val="17"/>
          <w:b w:val="1"/>
          <w:bCs w:val="1"/>
          <w:color w:val="auto"/>
        </w:rPr>
        <w:t>Notice to Participants</w:t>
      </w:r>
    </w:p>
    <w:p>
      <w:pPr>
        <w:spacing w:after="0" w:line="9" w:lineRule="exact"/>
        <w:rPr>
          <w:sz w:val="20"/>
          <w:szCs w:val="20"/>
          <w:color w:val="auto"/>
        </w:rPr>
      </w:pPr>
    </w:p>
    <w:p>
      <w:pPr>
        <w:ind w:left="1328" w:right="919" w:hanging="1328"/>
        <w:spacing w:after="0" w:line="251" w:lineRule="auto"/>
        <w:tabs>
          <w:tab w:leader="none" w:pos="132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entering into an agreement relating to a transaction which, if completed, would result in a Change of Control (including one which may fall within Section 11.2 or Section 11.3 before), the Options shall be treated in the manner prescribed by the definitive agreement (if any) for such Change of Control. If there is no agreement for such a Change of Control, or there is no provisions prescribing the treatment of Options therein, the Company may (only if and to the extent not prohibited by applicable laws, regulations or the rules of any Stock Exchange upon which the Shares are listed), but shall not be obliged to, give written notice of the proposed Change of Control to Participants, together with a description of the effect of such Change of Control on outstanding Options, not less than seven (7) days prior to the closing of the transaction resulting in the Change of Control (the "</w:t>
      </w:r>
      <w:r>
        <w:rPr>
          <w:rFonts w:ascii="Times New Roman" w:cs="Times New Roman" w:eastAsia="Times New Roman" w:hAnsi="Times New Roman"/>
          <w:sz w:val="18"/>
          <w:szCs w:val="18"/>
          <w:b w:val="1"/>
          <w:bCs w:val="1"/>
          <w:color w:val="auto"/>
        </w:rPr>
        <w:t>Change of Control Notice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550545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81" w:name="page82"/>
    <w:bookmarkEnd w:id="81"/>
    <w:p>
      <w:pPr>
        <w:ind w:left="1328" w:right="939" w:hanging="1328"/>
        <w:spacing w:after="0" w:line="252" w:lineRule="auto"/>
        <w:tabs>
          <w:tab w:leader="none" w:pos="132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Change of Control Notice is made, the Option Participant may, save where Section 11.2 below applies, exercise his Option to the extent specified in Section 11.4 by delivering his Notice of Exercise and the aggregate Option Price (under the procedure in Section 10.1(2) or such other procedure as may be specified by the Board in the Change of Control Notice) at any time in the period commencing on the Option Participant's receipt of the Notification and ending immediately prior to such Change of Control. Any Notice of Exercise delivered in accordance with this Section 11.1(2) prior to such Change of Control shall take effect immediately before Change of Control takes effect. The Option shall, to the extent unexercised, lapse immediately following the Change of Control unless the Acquiror has informed the Board that it intends to offer to grant Option Participants new options in accordance with Section 11.5, in which case the Option shall cease to be exercisable following the Change of Control under this Plan, but may still be released under Section 11.5 within the period of six months following the Change of Control and on the expiry of the said six month period the Option shall lapse.</w:t>
      </w:r>
    </w:p>
    <w:p>
      <w:pPr>
        <w:spacing w:after="0" w:line="2" w:lineRule="exact"/>
        <w:rPr>
          <w:rFonts w:ascii="Times New Roman" w:cs="Times New Roman" w:eastAsia="Times New Roman" w:hAnsi="Times New Roman"/>
          <w:sz w:val="18"/>
          <w:szCs w:val="18"/>
          <w:color w:val="auto"/>
        </w:rPr>
      </w:pPr>
    </w:p>
    <w:p>
      <w:pPr>
        <w:ind w:left="1328" w:right="919" w:hanging="1328"/>
        <w:spacing w:after="0" w:line="253" w:lineRule="auto"/>
        <w:tabs>
          <w:tab w:leader="none" w:pos="132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no Change of Control Notice is made as permitted by Section 11.1(1) and there is no agreement relating to a Change of Control and/or there is no provisions prescribing the treatment of Options therein then subject to Section 11.2 and 11.5 below, the Option may be exercised within six months of a Change of Control to the extent specified in Section 11.4, and on the expiry of the said six month period the Option shall, to the extent unexercised, Expire and cease to be capable of exercise.</w:t>
      </w:r>
    </w:p>
    <w:p>
      <w:pPr>
        <w:sectPr>
          <w:pgSz w:w="11900" w:h="16838" w:orient="portrait"/>
          <w:cols w:equalWidth="0" w:num="1">
            <w:col w:w="10028"/>
          </w:cols>
          <w:pgMar w:left="432" w:top="769" w:right="1440" w:bottom="1440" w:gutter="0" w:footer="0" w:header="0"/>
        </w:sectPr>
      </w:pP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Court Sanction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court sanctions a compromise or arrangement under section 899 or 901F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Act in connection with a Change of Control (a "</w:t>
      </w:r>
      <w:r>
        <w:rPr>
          <w:rFonts w:ascii="Times New Roman" w:cs="Times New Roman" w:eastAsia="Times New Roman" w:hAnsi="Times New Roman"/>
          <w:sz w:val="17"/>
          <w:szCs w:val="17"/>
          <w:b w:val="1"/>
          <w:bCs w:val="1"/>
          <w:color w:val="auto"/>
        </w:rPr>
        <w:t>Compromise</w:t>
      </w:r>
      <w:r>
        <w:rPr>
          <w:rFonts w:ascii="Times New Roman" w:cs="Times New Roman" w:eastAsia="Times New Roman" w:hAnsi="Times New Roman"/>
          <w:sz w:val="17"/>
          <w:szCs w:val="17"/>
          <w:color w:val="auto"/>
        </w:rPr>
        <w:t>"), then subject to Section 11.1(1)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and 11.5 below, the Option may be exercised to the extent specified in Section 11.4 within six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the date on which such Compromise is so sanctioned, and on the expiry of the said six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the Option shall, to the extent unexercised, Expire and cease to be capable of exercise.</w:t>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Squeeze-out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person becomes bound or entitled to acquire shares under Chapter 3, Part 28 of the Companies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 subject to Section 11.1(1) above and Section 11.5 below, an Option may be exercised to the extent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in Section 11.4 at any time when that person remains so bound or entitled and to the extent not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shall lapse at the expiry of such period.</w:t>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Section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2084705</wp:posOffset>
            </wp:positionV>
            <wp:extent cx="889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Extent of exercise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of the relevant Grant Agreement or applicable deed of grant, an Option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under this Article 11 to the extent it has vested pursuant to the Grant Agreement or as set out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deed of grant as at the date of: (i) the Change of Control if Section 11.1(2) or (3) applies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where Section 11.1(2) applies, the Option may be exercised to the extent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would have been vested on the Change of Control if not exercised immediately prior); (ii) the date on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Compromise is sanctioned if Section 11.2 applies; or (iii) the date on which a person becomes bound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acquire shares if Section 11.3 applied. Notwithstanding the foregoing, the Board may, in its sole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accelerate the vesting of any or all outstanding Options, including conditionally, to provide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vesting provisions of such Options or any Grant Agreement, deed of grant, or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such designated outstanding Options shall be vested upon (or prior to) the completion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 (or, if relevant, prior to the sanctioning of a Compromise as contemplated by Section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or a person becoming bound or entitled to acquire shares as contemplated by Section 11.3). If,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the Change of Control or relevant event does not occur, the acceleration of the vesting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shall be retracted and vesting shall instead revert to the manner provided in the Grant Agreement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deed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5715</wp:posOffset>
            </wp:positionV>
            <wp:extent cx="825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8255" cy="137160"/>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5715</wp:posOffset>
            </wp:positionV>
            <wp:extent cx="825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8" w:space="400"/>
            <w:col w:w="8699"/>
          </w:cols>
          <w:pgMar w:left="432" w:top="769" w:right="1440" w:bottom="1440" w:gutter="0" w:footer="0" w:header="0"/>
          <w:type w:val="continuous"/>
        </w:sectPr>
      </w:pPr>
    </w:p>
    <w:p>
      <w:pPr>
        <w:spacing w:after="0" w:line="3" w:lineRule="exact"/>
        <w:rPr>
          <w:sz w:val="20"/>
          <w:szCs w:val="20"/>
          <w:color w:val="auto"/>
        </w:rPr>
      </w:pPr>
    </w:p>
    <w:p>
      <w:pPr>
        <w:ind w:left="8"/>
        <w:spacing w:after="0"/>
        <w:tabs>
          <w:tab w:leader="none" w:pos="1308" w:val="left"/>
        </w:tabs>
        <w:rPr>
          <w:sz w:val="20"/>
          <w:szCs w:val="20"/>
          <w:color w:val="auto"/>
        </w:rPr>
      </w:pPr>
      <w:r>
        <w:rPr>
          <w:rFonts w:ascii="Times New Roman" w:cs="Times New Roman" w:eastAsia="Times New Roman" w:hAnsi="Times New Roman"/>
          <w:sz w:val="18"/>
          <w:szCs w:val="18"/>
          <w:b w:val="1"/>
          <w:bCs w:val="1"/>
          <w:color w:val="auto"/>
        </w:rPr>
        <w:t>Section 11.5</w:t>
      </w:r>
      <w:r>
        <w:rPr>
          <w:sz w:val="20"/>
          <w:szCs w:val="20"/>
          <w:color w:val="auto"/>
        </w:rPr>
        <w:tab/>
      </w:r>
      <w:r>
        <w:rPr>
          <w:rFonts w:ascii="Times New Roman" w:cs="Times New Roman" w:eastAsia="Times New Roman" w:hAnsi="Times New Roman"/>
          <w:sz w:val="17"/>
          <w:szCs w:val="17"/>
          <w:b w:val="1"/>
          <w:bCs w:val="1"/>
          <w:color w:val="auto"/>
        </w:rPr>
        <w:t>Replacement Options</w:t>
      </w:r>
    </w:p>
    <w:p>
      <w:pPr>
        <w:spacing w:after="0" w:line="31" w:lineRule="exact"/>
        <w:rPr>
          <w:sz w:val="20"/>
          <w:szCs w:val="20"/>
          <w:color w:val="auto"/>
        </w:rPr>
      </w:pPr>
    </w:p>
    <w:p>
      <w:pPr>
        <w:ind w:left="1328" w:right="959" w:hanging="1328"/>
        <w:spacing w:after="0" w:line="253" w:lineRule="auto"/>
        <w:tabs>
          <w:tab w:leader="none" w:pos="132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Plan (other than Section 11.1(1)) or any Grant Agreement, deed of grant, or Award Certificate, the Board has the right to provide for the conversion, replacement, or exchange of any outstanding Options into or for options, rights or other securities in any entity participating in or resulting from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547370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type w:val="continuous"/>
        </w:sectPr>
      </w:pPr>
    </w:p>
    <w:bookmarkStart w:id="82" w:name="page83"/>
    <w:bookmarkEnd w:id="82"/>
    <w:p>
      <w:pPr>
        <w:ind w:left="1328" w:right="1419"/>
        <w:spacing w:after="0" w:line="261" w:lineRule="auto"/>
        <w:rPr>
          <w:sz w:val="20"/>
          <w:szCs w:val="20"/>
          <w:color w:val="auto"/>
        </w:rPr>
      </w:pPr>
      <w:r>
        <w:rPr>
          <w:rFonts w:ascii="Times New Roman" w:cs="Times New Roman" w:eastAsia="Times New Roman" w:hAnsi="Times New Roman"/>
          <w:sz w:val="18"/>
          <w:szCs w:val="18"/>
          <w:color w:val="auto"/>
        </w:rPr>
        <w:t>provided that the value of previously granted Options and the rights of Participants are not materially adversely affected by any such changes.</w:t>
      </w:r>
    </w:p>
    <w:p>
      <w:pPr>
        <w:ind w:left="1328" w:right="919" w:hanging="1328"/>
        <w:spacing w:after="0" w:line="250" w:lineRule="auto"/>
        <w:tabs>
          <w:tab w:leader="none" w:pos="132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Section 11.5(1), if there is an Acquiror who is a company, or a company becomes bound or entitled to acquire shares under Chapter 3, Part 28 of the Companies Act, each Participant may, by agreement with the Acquiror within the periods set out in Section 11.5(4), surrender any Options in exchange for a replacement option ("</w:t>
      </w:r>
      <w:r>
        <w:rPr>
          <w:rFonts w:ascii="Times New Roman" w:cs="Times New Roman" w:eastAsia="Times New Roman" w:hAnsi="Times New Roman"/>
          <w:sz w:val="18"/>
          <w:szCs w:val="18"/>
          <w:b w:val="1"/>
          <w:bCs w:val="1"/>
          <w:color w:val="auto"/>
        </w:rPr>
        <w:t>New Option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28" w:right="1539" w:hanging="1328"/>
        <w:spacing w:after="0" w:line="250" w:lineRule="auto"/>
        <w:tabs>
          <w:tab w:leader="none" w:pos="132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Option shall be granted on such terms and in relation to such shares of such company as the Acquiror and the Participant may agree.</w:t>
      </w:r>
    </w:p>
    <w:p>
      <w:pPr>
        <w:ind w:left="1328" w:hanging="1328"/>
        <w:spacing w:after="0"/>
        <w:tabs>
          <w:tab w:leader="none" w:pos="132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referred to in Section 11.5(2) are:</w:t>
      </w:r>
    </w:p>
    <w:p>
      <w:pPr>
        <w:spacing w:after="0" w:line="9" w:lineRule="exact"/>
        <w:rPr>
          <w:rFonts w:ascii="Times New Roman" w:cs="Times New Roman" w:eastAsia="Times New Roman" w:hAnsi="Times New Roman"/>
          <w:sz w:val="18"/>
          <w:szCs w:val="18"/>
          <w:color w:val="auto"/>
        </w:rPr>
      </w:pPr>
    </w:p>
    <w:p>
      <w:pPr>
        <w:ind w:left="2048" w:right="919" w:hanging="725"/>
        <w:spacing w:after="0" w:line="250" w:lineRule="auto"/>
        <w:tabs>
          <w:tab w:leader="none" w:pos="204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of Control that is not effected by a Compromise, six months from the date of the Change of Control;</w:t>
      </w:r>
    </w:p>
    <w:p>
      <w:pPr>
        <w:ind w:left="2048" w:right="1139" w:hanging="725"/>
        <w:spacing w:after="0" w:line="250" w:lineRule="auto"/>
        <w:tabs>
          <w:tab w:leader="none" w:pos="204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Compromise contemplated by Section 11.2, six months from the date on which the Compromise becomes effective; and</w:t>
      </w:r>
    </w:p>
    <w:p>
      <w:pPr>
        <w:ind w:left="2048" w:right="1059" w:hanging="725"/>
        <w:spacing w:after="0" w:line="260" w:lineRule="auto"/>
        <w:tabs>
          <w:tab w:leader="none" w:pos="204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person becoming bound or entitled to acquire shares as contemplated by Section 11.3, during the period such person is so bound or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680085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8"/>
          </w:cols>
          <w:pgMar w:left="432" w:top="769" w:right="1440"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ANNEX 1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 LONG TERM INCENTIVE PLAN</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This Annex 1 to the Rezolve AI plc Long 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and such Annex 1 being the "</w:t>
      </w:r>
      <w:r>
        <w:rPr>
          <w:rFonts w:ascii="Times New Roman" w:cs="Times New Roman" w:eastAsia="Times New Roman" w:hAnsi="Times New Roman"/>
          <w:sz w:val="18"/>
          <w:szCs w:val="18"/>
          <w:b w:val="1"/>
          <w:bCs w:val="1"/>
          <w:color w:val="auto"/>
        </w:rPr>
        <w:t>Non-Employee Plan</w:t>
      </w:r>
      <w:r>
        <w:rPr>
          <w:rFonts w:ascii="Times New Roman" w:cs="Times New Roman" w:eastAsia="Times New Roman" w:hAnsi="Times New Roman"/>
          <w:sz w:val="18"/>
          <w:szCs w:val="18"/>
          <w:color w:val="auto"/>
        </w:rPr>
        <w:t>")) is intended to be a separate plan which governs Units granted to directors, officers, and consultants. Units granted pursuant to this Annex 1 are subject to all of the terms and conditions set forth in the Plan except as modified by the following terms and provisions which will replace and/or supplement certain terms and provisions of the Plan as indicated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Capitalised terms used but not defined in this Non-Employee Plan are defined in the Plan, subject to the provisions set out below</w:t>
      </w:r>
    </w:p>
    <w:p>
      <w:pPr>
        <w:spacing w:after="0" w:line="221" w:lineRule="exact"/>
        <w:rPr>
          <w:sz w:val="20"/>
          <w:szCs w:val="20"/>
          <w:color w:val="auto"/>
        </w:rPr>
      </w:pPr>
    </w:p>
    <w:p>
      <w:pPr>
        <w:ind w:left="760" w:hanging="378"/>
        <w:spacing w:after="0"/>
        <w:tabs>
          <w:tab w:leader="none" w:pos="7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1 - PURPOSE AND INTERPRETATION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All references to Plan throughout the Non-Employee Plan shall, save where the context requires otherwise, refer to the Non-Employee Plan.</w:t>
      </w:r>
    </w:p>
    <w:p>
      <w:pPr>
        <w:spacing w:after="0" w:line="225" w:lineRule="exact"/>
        <w:rPr>
          <w:sz w:val="20"/>
          <w:szCs w:val="20"/>
          <w:color w:val="auto"/>
        </w:rPr>
      </w:pPr>
    </w:p>
    <w:p>
      <w:pPr>
        <w:ind w:left="760" w:right="30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the first paragraph of the Plan, the word "employees" shall be deleted and replaced with the words "directors, officers, and consultants and persons employed or engaged directly or indirectly to provide services"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the Non-Employee Plan, the following definitions shall be inserted:</w:t>
      </w:r>
    </w:p>
    <w:p>
      <w:pPr>
        <w:spacing w:after="0" w:line="221" w:lineRule="exact"/>
        <w:rPr>
          <w:sz w:val="20"/>
          <w:szCs w:val="20"/>
          <w:color w:val="auto"/>
        </w:rPr>
      </w:pPr>
    </w:p>
    <w:p>
      <w:pPr>
        <w:ind w:left="760" w:right="10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Board Retainer</w:t>
      </w:r>
      <w:r>
        <w:rPr>
          <w:rFonts w:ascii="Times New Roman" w:cs="Times New Roman" w:eastAsia="Times New Roman" w:hAnsi="Times New Roman"/>
          <w:sz w:val="18"/>
          <w:szCs w:val="18"/>
          <w:color w:val="auto"/>
        </w:rPr>
        <w:t>” means the annual retainer paid by the Company to a director in a Fiscal Year for service on the Board, together with Board committee fees, attendance fees and additional fees and retainers to committee chairs.</w:t>
      </w:r>
    </w:p>
    <w:p>
      <w:pPr>
        <w:spacing w:after="0" w:line="3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Date</w:t>
      </w:r>
      <w:r>
        <w:rPr>
          <w:rFonts w:ascii="Times New Roman" w:cs="Times New Roman" w:eastAsia="Times New Roman" w:hAnsi="Times New Roman"/>
          <w:sz w:val="17"/>
          <w:szCs w:val="17"/>
          <w:color w:val="auto"/>
        </w:rPr>
        <w:t>" means the date(s) during the Fiscal Year on which the Annual Board Retainer is awarded.</w:t>
      </w:r>
    </w:p>
    <w:p>
      <w:pPr>
        <w:spacing w:after="0" w:line="225" w:lineRule="exact"/>
        <w:rPr>
          <w:sz w:val="20"/>
          <w:szCs w:val="20"/>
          <w:color w:val="auto"/>
        </w:rPr>
      </w:pPr>
    </w:p>
    <w:p>
      <w:pPr>
        <w:ind w:left="760" w:right="2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the role as providing professional or expert advice in a particular field of science or business to either an organisation or individual;</w:t>
      </w:r>
    </w:p>
    <w:p>
      <w:pPr>
        <w:spacing w:after="0" w:line="3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In the Non-Employee plan, the following definitions shall be amended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right="22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Participant</w:t>
      </w:r>
      <w:r>
        <w:rPr>
          <w:rFonts w:ascii="Times New Roman" w:cs="Times New Roman" w:eastAsia="Times New Roman" w:hAnsi="Times New Roman"/>
          <w:sz w:val="18"/>
          <w:szCs w:val="18"/>
          <w:color w:val="auto"/>
        </w:rPr>
        <w:t>", the words "who for greater certainty must also be an employee" shall be deleted and replaced with the words "who for greater certainty shall not also be a direct employee".</w:t>
      </w:r>
    </w:p>
    <w:p>
      <w:pPr>
        <w:spacing w:after="0" w:line="371" w:lineRule="exact"/>
        <w:rPr>
          <w:sz w:val="20"/>
          <w:szCs w:val="20"/>
          <w:color w:val="auto"/>
        </w:rPr>
      </w:pPr>
    </w:p>
    <w:p>
      <w:pPr>
        <w:ind w:left="760" w:right="14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DSU Termination Date</w:t>
      </w:r>
      <w:r>
        <w:rPr>
          <w:rFonts w:ascii="Times New Roman" w:cs="Times New Roman" w:eastAsia="Times New Roman" w:hAnsi="Times New Roman"/>
          <w:sz w:val="18"/>
          <w:szCs w:val="18"/>
          <w:color w:val="auto"/>
        </w:rPr>
        <w:t>" the words "(regardless of whether they have also ceased to be or have previously ceased to be an employee)" shall be deleted.</w:t>
      </w:r>
    </w:p>
    <w:p>
      <w:pPr>
        <w:spacing w:after="0" w:line="371" w:lineRule="exact"/>
        <w:rPr>
          <w:sz w:val="20"/>
          <w:szCs w:val="20"/>
          <w:color w:val="auto"/>
        </w:rPr>
      </w:pPr>
    </w:p>
    <w:p>
      <w:pPr>
        <w:ind w:left="760" w:right="2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the word "employee" shall be deleted and replaced with the words "director, officer, Consultant, or person employed or engaged directly or indirectly to provide services".</w:t>
      </w:r>
    </w:p>
    <w:p>
      <w:pPr>
        <w:spacing w:after="0" w:line="371" w:lineRule="exact"/>
        <w:rPr>
          <w:sz w:val="20"/>
          <w:szCs w:val="20"/>
          <w:color w:val="auto"/>
        </w:rPr>
      </w:pPr>
    </w:p>
    <w:p>
      <w:pPr>
        <w:ind w:left="760" w:right="2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ISU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371" w:lineRule="exact"/>
        <w:rPr>
          <w:sz w:val="20"/>
          <w:szCs w:val="20"/>
          <w:color w:val="auto"/>
        </w:rPr>
      </w:pPr>
    </w:p>
    <w:p>
      <w:pPr>
        <w:ind w:left="76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Option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371" w:lineRule="exact"/>
        <w:rPr>
          <w:sz w:val="20"/>
          <w:szCs w:val="20"/>
          <w:color w:val="auto"/>
        </w:rPr>
      </w:pPr>
    </w:p>
    <w:p>
      <w:pPr>
        <w:ind w:left="760" w:right="180" w:hanging="748"/>
        <w:spacing w:after="0" w:line="286" w:lineRule="auto"/>
        <w:tabs>
          <w:tab w:leader="none" w:pos="7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In the definition of "</w:t>
      </w:r>
      <w:r>
        <w:rPr>
          <w:rFonts w:ascii="Times New Roman" w:cs="Times New Roman" w:eastAsia="Times New Roman" w:hAnsi="Times New Roman"/>
          <w:sz w:val="18"/>
          <w:szCs w:val="18"/>
          <w:b w:val="1"/>
          <w:bCs w:val="1"/>
          <w:color w:val="auto"/>
        </w:rPr>
        <w:t>RSU Termination Date</w:t>
      </w:r>
      <w:r>
        <w:rPr>
          <w:rFonts w:ascii="Times New Roman" w:cs="Times New Roman" w:eastAsia="Times New Roman" w:hAnsi="Times New Roman"/>
          <w:sz w:val="18"/>
          <w:szCs w:val="18"/>
          <w:color w:val="auto"/>
        </w:rPr>
        <w:t>", the word "employment" shall be deleted throughout and replaced with the words "engagement, employment, appointment or retention"</w:t>
      </w:r>
    </w:p>
    <w:p>
      <w:pPr>
        <w:spacing w:after="0" w:line="155" w:lineRule="exact"/>
        <w:rPr>
          <w:sz w:val="20"/>
          <w:szCs w:val="20"/>
          <w:color w:val="auto"/>
        </w:rPr>
      </w:pPr>
    </w:p>
    <w:p>
      <w:pPr>
        <w:ind w:left="760" w:hanging="378"/>
        <w:spacing w:after="0"/>
        <w:tabs>
          <w:tab w:leader="none" w:pos="7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2 - GENERAL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In Section 2.2(a), the words "or the Rezolve AI plc Long Term Incentive Plan" shall be inserted after the words "sub-plan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2.2  Section 2.9(1) shall be deleted and replaced with the following:</w:t>
      </w:r>
    </w:p>
    <w:p>
      <w:pPr>
        <w:spacing w:after="0" w:line="225" w:lineRule="exact"/>
        <w:rPr>
          <w:sz w:val="20"/>
          <w:szCs w:val="20"/>
          <w:color w:val="auto"/>
        </w:rPr>
      </w:pPr>
    </w:p>
    <w:p>
      <w:pPr>
        <w:ind w:left="760" w:right="20" w:hanging="388"/>
        <w:spacing w:after="0" w:line="253" w:lineRule="auto"/>
        <w:rPr>
          <w:sz w:val="20"/>
          <w:szCs w:val="20"/>
          <w:color w:val="auto"/>
        </w:rPr>
      </w:pPr>
      <w:r>
        <w:rPr>
          <w:rFonts w:ascii="Times New Roman" w:cs="Times New Roman" w:eastAsia="Times New Roman" w:hAnsi="Times New Roman"/>
          <w:sz w:val="18"/>
          <w:szCs w:val="18"/>
          <w:color w:val="auto"/>
        </w:rPr>
        <w:t>The grant of an Award does not form part of the Participant's entitlement to remuneration or benefits pursuant to that person's letter of appointment or contract for services or service, nor does the existence of such letter of appointment or contract for services or service between an Eligible Person and any company give such Eligible Person any right or entitlement to have an Award granted to him in respect of any number of Shares or any expectation that an Award might be granted to him whether subject to any conditions or at all and the grant of an Award shall not give him any entitlement or expectation that further Awards will be granted. In addition, the rights and obligations of a Participant under the terms and conditions of his office, engagement, employment, or appointment shall not be affected by his participation under the Rules or any right he may have to participate. An individual who participates under the Rules waives all and any rights to compensation or damages in consequence of the termination of his office, engagement, employment, or appointment with any company for any reason whatsoever, whether lawful or not, in so far as those rights arise, or may arise, from his ceasing to have rights under or be entitled to the settlement of an Award under the Rules as a result of such termination or from the loss or diminution of value of such rights or entitlements. If necessary, the Participant's terms of engagement, appointment, employment, or retention shall be varied accordingly".</w:t>
      </w:r>
    </w:p>
    <w:p>
      <w:pPr>
        <w:spacing w:after="0" w:line="192" w:lineRule="exact"/>
        <w:rPr>
          <w:sz w:val="20"/>
          <w:szCs w:val="20"/>
          <w:color w:val="auto"/>
        </w:rPr>
      </w:pPr>
    </w:p>
    <w:p>
      <w:pPr>
        <w:ind w:left="760" w:right="20" w:hanging="748"/>
        <w:spacing w:after="0" w:line="282" w:lineRule="auto"/>
        <w:rPr>
          <w:sz w:val="20"/>
          <w:szCs w:val="20"/>
          <w:color w:val="auto"/>
        </w:rPr>
      </w:pPr>
      <w:r>
        <w:rPr>
          <w:rFonts w:ascii="Times New Roman" w:cs="Times New Roman" w:eastAsia="Times New Roman" w:hAnsi="Times New Roman"/>
          <w:sz w:val="18"/>
          <w:szCs w:val="18"/>
          <w:color w:val="auto"/>
        </w:rPr>
        <w:t>2.3 In Section 2.15, the words "or any Settlement Price (as later defined in the Plan in respect of any Units)" shall be inserted following the words "Option Price" throughout.</w:t>
      </w:r>
    </w:p>
    <w:p>
      <w:pPr>
        <w:spacing w:after="0" w:line="162" w:lineRule="exact"/>
        <w:rPr>
          <w:sz w:val="20"/>
          <w:szCs w:val="20"/>
          <w:color w:val="auto"/>
        </w:rPr>
      </w:pPr>
    </w:p>
    <w:p>
      <w:pPr>
        <w:ind w:left="760" w:hanging="748"/>
        <w:spacing w:after="0" w:line="266" w:lineRule="auto"/>
        <w:rPr>
          <w:sz w:val="20"/>
          <w:szCs w:val="20"/>
          <w:color w:val="auto"/>
        </w:rPr>
      </w:pPr>
      <w:r>
        <w:rPr>
          <w:rFonts w:ascii="Times New Roman" w:cs="Times New Roman" w:eastAsia="Times New Roman" w:hAnsi="Times New Roman"/>
          <w:sz w:val="18"/>
          <w:szCs w:val="18"/>
          <w:color w:val="auto"/>
        </w:rPr>
        <w:t>2.4 In Section 2.18: (a) the word "employer" shall be deleted and replaced with the words "engaging company"; (b) the words "Participant's personal information" shall be deleted and replaced with the words "Participant's personal information"; and (c) the words "employee privacy notice" shall be deleted and replaced with the words "privacy notice".</w:t>
      </w:r>
    </w:p>
    <w:p>
      <w:pPr>
        <w:spacing w:after="0" w:line="172" w:lineRule="exact"/>
        <w:rPr>
          <w:sz w:val="20"/>
          <w:szCs w:val="20"/>
          <w:color w:val="auto"/>
        </w:rPr>
      </w:pPr>
    </w:p>
    <w:p>
      <w:pPr>
        <w:ind w:left="760" w:hanging="378"/>
        <w:spacing w:after="0"/>
        <w:tabs>
          <w:tab w:leader="none" w:pos="7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3 - RESTRICTED SHARE UNITS</w:t>
      </w:r>
    </w:p>
    <w:p>
      <w:pPr>
        <w:spacing w:after="0" w:line="229" w:lineRule="exact"/>
        <w:rPr>
          <w:sz w:val="20"/>
          <w:szCs w:val="20"/>
          <w:color w:val="auto"/>
        </w:rPr>
      </w:pPr>
    </w:p>
    <w:p>
      <w:pPr>
        <w:ind w:left="760" w:hanging="748"/>
        <w:spacing w:after="0" w:line="261" w:lineRule="auto"/>
        <w:rPr>
          <w:sz w:val="20"/>
          <w:szCs w:val="20"/>
          <w:color w:val="auto"/>
        </w:rPr>
      </w:pPr>
      <w:r>
        <w:rPr>
          <w:rFonts w:ascii="Times New Roman" w:cs="Times New Roman" w:eastAsia="Times New Roman" w:hAnsi="Times New Roman"/>
          <w:sz w:val="18"/>
          <w:szCs w:val="18"/>
          <w:color w:val="auto"/>
        </w:rPr>
        <w:t>3.1 At the end of Section 3.1(1), the following sentence shall be inserted: "Notwithstanding the foregoing, it shall, unless the Board determines that it is not required by applicable law, be a term of each Restricted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Restricted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In Section 3.4(4), the words "is continuously employed by" shall be deleted and replaced with the words "in service with".</w:t>
      </w:r>
    </w:p>
    <w:p>
      <w:pPr>
        <w:spacing w:after="0" w:line="221" w:lineRule="exact"/>
        <w:rPr>
          <w:sz w:val="20"/>
          <w:szCs w:val="20"/>
          <w:color w:val="auto"/>
        </w:rPr>
      </w:pPr>
    </w:p>
    <w:p>
      <w:pPr>
        <w:ind w:left="760" w:hanging="378"/>
        <w:spacing w:after="0"/>
        <w:tabs>
          <w:tab w:leader="none" w:pos="7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4 - SETTLEMENT &amp; EXPIRY</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4.1  The following new Section 4.1(6) shall be inserted:</w:t>
      </w:r>
    </w:p>
    <w:p>
      <w:pPr>
        <w:spacing w:after="0" w:line="225" w:lineRule="exact"/>
        <w:rPr>
          <w:sz w:val="20"/>
          <w:szCs w:val="20"/>
          <w:color w:val="auto"/>
        </w:rPr>
      </w:pPr>
    </w:p>
    <w:p>
      <w:pPr>
        <w:ind w:left="760" w:right="340"/>
        <w:spacing w:after="0" w:line="276" w:lineRule="auto"/>
        <w:rPr>
          <w:sz w:val="20"/>
          <w:szCs w:val="20"/>
          <w:color w:val="auto"/>
        </w:rPr>
      </w:pPr>
      <w:r>
        <w:rPr>
          <w:rFonts w:ascii="Times New Roman" w:cs="Times New Roman" w:eastAsia="Times New Roman" w:hAnsi="Times New Roman"/>
          <w:sz w:val="17"/>
          <w:szCs w:val="17"/>
          <w:color w:val="auto"/>
        </w:rPr>
        <w:t>"Notwithstanding the foregoing, no Restricted Share Unit may be settled by the issuance of Shares unless the Participant has paid by cheque, bank transfer, or cash, or made arrangements satisfactory to the Board to procure the payment of the Settlement Price referenced in Section</w:t>
      </w:r>
    </w:p>
    <w:p>
      <w:pPr>
        <w:spacing w:after="0" w:line="1" w:lineRule="exact"/>
        <w:rPr>
          <w:sz w:val="20"/>
          <w:szCs w:val="20"/>
          <w:color w:val="auto"/>
        </w:rPr>
      </w:pPr>
    </w:p>
    <w:p>
      <w:pPr>
        <w:ind w:left="760" w:right="80"/>
        <w:spacing w:after="0" w:line="255" w:lineRule="auto"/>
        <w:rPr>
          <w:sz w:val="20"/>
          <w:szCs w:val="20"/>
          <w:color w:val="auto"/>
        </w:rPr>
      </w:pPr>
      <w:r>
        <w:rPr>
          <w:rFonts w:ascii="Times New Roman" w:cs="Times New Roman" w:eastAsia="Times New Roman" w:hAnsi="Times New Roman"/>
          <w:sz w:val="18"/>
          <w:szCs w:val="18"/>
          <w:color w:val="auto"/>
        </w:rPr>
        <w:t>3.1(1). In the event that such payment or arrangements are not made within 30 days following the RSU Settlement Date, the Participant shall be deemed to have elected for settlement by the Restricted Share Unit's Cash Equivalent with the day following the expiry of such 30 day period being deemed to be the "RSU Settlement Date"."</w:t>
      </w:r>
    </w:p>
    <w:p>
      <w:pPr>
        <w:spacing w:after="0" w:line="186" w:lineRule="exact"/>
        <w:rPr>
          <w:sz w:val="20"/>
          <w:szCs w:val="20"/>
          <w:color w:val="auto"/>
        </w:rPr>
      </w:pPr>
    </w:p>
    <w:p>
      <w:pPr>
        <w:ind w:left="760" w:right="740" w:hanging="360"/>
        <w:spacing w:after="0" w:line="282" w:lineRule="auto"/>
        <w:rPr>
          <w:sz w:val="20"/>
          <w:szCs w:val="20"/>
          <w:color w:val="auto"/>
        </w:rPr>
      </w:pPr>
      <w:r>
        <w:rPr>
          <w:rFonts w:ascii="Times New Roman" w:cs="Times New Roman" w:eastAsia="Times New Roman" w:hAnsi="Times New Roman"/>
          <w:sz w:val="18"/>
          <w:szCs w:val="18"/>
          <w:color w:val="auto"/>
        </w:rPr>
        <w:t>4.2 In Section 4.3, the words "or termination" shall be inserted following the word "dismissal"; and the words "or early termination of their engagement" shall be inserted following the word "resignation".</w:t>
      </w:r>
    </w:p>
    <w:p>
      <w:pPr>
        <w:spacing w:after="0" w:line="158" w:lineRule="exact"/>
        <w:rPr>
          <w:sz w:val="20"/>
          <w:szCs w:val="20"/>
          <w:color w:val="auto"/>
        </w:rPr>
      </w:pPr>
    </w:p>
    <w:p>
      <w:pPr>
        <w:ind w:left="760" w:hanging="378"/>
        <w:spacing w:after="0"/>
        <w:tabs>
          <w:tab w:leader="none" w:pos="7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5 – DEFERRED SHARE UNITS</w:t>
      </w:r>
    </w:p>
    <w:p>
      <w:pPr>
        <w:spacing w:after="0" w:line="229" w:lineRule="exact"/>
        <w:rPr>
          <w:sz w:val="20"/>
          <w:szCs w:val="20"/>
          <w:color w:val="auto"/>
        </w:rPr>
      </w:pPr>
    </w:p>
    <w:p>
      <w:pPr>
        <w:ind w:left="760" w:right="40" w:hanging="360"/>
        <w:spacing w:after="0" w:line="261" w:lineRule="auto"/>
        <w:rPr>
          <w:sz w:val="20"/>
          <w:szCs w:val="20"/>
          <w:color w:val="auto"/>
        </w:rPr>
      </w:pPr>
      <w:r>
        <w:rPr>
          <w:rFonts w:ascii="Times New Roman" w:cs="Times New Roman" w:eastAsia="Times New Roman" w:hAnsi="Times New Roman"/>
          <w:sz w:val="18"/>
          <w:szCs w:val="18"/>
          <w:color w:val="auto"/>
        </w:rPr>
        <w:t>5.1 The following new Section 5.1(4) shall be inserted: "Notwithstanding the foregoing, it shall unless the Board determines that it is not required by applicable law be a term of each Deferred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Deferred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140" w:right="360" w:hanging="748"/>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following new section will be inserted as Section 5.3 and the remainder of Article 5 will be renumbered accordingly with all cross-references updated accordingly:</w:t>
      </w:r>
    </w:p>
    <w:p>
      <w:pPr>
        <w:spacing w:after="0" w:line="158" w:lineRule="exact"/>
        <w:rPr>
          <w:sz w:val="20"/>
          <w:szCs w:val="20"/>
          <w:color w:val="auto"/>
        </w:rPr>
      </w:pPr>
    </w:p>
    <w:p>
      <w:pPr>
        <w:ind w:left="114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Election Notice; Elected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ind w:left="1120" w:hanging="369"/>
        <w:spacing w:after="0"/>
        <w:tabs>
          <w:tab w:leader="none" w:pos="11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Board approval, a DSU Participant may elect by filing an election notice in such form as the Board may permit (the</w:t>
      </w:r>
    </w:p>
    <w:p>
      <w:pPr>
        <w:spacing w:after="0" w:line="27" w:lineRule="exact"/>
        <w:rPr>
          <w:rFonts w:ascii="Times New Roman" w:cs="Times New Roman" w:eastAsia="Times New Roman" w:hAnsi="Times New Roman"/>
          <w:sz w:val="18"/>
          <w:szCs w:val="18"/>
          <w:color w:val="auto"/>
        </w:rPr>
      </w:pPr>
    </w:p>
    <w:p>
      <w:pPr>
        <w:ind w:left="1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Notice</w:t>
      </w:r>
      <w:r>
        <w:rPr>
          <w:rFonts w:ascii="Times New Roman" w:cs="Times New Roman" w:eastAsia="Times New Roman" w:hAnsi="Times New Roman"/>
          <w:sz w:val="18"/>
          <w:szCs w:val="18"/>
          <w:color w:val="auto"/>
        </w:rPr>
        <w:t>”), once each Fiscal Year, to be paid up to one hundred percent (100%) of his or her Annual Board Retainer in the form of Deferred Share Units (the “</w:t>
      </w:r>
      <w:r>
        <w:rPr>
          <w:rFonts w:ascii="Times New Roman" w:cs="Times New Roman" w:eastAsia="Times New Roman" w:hAnsi="Times New Roman"/>
          <w:sz w:val="18"/>
          <w:szCs w:val="18"/>
          <w:b w:val="1"/>
          <w:bCs w:val="1"/>
          <w:color w:val="auto"/>
        </w:rPr>
        <w:t>Elected Amount</w:t>
      </w:r>
      <w:r>
        <w:rPr>
          <w:rFonts w:ascii="Times New Roman" w:cs="Times New Roman" w:eastAsia="Times New Roman" w:hAnsi="Times New Roman"/>
          <w:sz w:val="18"/>
          <w:szCs w:val="18"/>
          <w:color w:val="auto"/>
        </w:rPr>
        <w:t>”), with the balance being paid in cash in accordance with the Company’s regular practices of paying such cash compensation. In the case of an existing DSU Participant, the election must be completed, signed and delivered to the Company by the end of the Fiscal Year preceding the Fiscal Year to which such election is to apply. In the case of a new DSU Participant, the election must be completed, signed and delivered to the Company as soon as possible, and, in any event, no later than 30 days, after the director’s appointment, with such election to be effective on the first day of the fiscal quarter of the Company next following the date of the Company’s receipt of the election until the final day of such Fiscal Year. For the first year of the Plan, DSU Participants must make such election as soon as possible, and, in any event, no later than 30 days, after adoption of the Plan and the election shall be effective on the first day of the fiscal quarter of the Company next following the date of the Company’s receipt of the election until the final day of such Fiscal Year. If no election is made in respect of a particular Fiscal Year, the new or existing DSU Participant will be paid in cash in accordance with the Company’s regular practices of paying such cash compensation.</w:t>
      </w:r>
    </w:p>
    <w:p>
      <w:pPr>
        <w:spacing w:after="0" w:line="192" w:lineRule="exact"/>
        <w:rPr>
          <w:rFonts w:ascii="Times New Roman" w:cs="Times New Roman" w:eastAsia="Times New Roman" w:hAnsi="Times New Roman"/>
          <w:sz w:val="18"/>
          <w:szCs w:val="18"/>
          <w:color w:val="auto"/>
        </w:rPr>
      </w:pPr>
    </w:p>
    <w:p>
      <w:pPr>
        <w:ind w:left="1120" w:right="520" w:hanging="369"/>
        <w:spacing w:after="0" w:line="289" w:lineRule="auto"/>
        <w:tabs>
          <w:tab w:leader="none" w:pos="1106"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Notice shall, subject to any minimum amount that may be required by the Board, from time to time, designate the percentage of the Annual Board Retainer for the applicable Fiscal Year that is to be deferred into Deferred Share Units, with the remaining percentage to be paid in cash in accordance with the Company’s regular practices of paying such cash compensation.</w:t>
      </w:r>
    </w:p>
    <w:p>
      <w:pPr>
        <w:spacing w:after="0" w:line="157" w:lineRule="exact"/>
        <w:rPr>
          <w:rFonts w:ascii="Times New Roman" w:cs="Times New Roman" w:eastAsia="Times New Roman" w:hAnsi="Times New Roman"/>
          <w:sz w:val="17"/>
          <w:szCs w:val="17"/>
          <w:color w:val="auto"/>
        </w:rPr>
      </w:pPr>
    </w:p>
    <w:p>
      <w:pPr>
        <w:ind w:left="1120" w:right="80" w:hanging="369"/>
        <w:spacing w:after="0" w:line="261" w:lineRule="auto"/>
        <w:tabs>
          <w:tab w:leader="none" w:pos="110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 designation to the contrary (including delivery of an Election Notice by a DSU Participant requesting that a greater or lesser percentage of his or her Annual Board Retainer be payable in the form of Deferred Share Units relative to the percentage previously elected by such DSU Participant), the DSU Participant’s Election Notice shall remain in effect unless otherwise terminated."</w:t>
      </w:r>
    </w:p>
    <w:p>
      <w:pPr>
        <w:spacing w:after="0" w:line="180" w:lineRule="exact"/>
        <w:rPr>
          <w:sz w:val="20"/>
          <w:szCs w:val="20"/>
          <w:color w:val="auto"/>
        </w:rPr>
      </w:pPr>
    </w:p>
    <w:p>
      <w:pPr>
        <w:ind w:left="760" w:right="80" w:hanging="748"/>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following new subsection shall be inserted into Section 5.4 (as renumbered) as section 5.4(3), and the remainder of section 5.4 shall be renumbered accordingly with all cross-references updated accordingly:</w:t>
      </w:r>
    </w:p>
    <w:p>
      <w:pPr>
        <w:spacing w:after="0" w:line="162" w:lineRule="exact"/>
        <w:rPr>
          <w:sz w:val="20"/>
          <w:szCs w:val="20"/>
          <w:color w:val="auto"/>
        </w:rPr>
      </w:pPr>
    </w:p>
    <w:p>
      <w:pPr>
        <w:ind w:left="1880" w:right="20" w:hanging="997"/>
        <w:spacing w:after="0" w:line="257" w:lineRule="auto"/>
        <w:rPr>
          <w:sz w:val="20"/>
          <w:szCs w:val="20"/>
          <w:color w:val="auto"/>
        </w:rPr>
      </w:pPr>
      <w:r>
        <w:rPr>
          <w:rFonts w:ascii="Times New Roman" w:cs="Times New Roman" w:eastAsia="Times New Roman" w:hAnsi="Times New Roman"/>
          <w:sz w:val="18"/>
          <w:szCs w:val="18"/>
          <w:color w:val="auto"/>
        </w:rPr>
        <w:t>"(3) Thereafter, any portion of such DSU Participant’s Annual Board Retainer payable, and subject to comply with Section 5.3, all subsequent Annual Board Retainers shall be paid in cash in accordance with the Company’s regular practices of paying such cash compensation."</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Section 5.5 (as renumbered) shall be deleted and replaced with the following:</w:t>
      </w:r>
    </w:p>
    <w:p>
      <w:pPr>
        <w:spacing w:after="0" w:line="207"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color w:val="auto"/>
        </w:rPr>
        <w:t>Calculation.</w:t>
      </w:r>
    </w:p>
    <w:p>
      <w:pPr>
        <w:spacing w:after="0" w:line="225" w:lineRule="exact"/>
        <w:rPr>
          <w:sz w:val="20"/>
          <w:szCs w:val="20"/>
          <w:color w:val="auto"/>
        </w:rPr>
      </w:pPr>
    </w:p>
    <w:p>
      <w:pPr>
        <w:ind w:left="1120" w:hanging="369"/>
        <w:spacing w:after="0"/>
        <w:tabs>
          <w:tab w:leader="none" w:pos="112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Deferred Share Units granted at any particular time pursuant to this Plan will be calculated by:</w:t>
      </w:r>
    </w:p>
    <w:p>
      <w:pPr>
        <w:spacing w:after="0" w:line="225" w:lineRule="exact"/>
        <w:rPr>
          <w:rFonts w:ascii="Times New Roman" w:cs="Times New Roman" w:eastAsia="Times New Roman" w:hAnsi="Times New Roman"/>
          <w:sz w:val="18"/>
          <w:szCs w:val="18"/>
          <w:color w:val="auto"/>
        </w:rPr>
      </w:pPr>
    </w:p>
    <w:p>
      <w:pPr>
        <w:ind w:left="1880" w:hanging="754"/>
        <w:spacing w:after="0" w:line="282" w:lineRule="auto"/>
        <w:tabs>
          <w:tab w:leader="none" w:pos="149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Elected Amount, by dividing (i) the dollar amount of the Elected Amount allocated to the DSU Participant by (ii) the Market Value of a Share on the applicable Award Date; or</w:t>
      </w:r>
    </w:p>
    <w:p>
      <w:pPr>
        <w:spacing w:after="0" w:line="377" w:lineRule="exact"/>
        <w:rPr>
          <w:rFonts w:ascii="Times New Roman" w:cs="Times New Roman" w:eastAsia="Times New Roman" w:hAnsi="Times New Roman"/>
          <w:sz w:val="18"/>
          <w:szCs w:val="18"/>
          <w:color w:val="auto"/>
        </w:rPr>
      </w:pPr>
    </w:p>
    <w:p>
      <w:pPr>
        <w:ind w:left="1880" w:right="220" w:hanging="754"/>
        <w:spacing w:after="0" w:line="282" w:lineRule="auto"/>
        <w:tabs>
          <w:tab w:leader="none" w:pos="149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grant of Deferred Share Units pursuant to Section 5.1, by dividing (i) the dollar amount of such grant by (ii) the Market Value of a Share on the Date of Grant."</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following new section 5.7(5) (as renumbered) shall be inserted into Section 5.7 (as renumbered):</w:t>
      </w:r>
    </w:p>
    <w:p>
      <w:pPr>
        <w:spacing w:after="0" w:line="27"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Deferred Share Unit may be settled by the issuance of Shares unless the Participant has paid by cheque, bank transfer, or cash, or made arrangements satisfactory to the Board to procure the payment of the Settlement Price referenced in Section 5.1(4). In the event that such payment or arrangements are not made within 30 days following the DSU Payment Date, the Participant shall be deemed to have elected for settlement by the Deferred Share Unit's Cash Equivalent with the day following the expiry of such 30 day period being deemed to be the "DSU Payment Date"."</w:t>
      </w:r>
    </w:p>
    <w:p>
      <w:pPr>
        <w:spacing w:after="0" w:line="183" w:lineRule="exact"/>
        <w:rPr>
          <w:sz w:val="20"/>
          <w:szCs w:val="20"/>
          <w:color w:val="auto"/>
        </w:rPr>
      </w:pPr>
    </w:p>
    <w:p>
      <w:pPr>
        <w:ind w:left="380" w:hanging="378"/>
        <w:spacing w:after="0"/>
        <w:tabs>
          <w:tab w:leader="none" w:pos="38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6 – INCENTIVE SHARE UNITS</w:t>
      </w:r>
    </w:p>
    <w:p>
      <w:pPr>
        <w:spacing w:after="0" w:line="229" w:lineRule="exact"/>
        <w:rPr>
          <w:sz w:val="20"/>
          <w:szCs w:val="20"/>
          <w:color w:val="auto"/>
        </w:rPr>
      </w:pPr>
    </w:p>
    <w:p>
      <w:pPr>
        <w:ind w:left="380" w:right="40" w:hanging="360"/>
        <w:spacing w:after="0" w:line="261" w:lineRule="auto"/>
        <w:rPr>
          <w:sz w:val="20"/>
          <w:szCs w:val="20"/>
          <w:color w:val="auto"/>
        </w:rPr>
      </w:pPr>
      <w:r>
        <w:rPr>
          <w:rFonts w:ascii="Times New Roman" w:cs="Times New Roman" w:eastAsia="Times New Roman" w:hAnsi="Times New Roman"/>
          <w:sz w:val="18"/>
          <w:szCs w:val="18"/>
          <w:color w:val="auto"/>
        </w:rPr>
        <w:t>6.1 The following new Section 6.1(4) shall be inserted: "Notwithstanding the foregoing, it shall, unless the Board determines that it is not required by applicable law, be a term of each Incentive Share Unit that the relevant Participant shall, as a condition to settlement of the Units in Shares, pay or procure the payment of an amount to be determined by the Board but which shall not be less than the nominal value of the relevant Shares prior to settlement of the relevant Incentive Share Unit (the "</w:t>
      </w:r>
      <w:r>
        <w:rPr>
          <w:rFonts w:ascii="Times New Roman" w:cs="Times New Roman" w:eastAsia="Times New Roman" w:hAnsi="Times New Roman"/>
          <w:sz w:val="18"/>
          <w:szCs w:val="18"/>
          <w:b w:val="1"/>
          <w:bCs w:val="1"/>
          <w:color w:val="auto"/>
        </w:rPr>
        <w:t>Settlement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678815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86" w:name="page87"/>
    <w:bookmarkEnd w:id="86"/>
    <w:p>
      <w:pPr>
        <w:ind w:left="378" w:hanging="378"/>
        <w:spacing w:after="0"/>
        <w:tabs>
          <w:tab w:leader="none" w:pos="378"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ARTICLE 7 – SETTLEMENT &amp; EXPIRY</w:t>
      </w:r>
    </w:p>
    <w:p>
      <w:pPr>
        <w:spacing w:after="0" w:line="200" w:lineRule="exact"/>
        <w:rPr>
          <w:sz w:val="20"/>
          <w:szCs w:val="20"/>
          <w:color w:val="auto"/>
        </w:rPr>
      </w:pPr>
    </w:p>
    <w:p>
      <w:pPr>
        <w:spacing w:after="0" w:line="245" w:lineRule="exact"/>
        <w:rPr>
          <w:sz w:val="20"/>
          <w:szCs w:val="20"/>
          <w:color w:val="auto"/>
        </w:rPr>
      </w:pPr>
    </w:p>
    <w:p>
      <w:pPr>
        <w:ind w:left="78"/>
        <w:spacing w:after="0"/>
        <w:rPr>
          <w:sz w:val="20"/>
          <w:szCs w:val="20"/>
          <w:color w:val="auto"/>
        </w:rPr>
      </w:pPr>
      <w:r>
        <w:rPr>
          <w:rFonts w:ascii="Times New Roman" w:cs="Times New Roman" w:eastAsia="Times New Roman" w:hAnsi="Times New Roman"/>
          <w:sz w:val="18"/>
          <w:szCs w:val="18"/>
          <w:color w:val="auto"/>
        </w:rPr>
        <w:t>7.1. The following new section 7.1(6) shall be inserted into Section 7.1:</w:t>
      </w:r>
    </w:p>
    <w:p>
      <w:pPr>
        <w:spacing w:after="0" w:line="27" w:lineRule="exact"/>
        <w:rPr>
          <w:sz w:val="20"/>
          <w:szCs w:val="20"/>
          <w:color w:val="auto"/>
        </w:rPr>
      </w:pPr>
    </w:p>
    <w:p>
      <w:pPr>
        <w:ind w:left="358"/>
        <w:spacing w:after="0" w:line="253" w:lineRule="auto"/>
        <w:rPr>
          <w:sz w:val="20"/>
          <w:szCs w:val="20"/>
          <w:color w:val="auto"/>
        </w:rPr>
      </w:pPr>
      <w:r>
        <w:rPr>
          <w:rFonts w:ascii="Times New Roman" w:cs="Times New Roman" w:eastAsia="Times New Roman" w:hAnsi="Times New Roman"/>
          <w:sz w:val="18"/>
          <w:szCs w:val="18"/>
          <w:color w:val="auto"/>
        </w:rPr>
        <w:t>"Notwithstanding the foregoing, no Incentive Share Unit may be settled by the issuance of Shares unless the Participant has paid by cheque, bank transfer, or cash, or made arrangements satisfactory to the Board to procure the payment of the Settlement Price referenced in Section 6.1(4). In the event that such payment or arrangements are not made within 30 days following the ISU Settlement Date, the Participant shall be deemed to have elected for settlement by the Incentive Share Unit's Cash Equivalent with the day following the expiry of such 30 day period being deemed to be the "ISU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915035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765" w:right="35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Deed of Grant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auto"/>
        </w:rPr>
        <w:t>Grant of Options under the Rezolve AI Plc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5674360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This Deed is made on [●] 202[●]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REZOLVE AI PLC</w:t>
      </w:r>
      <w:r>
        <w:rPr>
          <w:rFonts w:ascii="Arial" w:cs="Arial" w:eastAsia="Arial" w:hAnsi="Arial"/>
          <w:sz w:val="18"/>
          <w:szCs w:val="18"/>
          <w:color w:val="auto"/>
        </w:rPr>
        <w:t>, a company incorporated in England with company number 14573691, whose registered office is at 21 Sackville Street,</w:t>
      </w:r>
      <w:r>
        <w:rPr>
          <w:rFonts w:ascii="Arial" w:cs="Arial" w:eastAsia="Arial" w:hAnsi="Arial"/>
          <w:sz w:val="18"/>
          <w:szCs w:val="18"/>
          <w:b w:val="1"/>
          <w:bCs w:val="1"/>
          <w:color w:val="auto"/>
        </w:rPr>
        <w:t xml:space="preserve"> </w:t>
      </w:r>
      <w:r>
        <w:rPr>
          <w:rFonts w:ascii="Arial" w:cs="Arial" w:eastAsia="Arial" w:hAnsi="Arial"/>
          <w:sz w:val="18"/>
          <w:szCs w:val="18"/>
          <w:color w:val="auto"/>
        </w:rPr>
        <w:t>London, England, W1S 3DN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83" w:lineRule="exact"/>
        <w:rPr>
          <w:sz w:val="20"/>
          <w:szCs w:val="20"/>
          <w:color w:val="auto"/>
        </w:rPr>
      </w:pPr>
    </w:p>
    <w:p>
      <w:pPr>
        <w:ind w:left="760" w:hanging="378"/>
        <w:spacing w:after="0"/>
        <w:tabs>
          <w:tab w:leader="none" w:pos="7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 established [Annex 1 to]</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the Rezolve AI Plc Long Term Incentive Plan (the "</w:t>
      </w:r>
      <w:r>
        <w:rPr>
          <w:rFonts w:ascii="Arial" w:cs="Arial" w:eastAsia="Arial" w:hAnsi="Arial"/>
          <w:sz w:val="18"/>
          <w:szCs w:val="18"/>
          <w:b w:val="1"/>
          <w:bCs w:val="1"/>
          <w:color w:val="auto"/>
        </w:rPr>
        <w:t>Plan</w:t>
      </w:r>
      <w:r>
        <w:rPr>
          <w:rFonts w:ascii="Arial" w:cs="Arial" w:eastAsia="Arial" w:hAnsi="Arial"/>
          <w:sz w:val="18"/>
          <w:szCs w:val="18"/>
          <w:color w:val="auto"/>
        </w:rPr>
        <w:t>") on 17 September 2024.</w:t>
      </w:r>
    </w:p>
    <w:p>
      <w:pPr>
        <w:ind w:left="760" w:hanging="378"/>
        <w:spacing w:after="0" w:line="234" w:lineRule="auto"/>
        <w:tabs>
          <w:tab w:leader="none" w:pos="7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 wishes to grant options ("</w:t>
      </w:r>
      <w:r>
        <w:rPr>
          <w:rFonts w:ascii="Arial" w:cs="Arial" w:eastAsia="Arial" w:hAnsi="Arial"/>
          <w:sz w:val="18"/>
          <w:szCs w:val="18"/>
          <w:b w:val="1"/>
          <w:bCs w:val="1"/>
          <w:color w:val="auto"/>
        </w:rPr>
        <w:t>Options</w:t>
      </w:r>
      <w:r>
        <w:rPr>
          <w:rFonts w:ascii="Arial" w:cs="Arial" w:eastAsia="Arial" w:hAnsi="Arial"/>
          <w:sz w:val="18"/>
          <w:szCs w:val="18"/>
          <w:color w:val="auto"/>
        </w:rPr>
        <w:t>") under the Plan on the terms of this deed and the relevant individual Award Certificates issued pursuant to this deed.</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Capitalised terms defined in the Plan shall have the same meaning in this deed.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Operative provisions:</w:t>
      </w:r>
    </w:p>
    <w:p>
      <w:pPr>
        <w:spacing w:after="0" w:line="212" w:lineRule="exact"/>
        <w:rPr>
          <w:sz w:val="20"/>
          <w:szCs w:val="20"/>
          <w:color w:val="auto"/>
        </w:rPr>
      </w:pPr>
    </w:p>
    <w:p>
      <w:pPr>
        <w:jc w:val="both"/>
        <w:ind w:left="760" w:hanging="378"/>
        <w:spacing w:after="0" w:line="253" w:lineRule="auto"/>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This deed grants Options pursuant to the Plan to the individuals set out in schedule 1 to this deed (each a "</w:t>
      </w:r>
      <w:r>
        <w:rPr>
          <w:rFonts w:ascii="Arial" w:cs="Arial" w:eastAsia="Arial" w:hAnsi="Arial"/>
          <w:sz w:val="18"/>
          <w:szCs w:val="18"/>
          <w:b w:val="1"/>
          <w:bCs w:val="1"/>
          <w:color w:val="auto"/>
        </w:rPr>
        <w:t>Participant</w:t>
      </w:r>
      <w:r>
        <w:rPr>
          <w:rFonts w:ascii="Arial" w:cs="Arial" w:eastAsia="Arial" w:hAnsi="Arial"/>
          <w:sz w:val="18"/>
          <w:szCs w:val="18"/>
          <w:color w:val="auto"/>
        </w:rPr>
        <w:t>"), at the Option Price and in respect of the number of ordinary shares of £0.0001 each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as set out in schedule 1 to this deed.</w:t>
      </w:r>
    </w:p>
    <w:p>
      <w:pPr>
        <w:spacing w:after="0" w:line="168" w:lineRule="exact"/>
        <w:rPr>
          <w:rFonts w:ascii="Arial" w:cs="Arial" w:eastAsia="Arial" w:hAnsi="Arial"/>
          <w:sz w:val="18"/>
          <w:szCs w:val="18"/>
          <w:color w:val="auto"/>
        </w:rPr>
      </w:pPr>
    </w:p>
    <w:p>
      <w:pPr>
        <w:jc w:val="both"/>
        <w:ind w:left="760" w:hanging="378"/>
        <w:spacing w:after="0" w:line="247" w:lineRule="auto"/>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the rules of the Plan (which set out the limited circumstances in which earlier exercise may be permitted), and the applicable Award Certificate, the Options granted by this deed will ordinarily become exercisable in accordance with the vesting schedule specified in schedule 1 to this deed, and where applicable, upon satisfaction of any criteria specified in schedule 1 to this deed.</w:t>
      </w:r>
    </w:p>
    <w:p>
      <w:pPr>
        <w:spacing w:after="0" w:line="173" w:lineRule="exact"/>
        <w:rPr>
          <w:rFonts w:ascii="Arial" w:cs="Arial" w:eastAsia="Arial" w:hAnsi="Arial"/>
          <w:sz w:val="18"/>
          <w:szCs w:val="18"/>
          <w:color w:val="auto"/>
        </w:rPr>
      </w:pPr>
    </w:p>
    <w:p>
      <w:pPr>
        <w:ind w:left="760" w:hanging="378"/>
        <w:spacing w:after="0"/>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Options will lapse in the circumstances referred to in the Plan and in this deed.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leaver provisions set out in schedule 2 to this deed shall apply to all Options granted pursuant to this Deed.</w:t>
      </w:r>
    </w:p>
    <w:p>
      <w:pPr>
        <w:spacing w:after="0" w:line="211" w:lineRule="exact"/>
        <w:rPr>
          <w:rFonts w:ascii="Arial" w:cs="Arial" w:eastAsia="Arial" w:hAnsi="Arial"/>
          <w:sz w:val="18"/>
          <w:szCs w:val="18"/>
          <w:color w:val="auto"/>
        </w:rPr>
      </w:pPr>
    </w:p>
    <w:p>
      <w:pPr>
        <w:ind w:left="760" w:right="380" w:hanging="378"/>
        <w:spacing w:after="0" w:line="271" w:lineRule="auto"/>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Options granted by this deed shall be exercisable subject to and in accordance with the rules of the Plan as amended from time to time.</w:t>
      </w:r>
    </w:p>
    <w:p>
      <w:pPr>
        <w:spacing w:after="0" w:line="126" w:lineRule="exact"/>
        <w:rPr>
          <w:rFonts w:ascii="Arial" w:cs="Arial" w:eastAsia="Arial" w:hAnsi="Arial"/>
          <w:sz w:val="18"/>
          <w:szCs w:val="18"/>
          <w:color w:val="auto"/>
        </w:rPr>
      </w:pPr>
    </w:p>
    <w:p>
      <w:pPr>
        <w:ind w:left="760" w:right="20" w:hanging="378"/>
        <w:spacing w:after="0" w:line="271" w:lineRule="auto"/>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On exercise, any Shares to be issued or transferred to a Participant may be required to be issued or transferred to a nominee to hold such Shares on their behalf.</w:t>
      </w:r>
    </w:p>
    <w:p>
      <w:pPr>
        <w:spacing w:after="0" w:line="126" w:lineRule="exact"/>
        <w:rPr>
          <w:rFonts w:ascii="Arial" w:cs="Arial" w:eastAsia="Arial" w:hAnsi="Arial"/>
          <w:sz w:val="18"/>
          <w:szCs w:val="18"/>
          <w:color w:val="auto"/>
        </w:rPr>
      </w:pPr>
    </w:p>
    <w:p>
      <w:pPr>
        <w:ind w:left="760" w:right="380" w:hanging="378"/>
        <w:spacing w:after="0" w:line="271" w:lineRule="auto"/>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Participant to whom an Option is granted under this deed shall be issued with an Award Certificate setting out the specific terms applicable to their Option.</w:t>
      </w:r>
    </w:p>
    <w:p>
      <w:pPr>
        <w:spacing w:after="0" w:line="126" w:lineRule="exact"/>
        <w:rPr>
          <w:rFonts w:ascii="Arial" w:cs="Arial" w:eastAsia="Arial" w:hAnsi="Arial"/>
          <w:sz w:val="18"/>
          <w:szCs w:val="18"/>
          <w:color w:val="auto"/>
        </w:rPr>
      </w:pPr>
    </w:p>
    <w:p>
      <w:pPr>
        <w:ind w:left="760" w:right="40" w:hanging="378"/>
        <w:spacing w:after="0" w:line="247" w:lineRule="auto"/>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This Deed and any Options granted hereunder shall be governed by, and shall be construed in accordance with, the laws of England and Wales. The Company irrevocably submits to the exclusive jurisdiction of the courts of England and Wales in respect of any dispute or claim arising out of or in connection with this deed or its subject matter or formation (including non-contractual disputes or claims).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this document has been executed and delivered as a deed on the date written at the beginning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168846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67" w:lineRule="exact"/>
        <w:rPr>
          <w:sz w:val="20"/>
          <w:szCs w:val="20"/>
          <w:color w:val="auto"/>
        </w:rPr>
      </w:pPr>
    </w:p>
    <w:p>
      <w:pPr>
        <w:ind w:firstLine="8"/>
        <w:spacing w:after="0" w:line="212" w:lineRule="auto"/>
        <w:tabs>
          <w:tab w:leader="none" w:pos="127" w:val="left"/>
        </w:tabs>
        <w:numPr>
          <w:ilvl w:val="0"/>
          <w:numId w:val="238"/>
        </w:numPr>
        <w:rPr>
          <w:rFonts w:ascii="Verdana" w:cs="Verdana" w:eastAsia="Verdana" w:hAnsi="Verdana"/>
          <w:sz w:val="24"/>
          <w:szCs w:val="24"/>
          <w:color w:val="auto"/>
          <w:vertAlign w:val="superscript"/>
        </w:rPr>
      </w:pPr>
      <w:r>
        <w:rPr>
          <w:rFonts w:ascii="Arial" w:cs="Arial" w:eastAsia="Arial" w:hAnsi="Arial"/>
          <w:sz w:val="18"/>
          <w:szCs w:val="18"/>
          <w:color w:val="auto"/>
        </w:rPr>
        <w:t>Use for grants to non-employees (which includes individuals employed through an employer of record). Please note neither scheme permits grants to service providers who are not human beings, and grants to corporate bodies have adverse US legal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 </w:t>
      </w:r>
      <w:r>
        <w:rPr>
          <w:rFonts w:ascii="Arial" w:cs="Arial" w:eastAsia="Arial" w:hAnsi="Arial"/>
          <w:sz w:val="18"/>
          <w:szCs w:val="18"/>
          <w:color w:val="auto"/>
        </w:rPr>
        <w:t>by</w:t>
      </w:r>
      <w:r>
        <w:rPr>
          <w:rFonts w:ascii="Arial" w:cs="Arial" w:eastAsia="Arial" w:hAnsi="Arial"/>
          <w:sz w:val="18"/>
          <w:szCs w:val="18"/>
          <w:b w:val="1"/>
          <w:bCs w:val="1"/>
          <w:color w:val="auto"/>
        </w:rPr>
        <w:t xml:space="preserve"> Rezolve AI plc </w:t>
      </w:r>
      <w:r>
        <w:rPr>
          <w:rFonts w:ascii="Arial" w:cs="Arial" w:eastAsia="Arial" w:hAnsi="Arial"/>
          <w:sz w:val="18"/>
          <w:szCs w:val="18"/>
          <w:color w:val="auto"/>
        </w:rPr>
        <w:t>acting by [NAME],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presence of:</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6699885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Director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3604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33604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ectPr>
          <w:pgSz w:w="11900" w:h="16838" w:orient="portrait"/>
          <w:cols w:equalWidth="0" w:num="2">
            <w:col w:w="5520" w:space="420"/>
            <w:col w:w="4199"/>
          </w:cols>
          <w:pgMar w:left="320" w:top="1440" w:right="1440" w:bottom="1440" w:gutter="0" w:footer="0" w:header="0"/>
        </w:sectPr>
      </w:pPr>
    </w:p>
    <w:bookmarkStart w:id="90" w:name="page91"/>
    <w:bookmarkEnd w:id="90"/>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SCHEDULE 1</w:t>
            </w:r>
          </w:p>
        </w:tc>
        <w:tc>
          <w:tcPr>
            <w:tcW w:w="22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05"/>
        </w:trPr>
        <w:tc>
          <w:tcPr>
            <w:tcW w:w="2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9"/>
              </w:rPr>
              <w:t>PARTICIPANTS</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2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r>
      <w:tr>
        <w:trPr>
          <w:trHeight w:val="140"/>
        </w:trPr>
        <w:tc>
          <w:tcPr>
            <w:tcW w:w="2260" w:type="dxa"/>
            <w:vAlign w:val="bottom"/>
            <w:tcBorders>
              <w:left w:val="single" w:sz="8" w:color="auto"/>
              <w:right w:val="single" w:sz="8" w:color="auto"/>
            </w:tcBorders>
          </w:tcPr>
          <w:p>
            <w:pPr>
              <w:ind w:left="120"/>
              <w:spacing w:after="0" w:line="141" w:lineRule="exact"/>
              <w:rPr>
                <w:sz w:val="20"/>
                <w:szCs w:val="20"/>
                <w:color w:val="auto"/>
              </w:rPr>
            </w:pPr>
            <w:r>
              <w:rPr>
                <w:rFonts w:ascii="Arial" w:cs="Arial" w:eastAsia="Arial" w:hAnsi="Arial"/>
                <w:sz w:val="16"/>
                <w:szCs w:val="16"/>
                <w:b w:val="1"/>
                <w:bCs w:val="1"/>
                <w:color w:val="auto"/>
              </w:rPr>
              <w:t>Name</w:t>
            </w:r>
          </w:p>
        </w:tc>
        <w:tc>
          <w:tcPr>
            <w:tcW w:w="226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6"/>
                <w:szCs w:val="16"/>
                <w:b w:val="1"/>
                <w:bCs w:val="1"/>
                <w:color w:val="auto"/>
              </w:rPr>
              <w:t>Number of Shares</w:t>
            </w:r>
          </w:p>
        </w:tc>
        <w:tc>
          <w:tcPr>
            <w:tcW w:w="224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6"/>
                <w:szCs w:val="16"/>
                <w:b w:val="1"/>
                <w:bCs w:val="1"/>
                <w:color w:val="auto"/>
              </w:rPr>
              <w:t>Exercise Price</w:t>
            </w:r>
          </w:p>
        </w:tc>
        <w:tc>
          <w:tcPr>
            <w:tcW w:w="224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6"/>
                <w:szCs w:val="16"/>
                <w:b w:val="1"/>
                <w:bCs w:val="1"/>
                <w:color w:val="auto"/>
              </w:rPr>
              <w:t>Vesting</w:t>
            </w:r>
          </w:p>
        </w:tc>
        <w:tc>
          <w:tcPr>
            <w:tcW w:w="2240" w:type="dxa"/>
            <w:vAlign w:val="bottom"/>
            <w:tcBorders>
              <w:right w:val="single" w:sz="8" w:color="auto"/>
            </w:tcBorders>
          </w:tcPr>
          <w:p>
            <w:pPr>
              <w:ind w:left="100"/>
              <w:spacing w:after="0" w:line="141" w:lineRule="exact"/>
              <w:rPr>
                <w:sz w:val="20"/>
                <w:szCs w:val="20"/>
                <w:color w:val="auto"/>
              </w:rPr>
            </w:pPr>
            <w:r>
              <w:rPr>
                <w:rFonts w:ascii="Arial" w:cs="Arial" w:eastAsia="Arial" w:hAnsi="Arial"/>
                <w:sz w:val="16"/>
                <w:szCs w:val="16"/>
                <w:b w:val="1"/>
                <w:bCs w:val="1"/>
                <w:color w:val="auto"/>
              </w:rPr>
              <w:t>Vesting Schedule</w:t>
            </w:r>
          </w:p>
        </w:tc>
      </w:tr>
      <w:tr>
        <w:trPr>
          <w:trHeight w:val="238"/>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Commencement Date</w:t>
            </w:r>
          </w:p>
        </w:tc>
        <w:tc>
          <w:tcPr>
            <w:tcW w:w="2240" w:type="dxa"/>
            <w:vAlign w:val="bottom"/>
            <w:tcBorders>
              <w:bottom w:val="single" w:sz="8" w:color="auto"/>
              <w:right w:val="single" w:sz="8" w:color="auto"/>
            </w:tcBorders>
          </w:tcPr>
          <w:p>
            <w:pPr>
              <w:spacing w:after="0"/>
              <w:rPr>
                <w:sz w:val="20"/>
                <w:szCs w:val="20"/>
                <w:color w:val="auto"/>
              </w:rPr>
            </w:pPr>
          </w:p>
        </w:tc>
      </w:tr>
      <w:tr>
        <w:trPr>
          <w:trHeight w:val="179"/>
        </w:trPr>
        <w:tc>
          <w:tcPr>
            <w:tcW w:w="2260" w:type="dxa"/>
            <w:vAlign w:val="bottom"/>
            <w:tcBorders>
              <w:left w:val="single" w:sz="8" w:color="auto"/>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[Vesting Schedule 1]</w:t>
            </w:r>
          </w:p>
        </w:tc>
      </w:tr>
      <w:tr>
        <w:trPr>
          <w:trHeight w:val="196"/>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96"/>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196"/>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 1</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color w:val="auto"/>
        </w:rPr>
        <w:t>The Options shall vest in full and become exercisable according to the following table.</w:t>
      </w:r>
    </w:p>
    <w:p>
      <w:pPr>
        <w:spacing w:after="0" w:line="200" w:lineRule="exact"/>
        <w:rPr>
          <w:sz w:val="20"/>
          <w:szCs w:val="20"/>
          <w:color w:val="auto"/>
        </w:rPr>
      </w:pPr>
    </w:p>
    <w:p>
      <w:pPr>
        <w:spacing w:after="0" w:line="238" w:lineRule="exact"/>
        <w:rPr>
          <w:sz w:val="20"/>
          <w:szCs w:val="20"/>
          <w:color w:val="auto"/>
        </w:rPr>
      </w:pPr>
    </w:p>
    <w:tbl>
      <w:tblPr>
        <w:tblLayout w:type="fixed"/>
        <w:tblInd w:w="1820" w:type="dxa"/>
        <w:tblCellMar>
          <w:top w:w="0" w:type="dxa"/>
          <w:left w:w="0" w:type="dxa"/>
          <w:bottom w:w="0" w:type="dxa"/>
          <w:right w:w="0" w:type="dxa"/>
        </w:tblCellMar>
      </w:tblPr>
      <w:tr>
        <w:trPr>
          <w:trHeight w:val="172"/>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Date</w:t>
            </w:r>
          </w:p>
        </w:tc>
        <w:tc>
          <w:tcPr>
            <w:tcW w:w="1500" w:type="dxa"/>
            <w:vAlign w:val="bottom"/>
          </w:tcPr>
          <w:p>
            <w:pPr>
              <w:spacing w:after="0"/>
              <w:rPr>
                <w:sz w:val="14"/>
                <w:szCs w:val="14"/>
                <w:color w:val="auto"/>
              </w:rPr>
            </w:pPr>
          </w:p>
        </w:tc>
        <w:tc>
          <w:tcPr>
            <w:tcW w:w="3080" w:type="dxa"/>
            <w:vAlign w:val="bottom"/>
            <w:tcBorders>
              <w:bottom w:val="single" w:sz="8" w:color="auto"/>
            </w:tcBorders>
          </w:tcPr>
          <w:p>
            <w:pPr>
              <w:jc w:val="right"/>
              <w:ind w:right="728"/>
              <w:spacing w:after="0"/>
              <w:rPr>
                <w:sz w:val="20"/>
                <w:szCs w:val="20"/>
                <w:color w:val="auto"/>
              </w:rPr>
            </w:pPr>
            <w:r>
              <w:rPr>
                <w:rFonts w:ascii="Verdana" w:cs="Verdana" w:eastAsia="Verdana" w:hAnsi="Verdana"/>
                <w:sz w:val="14"/>
                <w:szCs w:val="14"/>
                <w:color w:val="auto"/>
              </w:rPr>
              <w:t>% of Options Vested</w:t>
            </w:r>
          </w:p>
        </w:tc>
      </w:tr>
      <w:tr>
        <w:trPr>
          <w:trHeight w:val="210"/>
        </w:trPr>
        <w:tc>
          <w:tcPr>
            <w:tcW w:w="3040" w:type="dxa"/>
            <w:vAlign w:val="bottom"/>
            <w:shd w:val="clear" w:color="auto" w:fill="CCEEFF"/>
          </w:tcPr>
          <w:p>
            <w:pPr>
              <w:spacing w:after="0"/>
              <w:rPr>
                <w:sz w:val="20"/>
                <w:szCs w:val="20"/>
                <w:color w:val="auto"/>
              </w:rPr>
            </w:pPr>
            <w:r>
              <w:rPr>
                <w:rFonts w:ascii="Verdana" w:cs="Verdana" w:eastAsia="Verdana" w:hAnsi="Verdana"/>
                <w:sz w:val="14"/>
                <w:szCs w:val="14"/>
                <w:color w:val="auto"/>
              </w:rPr>
              <w:t>Vesting Commencement Date</w:t>
            </w:r>
          </w:p>
        </w:tc>
        <w:tc>
          <w:tcPr>
            <w:tcW w:w="4580" w:type="dxa"/>
            <w:vAlign w:val="bottom"/>
            <w:gridSpan w:val="2"/>
            <w:shd w:val="clear" w:color="auto" w:fill="CCEEFF"/>
          </w:tcPr>
          <w:p>
            <w:pPr>
              <w:jc w:val="right"/>
              <w:ind w:right="2768"/>
              <w:spacing w:after="0"/>
              <w:rPr>
                <w:sz w:val="20"/>
                <w:szCs w:val="20"/>
                <w:color w:val="auto"/>
              </w:rPr>
            </w:pPr>
            <w:r>
              <w:rPr>
                <w:rFonts w:ascii="Verdana" w:cs="Verdana" w:eastAsia="Verdana" w:hAnsi="Verdana"/>
                <w:sz w:val="14"/>
                <w:szCs w:val="14"/>
                <w:color w:val="auto"/>
              </w:rPr>
              <w:t>0%</w:t>
            </w:r>
          </w:p>
        </w:tc>
      </w:tr>
      <w:tr>
        <w:trPr>
          <w:trHeight w:val="216"/>
        </w:trPr>
        <w:tc>
          <w:tcPr>
            <w:tcW w:w="30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Schedule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Options shall vest in full and become exercisable as follows: [</w:t>
      </w:r>
      <w:r>
        <w:rPr>
          <w:rFonts w:ascii="Arial" w:cs="Arial" w:eastAsia="Arial" w:hAnsi="Arial"/>
          <w:sz w:val="18"/>
          <w:szCs w:val="18"/>
          <w:i w:val="1"/>
          <w:iCs w:val="1"/>
          <w:color w:val="auto"/>
        </w:rPr>
        <w:t>insert performance criteria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LEAVER PROVISIONS</w:t>
      </w:r>
    </w:p>
    <w:p>
      <w:pPr>
        <w:spacing w:after="0" w:line="180" w:lineRule="exact"/>
        <w:rPr>
          <w:sz w:val="20"/>
          <w:szCs w:val="20"/>
          <w:color w:val="auto"/>
        </w:rPr>
      </w:pPr>
    </w:p>
    <w:p>
      <w:pPr>
        <w:ind w:left="760" w:hanging="378"/>
        <w:spacing w:after="0"/>
        <w:tabs>
          <w:tab w:leader="none" w:pos="7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on Option</w:t>
      </w:r>
    </w:p>
    <w:p>
      <w:pPr>
        <w:spacing w:after="0" w:line="198" w:lineRule="exact"/>
        <w:rPr>
          <w:sz w:val="20"/>
          <w:szCs w:val="20"/>
          <w:color w:val="auto"/>
        </w:rPr>
      </w:pPr>
    </w:p>
    <w:p>
      <w:pPr>
        <w:jc w:val="both"/>
        <w:ind w:left="760" w:firstLine="63"/>
        <w:spacing w:after="0" w:line="232" w:lineRule="auto"/>
        <w:rPr>
          <w:sz w:val="20"/>
          <w:szCs w:val="20"/>
          <w:color w:val="auto"/>
        </w:rPr>
      </w:pPr>
      <w:r>
        <w:rPr>
          <w:rFonts w:ascii="Arial" w:cs="Arial" w:eastAsia="Arial" w:hAnsi="Arial"/>
          <w:sz w:val="18"/>
          <w:szCs w:val="18"/>
          <w:color w:val="auto"/>
        </w:rPr>
        <w:t>Except as the Board may otherwise determine and regardless of any adverse or potentially adverse tax or other consequences resulting from the following, if the Participant ceases to be an Eligible Person by reason of their termination for cause (or their ceasing to be an Eligible Person in circumstances that would justify their termination for cause) [or their resignation for any reason other than good reason]</w:t>
      </w:r>
      <w:r>
        <w:rPr>
          <w:rFonts w:ascii="Arial" w:cs="Arial" w:eastAsia="Arial" w:hAnsi="Arial"/>
          <w:sz w:val="24"/>
          <w:szCs w:val="24"/>
          <w:color w:val="auto"/>
          <w:vertAlign w:val="superscript"/>
        </w:rPr>
        <w:t>2</w:t>
      </w:r>
      <w:r>
        <w:rPr>
          <w:rFonts w:ascii="Arial" w:cs="Arial" w:eastAsia="Arial" w:hAnsi="Arial"/>
          <w:sz w:val="18"/>
          <w:szCs w:val="18"/>
          <w:color w:val="auto"/>
        </w:rPr>
        <w:t>, their Options (whether vested but not yet exercised, or unvested) shall Expire immediately on the Option Termination Date and be of no further force of effect whatsoever. If the Participant ceases to be an Eligible Person for any other reason, any unvested Options held by such Option Participant shall Expire on the Option Termination Date and be of no further force or effect whatsoever. In either case, such Participant shall no longer be eligible for a grant of Options. To the extent any Option subsists, it may, subject to its Expiring earlier in accordance with the terms of the Plan, be exercised within six months of the Option Termination Date, save (subject to Section 9.5 of the Plan) in the case of death where the Option may be exercised within 12 months of the date of death, following which the Option shall, to the extent unexercised, Expire and cease to be capable of exercise.</w:t>
      </w:r>
    </w:p>
    <w:p>
      <w:pPr>
        <w:spacing w:after="0" w:line="378" w:lineRule="exact"/>
        <w:rPr>
          <w:sz w:val="20"/>
          <w:szCs w:val="20"/>
          <w:color w:val="auto"/>
        </w:rPr>
      </w:pPr>
    </w:p>
    <w:p>
      <w:pPr>
        <w:jc w:val="both"/>
        <w:ind w:left="1500" w:hanging="743"/>
        <w:spacing w:after="0" w:line="236" w:lineRule="auto"/>
        <w:tabs>
          <w:tab w:leader="none" w:pos="150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"cause". </w:t>
      </w:r>
      <w:r>
        <w:rPr>
          <w:rFonts w:ascii="Arial" w:cs="Arial" w:eastAsia="Arial" w:hAnsi="Arial"/>
          <w:sz w:val="18"/>
          <w:szCs w:val="18"/>
          <w:color w:val="auto"/>
        </w:rPr>
        <w:t>For the purposes of the Option, "cause" shall have the meaning given to such term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service agreement or similar agreement between the Company (or the Participant's employer or engaging company, if different) and such Participant, or if no such agreement exists or if “cause” is not defined therein, “cause” means (i) the Participant’s material act or acts of personal dishonesty taken in connection with the Participant’s responsibilities that has, or could be reasonably expected to have, an adverse impact on the performance of the Participant’s duties to the Company or any of its Group Companies or otherwise result in material injury to the reputation or business of the Company or any of its Affiliates or Group Companies; (ii) the Participant’s act(s) of gross negligence or wilful misconduct in the course of the Participant’s service; (iii) wilful failure or refusal by the Participant to perform in any material respect the Participant’s duties or responsibilities, (iv) misappropriation (or attempted misappropriation) by the Participant of any assets or material business opportunities of the Company or any of its Affiliates or Group Companies,</w:t>
      </w:r>
    </w:p>
    <w:p>
      <w:pPr>
        <w:spacing w:after="0" w:line="7" w:lineRule="exact"/>
        <w:rPr>
          <w:rFonts w:ascii="Arial" w:cs="Arial" w:eastAsia="Arial" w:hAnsi="Arial"/>
          <w:sz w:val="18"/>
          <w:szCs w:val="18"/>
          <w:color w:val="auto"/>
        </w:rPr>
      </w:pPr>
    </w:p>
    <w:p>
      <w:pPr>
        <w:jc w:val="both"/>
        <w:ind w:left="1500" w:firstLine="6"/>
        <w:spacing w:after="0" w:line="236" w:lineRule="auto"/>
        <w:tabs>
          <w:tab w:leader="none" w:pos="181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embezzlement or fraud committed (or attempted) by the Participant, at the Participant’s direction, or with the Participant’s prior actual knowledge, (vi) the Participant’s conviction of any criminal charge (other than a road traffic offence for which no custodial sentence is imposed), that has, or could be reasonably expected to have, an adverse impact on the performance of the Participant’s duties to the Company or any of its Group Companies or otherwise result in a material injury to the reputation or business of the Company or any of its Affiliates or Group Companies, (vii) any material violation by the Participant of the written policies of the Company, including but not limited to those relating to sexual harassment or business conduct, and those otherwise set forth in the manuals or statements of policy of the Company that has, or could be reasonably expected to have, a material adverse impact on the performance of the Participant’s duties to the Company or any of its Affiliates or otherwise result in material injury to the reputation or business of the Company or any of its Affiliates or Group Companies, or (viii) the Participant’s material breach of any restrictive covenants to which the Participant is subject. If, within ninety (90) days subsequent to the Participant’s termination for any reason other than by the Company for cause, the Company determines that the Participant’s service could have been terminated for cause, such Participant’s employment or provisions of services, as applicable,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16884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175" w:lineRule="exact"/>
        <w:rPr>
          <w:sz w:val="20"/>
          <w:szCs w:val="20"/>
          <w:color w:val="auto"/>
        </w:rPr>
      </w:pPr>
    </w:p>
    <w:p>
      <w:pPr>
        <w:ind w:left="140" w:hanging="132"/>
        <w:spacing w:after="0"/>
        <w:tabs>
          <w:tab w:leader="none" w:pos="140" w:val="left"/>
        </w:tabs>
        <w:numPr>
          <w:ilvl w:val="0"/>
          <w:numId w:val="241"/>
        </w:numPr>
        <w:rPr>
          <w:rFonts w:ascii="Verdana" w:cs="Verdana" w:eastAsia="Verdana" w:hAnsi="Verdana"/>
          <w:sz w:val="24"/>
          <w:szCs w:val="24"/>
          <w:color w:val="auto"/>
          <w:vertAlign w:val="superscript"/>
        </w:rPr>
      </w:pPr>
      <w:r>
        <w:rPr>
          <w:rFonts w:ascii="Verdana" w:cs="Verdana" w:eastAsia="Verdana" w:hAnsi="Verdana"/>
          <w:sz w:val="18"/>
          <w:szCs w:val="18"/>
          <w:color w:val="auto"/>
        </w:rPr>
        <w:t>Include if participants will be treated as good leavers if they resign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3" w:lineRule="exact"/>
        <w:rPr>
          <w:sz w:val="20"/>
          <w:szCs w:val="20"/>
          <w:color w:val="auto"/>
        </w:rPr>
      </w:pPr>
    </w:p>
    <w:p>
      <w:pPr>
        <w:jc w:val="both"/>
        <w:ind w:left="1492"/>
        <w:spacing w:after="0" w:line="247" w:lineRule="auto"/>
        <w:rPr>
          <w:sz w:val="20"/>
          <w:szCs w:val="20"/>
          <w:color w:val="auto"/>
        </w:rPr>
      </w:pPr>
      <w:r>
        <w:rPr>
          <w:rFonts w:ascii="Arial" w:cs="Arial" w:eastAsia="Arial" w:hAnsi="Arial"/>
          <w:sz w:val="18"/>
          <w:szCs w:val="18"/>
          <w:color w:val="auto"/>
        </w:rPr>
        <w:t>deemed to have been terminated for cause for all purposes. For purposes of this Plan, “cause” shall also include a resignation by the Participant (without good reason, as defined in this Deed) at a time at which the Company could have terminated such Participant for cause. The existence or non-existence of cause with respect to such Participant shall be determined in good faith by the Board.</w:t>
      </w:r>
    </w:p>
    <w:p>
      <w:pPr>
        <w:spacing w:after="0" w:line="160" w:lineRule="exact"/>
        <w:rPr>
          <w:sz w:val="20"/>
          <w:szCs w:val="20"/>
          <w:color w:val="auto"/>
        </w:rPr>
      </w:pPr>
    </w:p>
    <w:p>
      <w:pPr>
        <w:jc w:val="both"/>
        <w:ind w:left="1492" w:hanging="743"/>
        <w:spacing w:after="0" w:line="249" w:lineRule="auto"/>
        <w:tabs>
          <w:tab w:leader="none" w:pos="1492"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Definition of "good reason".</w:t>
      </w:r>
      <w:r>
        <w:rPr>
          <w:rFonts w:ascii="Arial" w:cs="Arial" w:eastAsia="Arial" w:hAnsi="Arial"/>
          <w:sz w:val="18"/>
          <w:szCs w:val="18"/>
          <w:color w:val="auto"/>
        </w:rPr>
        <w:t xml:space="preserve"> For the purposes of the Option, "good reason" shall have the meaning given to such term in the Participant's employment or service agreement or similar agreement between the Company (or the Participant's employer or engaging company, if different); or such circumstances (if no such agreement exists or if “good reason” is not defined therein) or (if such agreement exists and contains such definition) such other circumstances as the Board may in its absolute discretion determine.]</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16884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101" w:lineRule="exact"/>
        <w:rPr>
          <w:sz w:val="20"/>
          <w:szCs w:val="20"/>
          <w:color w:val="auto"/>
        </w:rPr>
      </w:pPr>
    </w:p>
    <w:p>
      <w:pPr>
        <w:ind w:left="132" w:hanging="132"/>
        <w:spacing w:after="0"/>
        <w:tabs>
          <w:tab w:leader="none" w:pos="132" w:val="left"/>
        </w:tabs>
        <w:numPr>
          <w:ilvl w:val="0"/>
          <w:numId w:val="243"/>
        </w:numPr>
        <w:rPr>
          <w:rFonts w:ascii="Verdana" w:cs="Verdana" w:eastAsia="Verdana" w:hAnsi="Verdana"/>
          <w:sz w:val="24"/>
          <w:szCs w:val="24"/>
          <w:color w:val="auto"/>
          <w:vertAlign w:val="superscript"/>
        </w:rPr>
      </w:pPr>
      <w:r>
        <w:rPr>
          <w:rFonts w:ascii="Verdana" w:cs="Verdana" w:eastAsia="Verdana" w:hAnsi="Verdana"/>
          <w:sz w:val="18"/>
          <w:szCs w:val="18"/>
          <w:color w:val="auto"/>
        </w:rPr>
        <w:t>Use only if "resignation for any reason other than good reason" wording is to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93" w:name="page94"/>
    <w:bookmarkEnd w:id="93"/>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Award Certificate is dated [●] 2025.</w:t>
      </w:r>
    </w:p>
    <w:p>
      <w:pPr>
        <w:spacing w:after="0" w:line="212"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REZOLVE AI PLC (registered in England and Wales with company number 14573691) whose registered office is at 21 Sackville Street, London, England, W1S 3DN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83" w:lineRule="exact"/>
        <w:rPr>
          <w:sz w:val="20"/>
          <w:szCs w:val="20"/>
          <w:color w:val="auto"/>
        </w:rPr>
      </w:pPr>
    </w:p>
    <w:p>
      <w:pPr>
        <w:ind w:left="760" w:hanging="378"/>
        <w:spacing w:after="0"/>
        <w:tabs>
          <w:tab w:leader="none" w:pos="7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Company has adopted [Annex 1 to]</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the Rezolve AI Plc Long Term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ind w:left="760" w:right="860" w:hanging="378"/>
        <w:spacing w:after="0" w:line="260" w:lineRule="auto"/>
        <w:tabs>
          <w:tab w:leader="none" w:pos="7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Company has by Deed of Grant dated [●] 2025 (the "</w:t>
      </w:r>
      <w:r>
        <w:rPr>
          <w:rFonts w:ascii="Arial" w:cs="Arial" w:eastAsia="Arial" w:hAnsi="Arial"/>
          <w:sz w:val="18"/>
          <w:szCs w:val="18"/>
          <w:b w:val="1"/>
          <w:bCs w:val="1"/>
          <w:color w:val="auto"/>
        </w:rPr>
        <w:t>Deed of Grant</w:t>
      </w:r>
      <w:r>
        <w:rPr>
          <w:rFonts w:ascii="Arial" w:cs="Arial" w:eastAsia="Arial" w:hAnsi="Arial"/>
          <w:sz w:val="18"/>
          <w:szCs w:val="18"/>
          <w:color w:val="auto"/>
        </w:rPr>
        <w:t>") granted an option under the Plan to [NAME] of [ADDRESS] ("</w:t>
      </w:r>
      <w:r>
        <w:rPr>
          <w:rFonts w:ascii="Arial" w:cs="Arial" w:eastAsia="Arial" w:hAnsi="Arial"/>
          <w:sz w:val="18"/>
          <w:szCs w:val="18"/>
          <w:b w:val="1"/>
          <w:bCs w:val="1"/>
          <w:color w:val="auto"/>
        </w:rPr>
        <w:t>you</w:t>
      </w:r>
      <w:r>
        <w:rPr>
          <w:rFonts w:ascii="Arial" w:cs="Arial" w:eastAsia="Arial" w:hAnsi="Arial"/>
          <w:sz w:val="18"/>
          <w:szCs w:val="18"/>
          <w:color w:val="auto"/>
        </w:rPr>
        <w:t>" or the "</w:t>
      </w:r>
      <w:r>
        <w:rPr>
          <w:rFonts w:ascii="Arial" w:cs="Arial" w:eastAsia="Arial" w:hAnsi="Arial"/>
          <w:sz w:val="18"/>
          <w:szCs w:val="18"/>
          <w:b w:val="1"/>
          <w:bCs w:val="1"/>
          <w:color w:val="auto"/>
        </w:rPr>
        <w:t>Participant</w:t>
      </w:r>
      <w:r>
        <w:rPr>
          <w:rFonts w:ascii="Arial" w:cs="Arial" w:eastAsia="Arial" w:hAnsi="Arial"/>
          <w:sz w:val="18"/>
          <w:szCs w:val="18"/>
          <w:color w:val="auto"/>
        </w:rPr>
        <w:t>"), on the terms specified in this Award Certificate (the "</w:t>
      </w:r>
      <w:r>
        <w:rPr>
          <w:rFonts w:ascii="Arial" w:cs="Arial" w:eastAsia="Arial" w:hAnsi="Arial"/>
          <w:sz w:val="18"/>
          <w:szCs w:val="18"/>
          <w:b w:val="1"/>
          <w:bCs w:val="1"/>
          <w:color w:val="auto"/>
        </w:rPr>
        <w:t>Award Certificate</w:t>
      </w:r>
      <w:r>
        <w:rPr>
          <w:rFonts w:ascii="Arial" w:cs="Arial" w:eastAsia="Arial" w:hAnsi="Arial"/>
          <w:sz w:val="18"/>
          <w:szCs w:val="18"/>
          <w:color w:val="auto"/>
        </w:rPr>
        <w:t>").</w:t>
      </w:r>
    </w:p>
    <w:p>
      <w:pPr>
        <w:spacing w:after="0" w:line="357" w:lineRule="exact"/>
        <w:rPr>
          <w:rFonts w:ascii="Arial" w:cs="Arial" w:eastAsia="Arial" w:hAnsi="Arial"/>
          <w:sz w:val="18"/>
          <w:szCs w:val="18"/>
          <w:color w:val="auto"/>
        </w:rPr>
      </w:pPr>
    </w:p>
    <w:p>
      <w:pPr>
        <w:ind w:left="760" w:hanging="752"/>
        <w:spacing w:after="0"/>
        <w:tabs>
          <w:tab w:leader="none" w:pos="7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11" w:lineRule="exact"/>
        <w:rPr>
          <w:rFonts w:ascii="Arial" w:cs="Arial" w:eastAsia="Arial" w:hAnsi="Arial"/>
          <w:sz w:val="18"/>
          <w:szCs w:val="18"/>
          <w:b w:val="1"/>
          <w:bCs w:val="1"/>
          <w:color w:val="auto"/>
        </w:rPr>
      </w:pPr>
    </w:p>
    <w:p>
      <w:pPr>
        <w:ind w:left="76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Terms defined in the rules of the Plan shall have the same meaning in this Award Certificate as in the rules of the Plan, unless the context requires otherwise. The rules of interpretation in the Plan also apply to this Award Certificate.</w:t>
      </w:r>
    </w:p>
    <w:p>
      <w:pPr>
        <w:spacing w:after="0" w:line="45" w:lineRule="exact"/>
        <w:rPr>
          <w:rFonts w:ascii="Arial" w:cs="Arial" w:eastAsia="Arial" w:hAnsi="Arial"/>
          <w:sz w:val="18"/>
          <w:szCs w:val="18"/>
          <w:b w:val="1"/>
          <w:bCs w:val="1"/>
          <w:color w:val="auto"/>
        </w:rPr>
      </w:pPr>
    </w:p>
    <w:p>
      <w:pPr>
        <w:ind w:left="760" w:hanging="752"/>
        <w:spacing w:after="0"/>
        <w:tabs>
          <w:tab w:leader="none" w:pos="7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p>
    <w:p>
      <w:pPr>
        <w:spacing w:after="0" w:line="212" w:lineRule="exact"/>
        <w:rPr>
          <w:sz w:val="20"/>
          <w:szCs w:val="20"/>
          <w:color w:val="auto"/>
        </w:rPr>
      </w:pPr>
    </w:p>
    <w:p>
      <w:pPr>
        <w:jc w:val="both"/>
        <w:ind w:left="760" w:hanging="748"/>
        <w:spacing w:after="0" w:line="281"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Company has granted you an option under the Plan (the "</w:t>
      </w:r>
      <w:r>
        <w:rPr>
          <w:rFonts w:ascii="Arial" w:cs="Arial" w:eastAsia="Arial" w:hAnsi="Arial"/>
          <w:sz w:val="18"/>
          <w:szCs w:val="18"/>
          <w:b w:val="1"/>
          <w:bCs w:val="1"/>
          <w:color w:val="auto"/>
        </w:rPr>
        <w:t>Option</w:t>
      </w:r>
      <w:r>
        <w:rPr>
          <w:rFonts w:ascii="Arial" w:cs="Arial" w:eastAsia="Arial" w:hAnsi="Arial"/>
          <w:sz w:val="18"/>
          <w:szCs w:val="18"/>
          <w:color w:val="auto"/>
        </w:rPr>
        <w:t>") to acquire [NUMBER OF SHARES] ordinary shares in the Company (the "</w:t>
      </w:r>
      <w:r>
        <w:rPr>
          <w:rFonts w:ascii="Arial" w:cs="Arial" w:eastAsia="Arial" w:hAnsi="Arial"/>
          <w:sz w:val="18"/>
          <w:szCs w:val="18"/>
          <w:b w:val="1"/>
          <w:bCs w:val="1"/>
          <w:color w:val="auto"/>
        </w:rPr>
        <w:t>Shares</w:t>
      </w:r>
      <w:r>
        <w:rPr>
          <w:rFonts w:ascii="Arial" w:cs="Arial" w:eastAsia="Arial" w:hAnsi="Arial"/>
          <w:sz w:val="18"/>
          <w:szCs w:val="18"/>
          <w:color w:val="auto"/>
        </w:rPr>
        <w:t>") at an Option Price of £[INSERT PRICE].</w:t>
      </w:r>
    </w:p>
    <w:p>
      <w:pPr>
        <w:spacing w:after="0" w:line="69" w:lineRule="exact"/>
        <w:rPr>
          <w:sz w:val="20"/>
          <w:szCs w:val="20"/>
          <w:color w:val="auto"/>
        </w:rPr>
      </w:pPr>
    </w:p>
    <w:p>
      <w:pPr>
        <w:jc w:val="both"/>
        <w:ind w:left="760" w:hanging="748"/>
        <w:spacing w:after="0" w:line="253" w:lineRule="auto"/>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Option shall be subject in all respects to the provisions of the Plan, the terms and conditions of which are hereby expressly incorporated by reference, as the same may be amended from time to time in accordance therewith. A copy of the Plan is [available on the Company's intranet] [enclosed].</w:t>
      </w:r>
    </w:p>
    <w:p>
      <w:pPr>
        <w:spacing w:after="0" w:line="88"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Options shall vest in full and become exercisable according [to the following table. For these purposes, the "Vesting Commencement Date" is_____________]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spacing w:after="0"/>
              <w:rPr>
                <w:sz w:val="18"/>
                <w:szCs w:val="18"/>
                <w:color w:val="auto"/>
              </w:rPr>
            </w:pPr>
          </w:p>
        </w:tc>
      </w:tr>
      <w:tr>
        <w:trPr>
          <w:trHeight w:val="239"/>
        </w:trPr>
        <w:tc>
          <w:tcPr>
            <w:tcW w:w="346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-147320</wp:posOffset>
            </wp:positionV>
            <wp:extent cx="4843145" cy="454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4843145" cy="4540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performance criteria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168846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hanging="112"/>
        <w:spacing w:after="0"/>
        <w:tabs>
          <w:tab w:leader="none" w:pos="120" w:val="left"/>
        </w:tabs>
        <w:numPr>
          <w:ilvl w:val="0"/>
          <w:numId w:val="246"/>
        </w:numPr>
        <w:rPr>
          <w:rFonts w:ascii="Arial" w:cs="Arial" w:eastAsia="Arial" w:hAnsi="Arial"/>
          <w:sz w:val="24"/>
          <w:szCs w:val="24"/>
          <w:color w:val="auto"/>
          <w:vertAlign w:val="superscript"/>
        </w:rPr>
      </w:pPr>
      <w:r>
        <w:rPr>
          <w:rFonts w:ascii="Arial" w:cs="Arial" w:eastAsia="Arial" w:hAnsi="Arial"/>
          <w:sz w:val="18"/>
          <w:szCs w:val="18"/>
          <w:color w:val="auto"/>
        </w:rPr>
        <w:t>Use if granting to non-employee (including someone employed through an EoR)</w:t>
      </w: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 of Options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110490</wp:posOffset>
            </wp:positionV>
            <wp:extent cx="19627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ectPr>
          <w:pgSz w:w="11900" w:h="16838" w:orient="portrait"/>
          <w:cols w:equalWidth="0" w:num="2">
            <w:col w:w="6600" w:space="480"/>
            <w:col w:w="4160"/>
          </w:cols>
          <w:pgMar w:left="320" w:top="1440" w:right="339" w:bottom="1440" w:gutter="0" w:footer="0" w:header="0"/>
          <w:type w:val="continuous"/>
        </w:sectPr>
      </w:pPr>
    </w:p>
    <w:bookmarkStart w:id="94" w:name="page95"/>
    <w:bookmarkEnd w:id="94"/>
    <w:p>
      <w:pPr>
        <w:spacing w:after="0" w:line="193" w:lineRule="exact"/>
        <w:rPr>
          <w:sz w:val="20"/>
          <w:szCs w:val="20"/>
          <w:color w:val="auto"/>
        </w:rPr>
      </w:pPr>
    </w:p>
    <w:p>
      <w:pPr>
        <w:ind w:left="760" w:hanging="752"/>
        <w:spacing w:after="0"/>
        <w:tabs>
          <w:tab w:leader="none" w:pos="7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w:t>
      </w:r>
    </w:p>
    <w:p>
      <w:pPr>
        <w:spacing w:after="0" w:line="212" w:lineRule="exact"/>
        <w:rPr>
          <w:sz w:val="20"/>
          <w:szCs w:val="20"/>
          <w:color w:val="auto"/>
        </w:rPr>
      </w:pPr>
    </w:p>
    <w:p>
      <w:pPr>
        <w:jc w:val="both"/>
        <w:ind w:left="760" w:right="20" w:hanging="748"/>
        <w:spacing w:after="0" w:line="271"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 the purposes of Section 9 of the Plan, the extent to which you may have any right to exercise an Option on or after the Option Termination Date is set out in Schedule 1.</w:t>
      </w:r>
    </w:p>
    <w:p>
      <w:pPr>
        <w:spacing w:after="0" w:line="86" w:lineRule="exact"/>
        <w:rPr>
          <w:sz w:val="20"/>
          <w:szCs w:val="20"/>
          <w:color w:val="auto"/>
        </w:rPr>
      </w:pPr>
    </w:p>
    <w:p>
      <w:pPr>
        <w:jc w:val="both"/>
        <w:ind w:left="760" w:right="20" w:hanging="748"/>
        <w:spacing w:after="0" w:line="271" w:lineRule="auto"/>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Option was granted under, and subject to, the rules of the Plan and the Deed of Grant. In the event of any conflict between the Award Certificate and the Plan and the Deed of Grant, the Plan and Deed of Grant shall prevail.</w:t>
      </w:r>
    </w:p>
    <w:p>
      <w:pPr>
        <w:spacing w:after="0" w:line="73"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Option is exercisable only in accordance with, and subject to, the rules of the Plan. If it is exercised in part, a replacement Award Certificate for the balance of Shares under the Option will be sent to you.</w:t>
      </w:r>
    </w:p>
    <w:p>
      <w:pPr>
        <w:spacing w:after="0" w:line="86" w:lineRule="exact"/>
        <w:rPr>
          <w:sz w:val="20"/>
          <w:szCs w:val="20"/>
          <w:color w:val="auto"/>
        </w:rPr>
      </w:pPr>
    </w:p>
    <w:p>
      <w:pPr>
        <w:jc w:val="both"/>
        <w:ind w:left="760" w:hanging="748"/>
        <w:spacing w:after="0" w:line="242" w:lineRule="auto"/>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grant of an Option does not form part of your entitlement to remuneration or benefits pursuant to your contract of employment or services agreement. In particular, the rights comprised in your Option shall not afford you any right or additional right to compensation or damages in consequence of the loss or termination of your office, position, or employment or which you may suffer by reason of becoming unable to exercise an Option in consequence of the loss or termination of your employment. This is the case whether the termination of employment is lawful or not, including termination by the Company in breach of your employment contract or services agreement.</w:t>
      </w:r>
    </w:p>
    <w:p>
      <w:pPr>
        <w:spacing w:after="0" w:line="111"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Options granted pursuant to this Award Certificate shall not be assignable or transferable by you, except in accordance with the Plan.</w:t>
      </w:r>
    </w:p>
    <w:p>
      <w:pPr>
        <w:spacing w:after="0" w:line="73" w:lineRule="exact"/>
        <w:rPr>
          <w:sz w:val="20"/>
          <w:szCs w:val="20"/>
          <w:color w:val="auto"/>
        </w:rPr>
      </w:pPr>
    </w:p>
    <w:p>
      <w:pPr>
        <w:jc w:val="both"/>
        <w:ind w:left="760" w:hanging="748"/>
        <w:spacing w:after="0" w:line="271" w:lineRule="auto"/>
        <w:tabs>
          <w:tab w:leader="none" w:pos="7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If you wish to release or surrender this Option, you must execute a deed of release in a form approved by the Company and deliver it to the Company within thirty (30) days of the date of this Award Certificate.</w:t>
      </w:r>
    </w:p>
    <w:p>
      <w:pPr>
        <w:spacing w:after="0" w:line="46" w:lineRule="exact"/>
        <w:rPr>
          <w:sz w:val="20"/>
          <w:szCs w:val="20"/>
          <w:color w:val="auto"/>
        </w:rPr>
      </w:pPr>
    </w:p>
    <w:p>
      <w:pPr>
        <w:ind w:left="760" w:hanging="752"/>
        <w:spacing w:after="0"/>
        <w:tabs>
          <w:tab w:leader="none" w:pos="7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Option</w:t>
      </w:r>
    </w:p>
    <w:p>
      <w:pPr>
        <w:spacing w:after="0" w:line="212" w:lineRule="exact"/>
        <w:rPr>
          <w:sz w:val="20"/>
          <w:szCs w:val="20"/>
          <w:color w:val="auto"/>
        </w:rPr>
      </w:pPr>
    </w:p>
    <w:p>
      <w:pPr>
        <w:jc w:val="both"/>
        <w:ind w:left="760" w:right="20" w:hanging="748"/>
        <w:spacing w:after="0" w:line="253" w:lineRule="auto"/>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To exercise the Option, you will be required to complete and sign a Notice of Exercise and submit it to the Company, and otherwise comply with the terms of Article 10 of the Plan. In particular, you will be required to pay and to indemnify and keep indemnified any Relevant Company for any Applicable Withholding Tax Liability.</w:t>
      </w:r>
    </w:p>
    <w:p>
      <w:pPr>
        <w:spacing w:after="0" w:line="51" w:lineRule="exact"/>
        <w:rPr>
          <w:sz w:val="20"/>
          <w:szCs w:val="20"/>
          <w:color w:val="auto"/>
        </w:rPr>
      </w:pPr>
    </w:p>
    <w:p>
      <w:pPr>
        <w:ind w:left="760" w:hanging="752"/>
        <w:spacing w:after="0"/>
        <w:tabs>
          <w:tab w:leader="none" w:pos="760" w:val="left"/>
        </w:tabs>
        <w:numPr>
          <w:ilvl w:val="0"/>
          <w:numId w:val="249"/>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Shareholder Rights</w:t>
      </w:r>
    </w:p>
    <w:p>
      <w:pPr>
        <w:spacing w:after="0" w:line="20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Arial" w:cs="Arial" w:eastAsia="Arial" w:hAnsi="Arial"/>
          <w:sz w:val="21"/>
          <w:szCs w:val="21"/>
          <w:color w:val="auto"/>
        </w:rPr>
        <w:t>You shall have no rights whatsoever as a shareholder in respect of any of the Options.</w:t>
      </w:r>
    </w:p>
    <w:p>
      <w:pPr>
        <w:spacing w:after="0" w:line="139" w:lineRule="exact"/>
        <w:rPr>
          <w:sz w:val="20"/>
          <w:szCs w:val="20"/>
          <w:color w:val="auto"/>
        </w:rPr>
      </w:pPr>
    </w:p>
    <w:p>
      <w:pPr>
        <w:ind w:left="760" w:hanging="748"/>
        <w:spacing w:after="0" w:line="259" w:lineRule="auto"/>
        <w:tabs>
          <w:tab w:leader="none" w:pos="7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Arial" w:cs="Arial" w:eastAsia="Arial" w:hAnsi="Arial"/>
          <w:sz w:val="22"/>
          <w:szCs w:val="22"/>
          <w:color w:val="auto"/>
        </w:rPr>
        <w:t>On exercise, any Shares to be issued or transferred to you may be required to be issued or transferred to a nominee to hold such Shares on your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CERTIFICATE IS IMPORTANT AND SHOULD BE KEPT IN A SAFE PLACE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Signed by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Rezolve AI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6" w:name="page97"/>
    <w:bookmarkEnd w:id="96"/>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LEAVER PROVISIONS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hanging="378"/>
        <w:spacing w:after="0"/>
        <w:tabs>
          <w:tab w:leader="none" w:pos="7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on Option</w:t>
      </w:r>
    </w:p>
    <w:p>
      <w:pPr>
        <w:spacing w:after="0" w:line="347" w:lineRule="exact"/>
        <w:rPr>
          <w:sz w:val="20"/>
          <w:szCs w:val="20"/>
          <w:color w:val="auto"/>
        </w:rPr>
      </w:pPr>
    </w:p>
    <w:p>
      <w:pPr>
        <w:ind w:left="760" w:right="40" w:firstLine="50"/>
        <w:spacing w:after="0" w:line="232" w:lineRule="auto"/>
        <w:rPr>
          <w:sz w:val="20"/>
          <w:szCs w:val="20"/>
          <w:color w:val="auto"/>
        </w:rPr>
      </w:pPr>
      <w:r>
        <w:rPr>
          <w:rFonts w:ascii="Arial" w:cs="Arial" w:eastAsia="Arial" w:hAnsi="Arial"/>
          <w:sz w:val="18"/>
          <w:szCs w:val="18"/>
          <w:color w:val="auto"/>
        </w:rPr>
        <w:t>Except as the Board may otherwise determine and regardless of any adverse or potentially adverse tax or other consequences resulting from the following, if the Participant ceases to be an Eligible Person by reason of their termination for cause (or their ceasing to be an Eligible Person in circumstances that would justify their termination for cause) [or their resignation for any reason other than good reason]</w:t>
      </w:r>
      <w:r>
        <w:rPr>
          <w:rFonts w:ascii="Arial" w:cs="Arial" w:eastAsia="Arial" w:hAnsi="Arial"/>
          <w:sz w:val="24"/>
          <w:szCs w:val="24"/>
          <w:color w:val="auto"/>
          <w:vertAlign w:val="superscript"/>
        </w:rPr>
        <w:t>2</w:t>
      </w:r>
      <w:r>
        <w:rPr>
          <w:rFonts w:ascii="Arial" w:cs="Arial" w:eastAsia="Arial" w:hAnsi="Arial"/>
          <w:sz w:val="18"/>
          <w:szCs w:val="18"/>
          <w:color w:val="auto"/>
        </w:rPr>
        <w:t>, their Options (whether vested but not yet exercised, or unvested) shall Expire immediately on the Option Termination Date and be of no further force of effect whatsoever. If the Participant ceases to be an Eligible Person for any other reason, any unvested Options held by such Option Participant shall Expire on the Option Termination Date and be of no further force or effect whatsoever. In either case, such Participant shall no longer be eligible for a grant of Options. To the extent any Option subsists, it may, subject to its Expiring earlier in accordance with the terms of the Plan, be exercised within six months of the Option Termination Date, save (subject to Section 9.5 of the Plan) in the case of death where the Option may be exercised within 12 months of the date of death, following which the Option shall, to the extent unexercised, Expire and cease to be capable of exercise.</w:t>
      </w:r>
    </w:p>
    <w:p>
      <w:pPr>
        <w:spacing w:after="0" w:line="200" w:lineRule="exact"/>
        <w:rPr>
          <w:sz w:val="20"/>
          <w:szCs w:val="20"/>
          <w:color w:val="auto"/>
        </w:rPr>
      </w:pPr>
    </w:p>
    <w:p>
      <w:pPr>
        <w:spacing w:after="0" w:line="259" w:lineRule="exact"/>
        <w:rPr>
          <w:sz w:val="20"/>
          <w:szCs w:val="20"/>
          <w:color w:val="auto"/>
        </w:rPr>
      </w:pPr>
    </w:p>
    <w:p>
      <w:pPr>
        <w:jc w:val="both"/>
        <w:ind w:left="1500" w:hanging="743"/>
        <w:spacing w:after="0" w:line="236" w:lineRule="auto"/>
        <w:tabs>
          <w:tab w:leader="none" w:pos="1500"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"cause". </w:t>
      </w:r>
      <w:r>
        <w:rPr>
          <w:rFonts w:ascii="Arial" w:cs="Arial" w:eastAsia="Arial" w:hAnsi="Arial"/>
          <w:sz w:val="18"/>
          <w:szCs w:val="18"/>
          <w:color w:val="auto"/>
        </w:rPr>
        <w:t>For the purposes of the Option, "cause" shall have the meaning given to such term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employment or service agreement or similar agreement between the Company (or the Participant's employer or engaging company, if different) and such Participant, or if no such agreement exists or if “cause” is not defined therein, “cause” means (i) the Participant’s material act or acts of personal dishonesty taken in connection with the Participant’s responsibilities that has, or could be reasonably expected to have, an adverse impact on the performance of the Participant’s duties to the Company or any of its Group Companies or otherwise result in material injury to the reputation or business of the Company or any of its Affiliates or Group Companies; (ii) the Participant’s act(s) of gross negligence or wilful misconduct in the course of the Participant’s service; (iii) wilful failure or refusal by the Participant to perform in any material respect the Participant’s duties or responsibilities, (iv) misappropriation (or attempted misappropriation) by the Participant of any assets or material business opportunities of the Company or any of its Affiliates or Group Companies,</w:t>
      </w:r>
    </w:p>
    <w:p>
      <w:pPr>
        <w:spacing w:after="0" w:line="7" w:lineRule="exact"/>
        <w:rPr>
          <w:rFonts w:ascii="Arial" w:cs="Arial" w:eastAsia="Arial" w:hAnsi="Arial"/>
          <w:sz w:val="18"/>
          <w:szCs w:val="18"/>
          <w:color w:val="auto"/>
        </w:rPr>
      </w:pPr>
    </w:p>
    <w:p>
      <w:pPr>
        <w:jc w:val="both"/>
        <w:ind w:left="1500" w:firstLine="6"/>
        <w:spacing w:after="0" w:line="236" w:lineRule="auto"/>
        <w:tabs>
          <w:tab w:leader="none" w:pos="1816"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embezzlement or fraud committed (or attempted) by the Participant, at the Participant’s direction, or with the Participant’s prior actual knowledge, (vi) the Participant’s conviction of any criminal charge (other than a road traffic offence for which no custodial sentence is imposed), that has, or could be reasonably expected to have, an adverse impact on the performance of the Participant’s duties to the Company or any of its Group Companies or otherwise result in a material injury to the reputation or business of the Company or any of its Affiliates or Group Companies, (vii) any material violation by the Participant of the written policies of the Company, including but not limited to those relating to sexual harassment or business conduct, and those otherwise set forth in the manuals or statements of policy of the Company that has, or could be reasonably expected to have, a material adverse impact on the performance of the Participant’s duties to the Company or any of its Affiliates or otherwise result in material injury to the reputation or business of the Company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168846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85" w:lineRule="exact"/>
        <w:rPr>
          <w:sz w:val="20"/>
          <w:szCs w:val="20"/>
          <w:color w:val="auto"/>
        </w:rPr>
      </w:pPr>
    </w:p>
    <w:p>
      <w:pPr>
        <w:ind w:left="120" w:hanging="112"/>
        <w:spacing w:after="0"/>
        <w:tabs>
          <w:tab w:leader="none" w:pos="120" w:val="left"/>
        </w:tabs>
        <w:numPr>
          <w:ilvl w:val="0"/>
          <w:numId w:val="252"/>
        </w:numPr>
        <w:rPr>
          <w:rFonts w:ascii="Arial" w:cs="Arial" w:eastAsia="Arial" w:hAnsi="Arial"/>
          <w:sz w:val="24"/>
          <w:szCs w:val="24"/>
          <w:color w:val="auto"/>
          <w:vertAlign w:val="superscript"/>
        </w:rPr>
      </w:pPr>
      <w:r>
        <w:rPr>
          <w:rFonts w:ascii="Arial" w:cs="Arial" w:eastAsia="Arial" w:hAnsi="Arial"/>
          <w:sz w:val="18"/>
          <w:szCs w:val="18"/>
          <w:color w:val="auto"/>
        </w:rPr>
        <w:t>Include if participants will be treated as good leavers if they resign for "good reason"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3" w:lineRule="exact"/>
        <w:rPr>
          <w:sz w:val="20"/>
          <w:szCs w:val="20"/>
          <w:color w:val="auto"/>
        </w:rPr>
      </w:pPr>
    </w:p>
    <w:p>
      <w:pPr>
        <w:jc w:val="both"/>
        <w:ind w:left="1500"/>
        <w:spacing w:after="0"/>
        <w:rPr>
          <w:sz w:val="20"/>
          <w:szCs w:val="20"/>
          <w:color w:val="auto"/>
        </w:rPr>
      </w:pPr>
      <w:r>
        <w:rPr>
          <w:rFonts w:ascii="Arial" w:cs="Arial" w:eastAsia="Arial" w:hAnsi="Arial"/>
          <w:sz w:val="18"/>
          <w:szCs w:val="18"/>
          <w:color w:val="auto"/>
        </w:rPr>
        <w:t>Group Companies, or (viii) the Participant’s material breach of any restrictive covenants to which the Participant is subject. If, within ninety (90) days subsequent to the Participant’s termination for any reason other than by the Company for cause, the Company determines that the Participant’s service could have been terminated for cause, such Participant’s employment or provisions of services, as applicable, will be deemed to have been terminated for cause for all purposes. For purposes of this Plan, “cause” shall also include a resignation by the Participant (without good reason, as defined in this Deed) at a time at which the Company could have terminated such Participant for cause. The existence or non-existence of cause with respect to such Participant shall be determined in good faith by the Board.</w:t>
      </w:r>
    </w:p>
    <w:p>
      <w:pPr>
        <w:spacing w:after="0" w:line="212" w:lineRule="exact"/>
        <w:rPr>
          <w:sz w:val="20"/>
          <w:szCs w:val="20"/>
          <w:color w:val="auto"/>
        </w:rPr>
      </w:pPr>
    </w:p>
    <w:p>
      <w:pPr>
        <w:jc w:val="both"/>
        <w:ind w:left="1500" w:hanging="743"/>
        <w:spacing w:after="0" w:line="249" w:lineRule="auto"/>
        <w:tabs>
          <w:tab w:leader="none" w:pos="15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Definition of "good reason".</w:t>
      </w:r>
      <w:r>
        <w:rPr>
          <w:rFonts w:ascii="Arial" w:cs="Arial" w:eastAsia="Arial" w:hAnsi="Arial"/>
          <w:sz w:val="18"/>
          <w:szCs w:val="18"/>
          <w:color w:val="auto"/>
        </w:rPr>
        <w:t xml:space="preserve"> For the purposes of the Option, "good reason" shall have the meaning given to such term in the Participant's employment or service agreement or similar agreement between the Company (or the Participant's employer or [engaging company, if different); or such circumstances (if no such agreement exists or if “good reason” is not defined therein) or (if such agreement exists and contains such definition) such other circumstances as the Board may in its absolute discretion determine.]</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168846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hanging="112"/>
        <w:spacing w:after="0"/>
        <w:tabs>
          <w:tab w:leader="none" w:pos="120" w:val="left"/>
        </w:tabs>
        <w:numPr>
          <w:ilvl w:val="0"/>
          <w:numId w:val="254"/>
        </w:numPr>
        <w:rPr>
          <w:rFonts w:ascii="Arial" w:cs="Arial" w:eastAsia="Arial" w:hAnsi="Arial"/>
          <w:sz w:val="24"/>
          <w:szCs w:val="24"/>
          <w:color w:val="auto"/>
          <w:vertAlign w:val="superscript"/>
        </w:rPr>
      </w:pPr>
      <w:r>
        <w:rPr>
          <w:rFonts w:ascii="Arial" w:cs="Arial" w:eastAsia="Arial" w:hAnsi="Arial"/>
          <w:sz w:val="18"/>
          <w:szCs w:val="18"/>
          <w:color w:val="auto"/>
        </w:rPr>
        <w:t>Use only if "resignation for any reason other than good reason" wording is to be used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ind w:left="103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310" w:type="dxa"/>
        <w:tblCellMar>
          <w:top w:w="0" w:type="dxa"/>
          <w:left w:w="0" w:type="dxa"/>
          <w:bottom w:w="0" w:type="dxa"/>
          <w:right w:w="0" w:type="dxa"/>
        </w:tblCellMar>
      </w:tblPr>
      <w:tr>
        <w:trPr>
          <w:trHeight w:val="250"/>
        </w:trPr>
        <w:tc>
          <w:tcPr>
            <w:tcW w:w="960" w:type="dxa"/>
            <w:vAlign w:val="bottom"/>
            <w:tcBorders>
              <w:top w:val="single" w:sz="8" w:color="auto"/>
              <w:left w:val="single" w:sz="8" w:color="auto"/>
              <w:right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940" w:type="dxa"/>
            <w:vAlign w:val="bottom"/>
            <w:tcBorders>
              <w:top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2100" w:type="dxa"/>
            <w:vAlign w:val="bottom"/>
            <w:tcBorders>
              <w:top w:val="single" w:sz="8" w:color="auto"/>
              <w:right w:val="single" w:sz="8" w:color="auto"/>
            </w:tcBorders>
          </w:tcPr>
          <w:p>
            <w:pPr>
              <w:spacing w:after="0"/>
              <w:rPr>
                <w:sz w:val="21"/>
                <w:szCs w:val="21"/>
                <w:color w:val="auto"/>
              </w:rPr>
            </w:pPr>
          </w:p>
        </w:tc>
        <w:tc>
          <w:tcPr>
            <w:tcW w:w="142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vMerge w:val="restart"/>
          </w:tcPr>
          <w:p>
            <w:pPr>
              <w:jc w:val="center"/>
              <w:ind w:left="98"/>
              <w:spacing w:after="0"/>
              <w:rPr>
                <w:sz w:val="20"/>
                <w:szCs w:val="20"/>
                <w:color w:val="auto"/>
              </w:rPr>
            </w:pPr>
            <w:r>
              <w:rPr>
                <w:rFonts w:ascii="Times New Roman" w:cs="Times New Roman" w:eastAsia="Times New Roman" w:hAnsi="Times New Roman"/>
                <w:sz w:val="13"/>
                <w:szCs w:val="13"/>
                <w:b w:val="1"/>
                <w:bCs w:val="1"/>
                <w:color w:val="auto"/>
                <w:w w:val="95"/>
              </w:rPr>
              <w:t>Security</w:t>
            </w: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2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260" w:type="dxa"/>
            <w:vAlign w:val="bottom"/>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jc w:val="center"/>
              <w:ind w:left="13"/>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210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020" w:type="dxa"/>
            <w:vAlign w:val="bottom"/>
          </w:tcPr>
          <w:p>
            <w:pPr>
              <w:jc w:val="center"/>
              <w:ind w:left="98"/>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260" w:type="dxa"/>
            <w:vAlign w:val="bottom"/>
          </w:tcPr>
          <w:p>
            <w:pPr>
              <w:spacing w:after="0"/>
              <w:rPr>
                <w:sz w:val="11"/>
                <w:szCs w:val="11"/>
                <w:color w:val="auto"/>
              </w:rPr>
            </w:pPr>
          </w:p>
        </w:tc>
        <w:tc>
          <w:tcPr>
            <w:tcW w:w="1340" w:type="dxa"/>
            <w:vAlign w:val="bottom"/>
            <w:tcBorders>
              <w:right w:val="single" w:sz="8" w:color="auto"/>
            </w:tcBorders>
          </w:tcPr>
          <w:p>
            <w:pPr>
              <w:jc w:val="center"/>
              <w:ind w:right="10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94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2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 Aggregate</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6"/>
        </w:trPr>
        <w:tc>
          <w:tcPr>
            <w:tcW w:w="96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1020" w:type="dxa"/>
            <w:vAlign w:val="bottom"/>
            <w:tcBorders>
              <w:bottom w:val="single" w:sz="8" w:color="auto"/>
            </w:tcBorders>
          </w:tcPr>
          <w:p>
            <w:pPr>
              <w:jc w:val="center"/>
              <w:ind w:left="98"/>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jc w:val="center"/>
              <w:ind w:right="128"/>
              <w:spacing w:after="0" w:line="175"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6"/>
                <w:szCs w:val="16"/>
                <w:b w:val="1"/>
                <w:bCs w:val="1"/>
                <w:color w:val="auto"/>
                <w:w w:val="92"/>
                <w:vertAlign w:val="superscript"/>
              </w:rPr>
              <w:t>(1)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45"/>
        </w:trPr>
        <w:tc>
          <w:tcPr>
            <w:tcW w:w="960" w:type="dxa"/>
            <w:vAlign w:val="bottom"/>
            <w:tcBorders>
              <w:left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8"/>
                <w:szCs w:val="18"/>
                <w:color w:val="auto"/>
                <w:w w:val="99"/>
              </w:rPr>
              <w:t>Equity</w:t>
            </w:r>
          </w:p>
        </w:tc>
        <w:tc>
          <w:tcPr>
            <w:tcW w:w="10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8"/>
              </w:rPr>
              <w:t>stock,</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9"/>
              </w:rPr>
              <w:t>$0.0001 par</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Rule 457(c)</w:t>
            </w:r>
          </w:p>
        </w:tc>
        <w:tc>
          <w:tcPr>
            <w:tcW w:w="2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102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w w:val="99"/>
              </w:rPr>
              <w:t>value per</w:t>
            </w:r>
          </w:p>
        </w:tc>
        <w:tc>
          <w:tcPr>
            <w:tcW w:w="1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rPr>
              <w:t>and Rule</w:t>
            </w:r>
          </w:p>
        </w:tc>
        <w:tc>
          <w:tcPr>
            <w:tcW w:w="260" w:type="dxa"/>
            <w:vAlign w:val="bottom"/>
          </w:tcPr>
          <w:p>
            <w:pPr>
              <w:spacing w:after="0"/>
              <w:rPr>
                <w:sz w:val="18"/>
                <w:szCs w:val="18"/>
                <w:color w:val="auto"/>
              </w:rPr>
            </w:pPr>
          </w:p>
        </w:tc>
        <w:tc>
          <w:tcPr>
            <w:tcW w:w="1340" w:type="dxa"/>
            <w:vAlign w:val="bottom"/>
            <w:tcBorders>
              <w:right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8"/>
                <w:szCs w:val="18"/>
                <w:color w:val="auto"/>
                <w:w w:val="94"/>
              </w:rPr>
              <w:t>16,775,137</w:t>
            </w:r>
            <w:r>
              <w:rPr>
                <w:rFonts w:ascii="Times New Roman" w:cs="Times New Roman" w:eastAsia="Times New Roman" w:hAnsi="Times New Roman"/>
                <w:sz w:val="24"/>
                <w:szCs w:val="24"/>
                <w:color w:val="auto"/>
                <w:w w:val="94"/>
                <w:vertAlign w:val="superscript"/>
              </w:rPr>
              <w:t>(2)</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$2.415</w:t>
            </w:r>
            <w:r>
              <w:rPr>
                <w:rFonts w:ascii="Times New Roman" w:cs="Times New Roman" w:eastAsia="Times New Roman" w:hAnsi="Times New Roman"/>
                <w:sz w:val="24"/>
                <w:szCs w:val="24"/>
                <w:color w:val="auto"/>
                <w:w w:val="93"/>
                <w:vertAlign w:val="superscript"/>
              </w:rPr>
              <w:t>(3)</w:t>
            </w:r>
          </w:p>
        </w:tc>
        <w:tc>
          <w:tcPr>
            <w:tcW w:w="2100" w:type="dxa"/>
            <w:vAlign w:val="bottom"/>
            <w:tcBorders>
              <w:right w:val="single" w:sz="8" w:color="auto"/>
            </w:tcBorders>
            <w:vMerge w:val="restart"/>
          </w:tcPr>
          <w:p>
            <w:pPr>
              <w:jc w:val="center"/>
              <w:ind w:right="284"/>
              <w:spacing w:after="0"/>
              <w:rPr>
                <w:sz w:val="20"/>
                <w:szCs w:val="20"/>
                <w:color w:val="auto"/>
              </w:rPr>
            </w:pPr>
            <w:r>
              <w:rPr>
                <w:rFonts w:ascii="Times New Roman" w:cs="Times New Roman" w:eastAsia="Times New Roman" w:hAnsi="Times New Roman"/>
                <w:sz w:val="18"/>
                <w:szCs w:val="18"/>
                <w:color w:val="auto"/>
              </w:rPr>
              <w:t>$40,511,955.86</w:t>
            </w:r>
            <w:r>
              <w:rPr>
                <w:rFonts w:ascii="Times New Roman" w:cs="Times New Roman" w:eastAsia="Times New Roman" w:hAnsi="Times New Roman"/>
                <w:sz w:val="24"/>
                <w:szCs w:val="24"/>
                <w:color w:val="auto"/>
                <w:vertAlign w:val="superscript"/>
              </w:rPr>
              <w:t>(3)</w:t>
            </w:r>
          </w:p>
        </w:tc>
        <w:tc>
          <w:tcPr>
            <w:tcW w:w="14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$5,594.71</w:t>
            </w:r>
          </w:p>
        </w:tc>
        <w:tc>
          <w:tcPr>
            <w:tcW w:w="0" w:type="dxa"/>
            <w:vAlign w:val="bottom"/>
          </w:tcPr>
          <w:p>
            <w:pPr>
              <w:spacing w:after="0"/>
              <w:rPr>
                <w:sz w:val="1"/>
                <w:szCs w:val="1"/>
                <w:color w:val="auto"/>
              </w:rPr>
            </w:pPr>
          </w:p>
        </w:tc>
      </w:tr>
      <w:tr>
        <w:trPr>
          <w:trHeight w:val="248"/>
        </w:trPr>
        <w:tc>
          <w:tcPr>
            <w:tcW w:w="96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tcPr>
          <w:p>
            <w:pPr>
              <w:jc w:val="center"/>
              <w:ind w:left="78"/>
              <w:spacing w:after="0"/>
              <w:rPr>
                <w:sz w:val="20"/>
                <w:szCs w:val="20"/>
                <w:color w:val="auto"/>
              </w:rPr>
            </w:pPr>
            <w:r>
              <w:rPr>
                <w:rFonts w:ascii="Times New Roman" w:cs="Times New Roman" w:eastAsia="Times New Roman" w:hAnsi="Times New Roman"/>
                <w:sz w:val="18"/>
                <w:szCs w:val="18"/>
                <w:color w:val="auto"/>
                <w:w w:val="99"/>
              </w:rPr>
              <w:t>share</w:t>
            </w:r>
          </w:p>
        </w:tc>
        <w:tc>
          <w:tcPr>
            <w:tcW w:w="12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457(h)</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vMerge w:val="continue"/>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2100" w:type="dxa"/>
            <w:vAlign w:val="bottom"/>
            <w:tcBorders>
              <w:bottom w:val="single" w:sz="8" w:color="auto"/>
              <w:right w:val="single" w:sz="8" w:color="auto"/>
            </w:tcBorders>
            <w:vMerge w:val="continue"/>
          </w:tcPr>
          <w:p>
            <w:pPr>
              <w:spacing w:after="0"/>
              <w:rPr>
                <w:sz w:val="21"/>
                <w:szCs w:val="21"/>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4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Borders>
              <w:left w:val="single" w:sz="8" w:color="auto"/>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Offering Amounts</w:t>
            </w:r>
          </w:p>
        </w:tc>
        <w:tc>
          <w:tcPr>
            <w:tcW w:w="134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2100" w:type="dxa"/>
            <w:vAlign w:val="bottom"/>
            <w:tcBorders>
              <w:bottom w:val="single" w:sz="8" w:color="auto"/>
              <w:right w:val="single" w:sz="8" w:color="auto"/>
            </w:tcBorders>
          </w:tcPr>
          <w:p>
            <w:pPr>
              <w:jc w:val="right"/>
              <w:ind w:right="364"/>
              <w:spacing w:after="0"/>
              <w:rPr>
                <w:sz w:val="20"/>
                <w:szCs w:val="20"/>
                <w:color w:val="auto"/>
              </w:rPr>
            </w:pPr>
            <w:r>
              <w:rPr>
                <w:rFonts w:ascii="Times New Roman" w:cs="Times New Roman" w:eastAsia="Times New Roman" w:hAnsi="Times New Roman"/>
                <w:sz w:val="18"/>
                <w:szCs w:val="18"/>
                <w:color w:val="auto"/>
              </w:rPr>
              <w:t>$40,511,955.86</w:t>
            </w:r>
          </w:p>
        </w:tc>
        <w:tc>
          <w:tcPr>
            <w:tcW w:w="142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$5,594.71</w:t>
            </w:r>
          </w:p>
        </w:tc>
        <w:tc>
          <w:tcPr>
            <w:tcW w:w="0" w:type="dxa"/>
            <w:vAlign w:val="bottom"/>
          </w:tcPr>
          <w:p>
            <w:pPr>
              <w:spacing w:after="0"/>
              <w:rPr>
                <w:sz w:val="1"/>
                <w:szCs w:val="1"/>
                <w:color w:val="auto"/>
              </w:rPr>
            </w:pP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Total Fee Offsets</w:t>
            </w:r>
          </w:p>
        </w:tc>
        <w:tc>
          <w:tcPr>
            <w:tcW w:w="134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2"/>
        </w:trPr>
        <w:tc>
          <w:tcPr>
            <w:tcW w:w="960" w:type="dxa"/>
            <w:vAlign w:val="bottom"/>
            <w:tcBorders>
              <w:lef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Fee Due</w:t>
            </w:r>
          </w:p>
        </w:tc>
        <w:tc>
          <w:tcPr>
            <w:tcW w:w="134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$5,594.71</w:t>
            </w:r>
          </w:p>
        </w:tc>
        <w:tc>
          <w:tcPr>
            <w:tcW w:w="0" w:type="dxa"/>
            <w:vAlign w:val="bottom"/>
          </w:tcPr>
          <w:p>
            <w:pPr>
              <w:spacing w:after="0"/>
              <w:rPr>
                <w:sz w:val="1"/>
                <w:szCs w:val="1"/>
                <w:color w:val="auto"/>
              </w:rPr>
            </w:pPr>
          </w:p>
        </w:tc>
      </w:tr>
      <w:tr>
        <w:trPr>
          <w:trHeight w:val="22"/>
        </w:trPr>
        <w:tc>
          <w:tcPr>
            <w:tcW w:w="960" w:type="dxa"/>
            <w:vAlign w:val="bottom"/>
            <w:tcBorders>
              <w:left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160" w:hanging="452"/>
        <w:spacing w:after="0" w:line="281" w:lineRule="auto"/>
        <w:tabs>
          <w:tab w:leader="none" w:pos="46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this registration statement on Form S-8 (“Registration Statement”) also covers any additional number of ordinary shares, nominal value of £0.0001 per share of the Registrant that become issuable under the Rezolve AI Limited Long Term Incentive Plan (as amended, the “LTIP”) by reason of any share splits, share dividends or other distribution, recapitalization or similar transaction effected without receipt of consideration that increases the number of outstanding Ordinary Shares.</w:t>
      </w:r>
    </w:p>
    <w:p>
      <w:pPr>
        <w:spacing w:after="0" w:line="191" w:lineRule="exact"/>
        <w:rPr>
          <w:rFonts w:ascii="Times New Roman" w:cs="Times New Roman" w:eastAsia="Times New Roman" w:hAnsi="Times New Roman"/>
          <w:sz w:val="17"/>
          <w:szCs w:val="17"/>
          <w:color w:val="auto"/>
        </w:rPr>
      </w:pPr>
    </w:p>
    <w:p>
      <w:pPr>
        <w:ind w:left="460" w:hanging="452"/>
        <w:spacing w:after="0" w:line="258" w:lineRule="auto"/>
        <w:tabs>
          <w:tab w:leader="none" w:pos="4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16,775,137 ordinary shares added to the shares authorized for issuance under the LTIP as of December 19, 2025 (or such date in the relevant calendar year that the board of directors may determine) pursuant to an “evergreen” provision contained in Section 2.2 of the LTIP. Pursuant to such provision, on such date in the relevant calendar year that the board of directors may determine, the number of shares authorized for issuance under the LTIP is increased by a number equal to five percent of the outstanding shares of the Registrant’s Ordinary Shares as of such date, or any lesser number of shares of the Registrant’s Ordinary Shares determined by the board of directors of the Registrant.</w:t>
      </w:r>
    </w:p>
    <w:p>
      <w:pPr>
        <w:spacing w:after="0" w:line="21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and based on the average of the high and low sales price per share of the ordinary shares on the Nasdaq Stock Market LLC on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lowerRoman"/>
      <w:start w:val="1"/>
    </w:lvl>
  </w:abstractNum>
  <w:abstractNum w:abstractNumId="1">
    <w:nsid w:val="5D888A08"/>
    <w:multiLevelType w:val="hybridMultilevel"/>
    <w:lvl w:ilvl="0">
      <w:lvlJc w:val="left"/>
      <w:lvlText w:val="%1."/>
      <w:numFmt w:val="decimal"/>
      <w:start w:val="1"/>
    </w:lvl>
  </w:abstractNum>
  <w:abstractNum w:abstractNumId="2">
    <w:nsid w:val="2A082C70"/>
    <w:multiLevelType w:val="hybridMultilevel"/>
    <w:lvl w:ilvl="0">
      <w:lvlJc w:val="left"/>
      <w:lvlText w:val="%1."/>
      <w:numFmt w:val="decimal"/>
      <w:start w:val="2"/>
    </w:lvl>
  </w:abstractNum>
  <w:abstractNum w:abstractNumId="3">
    <w:nsid w:val="5EC6AFD4"/>
    <w:multiLevelType w:val="hybridMultilevel"/>
    <w:lvl w:ilvl="0">
      <w:lvlJc w:val="left"/>
      <w:lvlText w:val="(%1)"/>
      <w:numFmt w:val="lowerLetter"/>
      <w:start w:val="1"/>
    </w:lvl>
  </w:abstractNum>
  <w:abstractNum w:abstractNumId="4">
    <w:nsid w:val="19E21BB2"/>
    <w:multiLevelType w:val="hybridMultilevel"/>
    <w:lvl w:ilvl="0">
      <w:lvlJc w:val="left"/>
      <w:lvlText w:val="(%1)"/>
      <w:numFmt w:val="lowerLetter"/>
      <w:start w:val="1"/>
    </w:lvl>
  </w:abstractNum>
  <w:abstractNum w:abstractNumId="5">
    <w:nsid w:val="75E0858A"/>
    <w:multiLevelType w:val="hybridMultilevel"/>
    <w:lvl w:ilvl="0">
      <w:lvlJc w:val="left"/>
      <w:lvlText w:val="%1."/>
      <w:numFmt w:val="decimal"/>
      <w:start w:val="3"/>
    </w:lvl>
  </w:abstractNum>
  <w:abstractNum w:abstractNumId="6">
    <w:nsid w:val="57A61A29"/>
    <w:multiLevelType w:val="hybridMultilevel"/>
    <w:lvl w:ilvl="0">
      <w:lvlJc w:val="left"/>
      <w:lvlText w:val="(%1)"/>
      <w:numFmt w:val="lowerLetter"/>
      <w:start w:val="1"/>
    </w:lvl>
  </w:abstractNum>
  <w:abstractNum w:abstractNumId="7">
    <w:nsid w:val="5399C654"/>
    <w:multiLevelType w:val="hybridMultilevel"/>
    <w:lvl w:ilvl="0">
      <w:lvlJc w:val="left"/>
      <w:lvlText w:val="(%1)"/>
      <w:numFmt w:val="lowerLetter"/>
      <w:start w:val="11"/>
    </w:lvl>
  </w:abstractNum>
  <w:abstractNum w:abstractNumId="8">
    <w:nsid w:val="20EE1348"/>
    <w:multiLevelType w:val="hybridMultilevel"/>
    <w:lvl w:ilvl="0">
      <w:lvlJc w:val="left"/>
      <w:lvlText w:val="(%1)"/>
      <w:numFmt w:val="lowerLetter"/>
      <w:start w:val="18"/>
    </w:lvl>
    <w:lvl w:ilvl="1">
      <w:lvlJc w:val="left"/>
      <w:lvlText w:val="(%2)"/>
      <w:numFmt w:val="lowerRoman"/>
      <w:start w:val="1"/>
    </w:lvl>
  </w:abstractNum>
  <w:abstractNum w:abstractNumId="9">
    <w:nsid w:val="4427069A"/>
    <w:multiLevelType w:val="hybridMultilevel"/>
    <w:lvl w:ilvl="0">
      <w:lvlJc w:val="left"/>
      <w:lvlText w:val="(%1)"/>
      <w:numFmt w:val="lowerLetter"/>
      <w:start w:val="24"/>
    </w:lvl>
  </w:abstractNum>
  <w:abstractNum w:abstractNumId="10">
    <w:nsid w:val="B37E80A"/>
    <w:multiLevelType w:val="hybridMultilevel"/>
    <w:lvl w:ilvl="0">
      <w:lvlJc w:val="left"/>
      <w:lvlText w:val="%1"/>
      <w:numFmt w:val="decimal"/>
      <w:start w:val="1"/>
    </w:lvl>
    <w:lvl w:ilvl="1">
      <w:lvlJc w:val="left"/>
      <w:lvlText w:val="(%2)"/>
      <w:numFmt w:val="lowerLetter"/>
      <w:start w:val="27"/>
    </w:lvl>
  </w:abstractNum>
  <w:abstractNum w:abstractNumId="11">
    <w:nsid w:val="2157F6BC"/>
    <w:multiLevelType w:val="hybridMultilevel"/>
    <w:lvl w:ilvl="0">
      <w:lvlJc w:val="left"/>
      <w:lvlText w:val="%1."/>
      <w:numFmt w:val="decimal"/>
      <w:start w:val="4"/>
    </w:lvl>
    <w:lvl w:ilvl="1">
      <w:lvlJc w:val="left"/>
      <w:lvlText w:val="%2"/>
      <w:numFmt w:val="lowerLetter"/>
      <w:start w:val="1"/>
    </w:lvl>
  </w:abstractNum>
  <w:abstractNum w:abstractNumId="12">
    <w:nsid w:val="704E1DD5"/>
    <w:multiLevelType w:val="hybridMultilevel"/>
    <w:lvl w:ilvl="0">
      <w:lvlJc w:val="left"/>
      <w:lvlText w:val="%1."/>
      <w:numFmt w:val="decimal"/>
      <w:start w:val="5"/>
    </w:lvl>
  </w:abstractNum>
  <w:abstractNum w:abstractNumId="13">
    <w:nsid w:val="57D2F10E"/>
    <w:multiLevelType w:val="hybridMultilevel"/>
    <w:lvl w:ilvl="0">
      <w:lvlJc w:val="left"/>
      <w:lvlText w:val="%1."/>
      <w:numFmt w:val="decimal"/>
      <w:start w:val="6"/>
    </w:lvl>
  </w:abstractNum>
  <w:abstractNum w:abstractNumId="14">
    <w:nsid w:val="BFFAE1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8"/>
    </w:lvl>
    <w:lvl w:ilvl="3">
      <w:lvlJc w:val="left"/>
      <w:lvlText w:val="(%4)"/>
      <w:numFmt w:val="lowerLetter"/>
      <w:start w:val="4"/>
    </w:lvl>
    <w:lvl w:ilvl="4">
      <w:lvlJc w:val="left"/>
      <w:lvlText w:val="(%5)"/>
      <w:numFmt w:val="lowerLetter"/>
      <w:start w:val="1"/>
    </w:lvl>
  </w:abstractNum>
  <w:abstractNum w:abstractNumId="15">
    <w:nsid w:val="E3E47A8"/>
    <w:multiLevelType w:val="hybridMultilevel"/>
    <w:lvl w:ilvl="0">
      <w:lvlJc w:val="left"/>
      <w:lvlText w:val="(%1)"/>
      <w:numFmt w:val="lowerLetter"/>
      <w:start w:val="10"/>
    </w:lvl>
    <w:lvl w:ilvl="1">
      <w:lvlJc w:val="left"/>
      <w:lvlText w:val="(%2)"/>
      <w:numFmt w:val="lowerRoman"/>
      <w:start w:val="1"/>
    </w:lvl>
  </w:abstractNum>
  <w:abstractNum w:abstractNumId="16">
    <w:nsid w:val="2E48F044"/>
    <w:multiLevelType w:val="hybridMultilevel"/>
    <w:lvl w:ilvl="0">
      <w:lvlJc w:val="left"/>
      <w:lvlText w:val="%1"/>
      <w:numFmt w:val="lowerLetter"/>
      <w:start w:val="1"/>
    </w:lvl>
    <w:lvl w:ilvl="1">
      <w:lvlJc w:val="left"/>
      <w:lvlText w:val="(%2)"/>
      <w:numFmt w:val="lowerLetter"/>
      <w:start w:val="10"/>
    </w:lvl>
  </w:abstractNum>
  <w:abstractNum w:abstractNumId="17">
    <w:nsid w:val="49D0FEAC"/>
    <w:multiLevelType w:val="hybridMultilevel"/>
    <w:lvl w:ilvl="0">
      <w:lvlJc w:val="left"/>
      <w:lvlText w:val="(%1)"/>
      <w:numFmt w:val="lowerLetter"/>
      <w:start w:val="12"/>
    </w:lvl>
    <w:lvl w:ilvl="1">
      <w:lvlJc w:val="left"/>
      <w:lvlText w:val="%2"/>
      <w:numFmt w:val="lowerLetter"/>
      <w:start w:val="1"/>
    </w:lvl>
  </w:abstractNum>
  <w:abstractNum w:abstractNumId="18">
    <w:nsid w:val="4BEE5A5B"/>
    <w:multiLevelType w:val="hybridMultilevel"/>
    <w:lvl w:ilvl="0">
      <w:lvlJc w:val="left"/>
      <w:lvlText w:val="%1"/>
      <w:numFmt w:val="lowerLetter"/>
      <w:start w:val="1"/>
    </w:lvl>
    <w:lvl w:ilvl="1">
      <w:lvlJc w:val="left"/>
      <w:lvlText w:val="(%2)"/>
      <w:numFmt w:val="lowerLetter"/>
      <w:start w:val="16"/>
    </w:lvl>
  </w:abstractNum>
  <w:abstractNum w:abstractNumId="19">
    <w:nsid w:val="5551B9F3"/>
    <w:multiLevelType w:val="hybridMultilevel"/>
    <w:lvl w:ilvl="0">
      <w:lvlJc w:val="left"/>
      <w:lvlText w:val="(%1)"/>
      <w:numFmt w:val="lowerLetter"/>
      <w:start w:val="18"/>
    </w:lvl>
    <w:lvl w:ilvl="1">
      <w:lvlJc w:val="left"/>
      <w:lvlText w:val="(%2)"/>
      <w:numFmt w:val="lowerLetter"/>
      <w:start w:val="21"/>
    </w:lvl>
  </w:abstractNum>
  <w:abstractNum w:abstractNumId="20">
    <w:nsid w:val="24F6AB8E"/>
    <w:multiLevelType w:val="hybridMultilevel"/>
    <w:lvl w:ilvl="0">
      <w:lvlJc w:val="left"/>
      <w:lvlText w:val="(%1)"/>
      <w:numFmt w:val="lowerLetter"/>
      <w:start w:val="22"/>
    </w:lvl>
  </w:abstractNum>
  <w:abstractNum w:abstractNumId="21">
    <w:nsid w:val="634C574C"/>
    <w:multiLevelType w:val="hybridMultilevel"/>
    <w:lvl w:ilvl="0">
      <w:lvlJc w:val="left"/>
      <w:lvlText w:val="(%1)"/>
      <w:numFmt w:val="lowerLetter"/>
      <w:start w:val="27"/>
    </w:lvl>
    <w:lvl w:ilvl="1">
      <w:lvlJc w:val="left"/>
      <w:lvlText w:val="(%2)"/>
      <w:numFmt w:val="lowerLetter"/>
      <w:start w:val="33"/>
    </w:lvl>
  </w:abstractNum>
  <w:abstractNum w:abstractNumId="22">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9"/>
    </w:lvl>
  </w:abstractNum>
  <w:abstractNum w:abstractNumId="23">
    <w:nsid w:val="2A31B62D"/>
    <w:multiLevelType w:val="hybridMultilevel"/>
    <w:lvl w:ilvl="0">
      <w:lvlJc w:val="left"/>
      <w:lvlText w:val="%1"/>
      <w:numFmt w:val="lowerLetter"/>
      <w:start w:val="1"/>
    </w:lvl>
    <w:lvl w:ilvl="1">
      <w:lvlJc w:val="left"/>
      <w:lvlText w:val="(%2)"/>
      <w:numFmt w:val="lowerLetter"/>
      <w:start w:val="40"/>
    </w:lvl>
    <w:lvl w:ilvl="2">
      <w:lvlJc w:val="left"/>
      <w:lvlText w:val="(%3)"/>
      <w:numFmt w:val="lowerLetter"/>
      <w:start w:val="41"/>
    </w:lvl>
  </w:abstractNum>
  <w:abstractNum w:abstractNumId="24">
    <w:nsid w:val="1849C29B"/>
    <w:multiLevelType w:val="hybridMultilevel"/>
    <w:lvl w:ilvl="0">
      <w:lvlJc w:val="left"/>
      <w:lvlText w:val="(%1)"/>
      <w:numFmt w:val="lowerLetter"/>
      <w:start w:val="43"/>
    </w:lvl>
    <w:lvl w:ilvl="1">
      <w:lvlJc w:val="left"/>
      <w:lvlText w:val="(%2)"/>
      <w:numFmt w:val="lowerLetter"/>
      <w:start w:val="48"/>
    </w:lvl>
    <w:lvl w:ilvl="2">
      <w:lvlJc w:val="left"/>
      <w:lvlText w:val="(%3)"/>
      <w:numFmt w:val="lowerLetter"/>
      <w:start w:val="48"/>
    </w:lvl>
  </w:abstractNum>
  <w:abstractNum w:abstractNumId="25">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1"/>
    </w:lvl>
  </w:abstractNum>
  <w:abstractNum w:abstractNumId="26">
    <w:nsid w:val="75434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3"/>
    </w:lvl>
  </w:abstractNum>
  <w:abstractNum w:abstractNumId="27">
    <w:nsid w:val="69E7F3E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5"/>
    </w:lvl>
    <w:lvl w:ilvl="3">
      <w:lvlJc w:val="left"/>
      <w:lvlText w:val="(%4)"/>
      <w:numFmt w:val="lowerLetter"/>
      <w:start w:val="56"/>
    </w:lvl>
  </w:abstractNum>
  <w:abstractNum w:abstractNumId="28">
    <w:nsid w:val="2A6DE806"/>
    <w:multiLevelType w:val="hybridMultilevel"/>
    <w:lvl w:ilvl="0">
      <w:lvlJc w:val="left"/>
      <w:lvlText w:val="(%1)"/>
      <w:numFmt w:val="lowerLetter"/>
      <w:start w:val="60"/>
    </w:lvl>
    <w:lvl w:ilvl="1">
      <w:lvlJc w:val="left"/>
      <w:lvlText w:val="%2"/>
      <w:numFmt w:val="lowerLetter"/>
      <w:start w:val="1"/>
    </w:lvl>
    <w:lvl w:ilvl="2">
      <w:lvlJc w:val="left"/>
      <w:lvlText w:val="(%3)"/>
      <w:numFmt w:val="lowerLetter"/>
      <w:start w:val="61"/>
    </w:lvl>
    <w:lvl w:ilvl="3">
      <w:lvlJc w:val="left"/>
      <w:lvlText w:val="(%4)"/>
      <w:numFmt w:val="lowerLetter"/>
      <w:start w:val="61"/>
    </w:lvl>
  </w:abstractNum>
  <w:abstractNum w:abstractNumId="29">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63"/>
    </w:lvl>
  </w:abstractNum>
  <w:abstractNum w:abstractNumId="30">
    <w:nsid w:val="37DF2233"/>
    <w:multiLevelType w:val="hybridMultilevel"/>
    <w:lvl w:ilvl="0">
      <w:lvlJc w:val="left"/>
      <w:lvlText w:val="%1"/>
      <w:numFmt w:val="lowerLetter"/>
      <w:start w:val="1"/>
    </w:lvl>
    <w:lvl w:ilvl="1">
      <w:lvlJc w:val="left"/>
      <w:lvlText w:val="(%2)"/>
      <w:numFmt w:val="lowerLetter"/>
      <w:start w:val="65"/>
    </w:lvl>
    <w:lvl w:ilvl="2">
      <w:lvlJc w:val="left"/>
      <w:lvlText w:val="%3"/>
      <w:numFmt w:val="lowerLetter"/>
      <w:start w:val="1"/>
    </w:lvl>
    <w:lvl w:ilvl="3">
      <w:lvlJc w:val="left"/>
      <w:lvlText w:val="%4"/>
      <w:numFmt w:val="lowerLetter"/>
      <w:start w:val="1"/>
    </w:lvl>
  </w:abstractNum>
  <w:abstractNum w:abstractNumId="31">
    <w:nsid w:val="7AB49DAF"/>
    <w:multiLevelType w:val="hybridMultilevel"/>
    <w:lvl w:ilvl="0">
      <w:lvlJc w:val="left"/>
      <w:lvlText w:val="(%1)"/>
      <w:numFmt w:val="lowerLetter"/>
      <w:start w:val="66"/>
    </w:lvl>
  </w:abstractNum>
  <w:abstractNum w:abstractNumId="32">
    <w:nsid w:val="759F82CD"/>
    <w:multiLevelType w:val="hybridMultilevel"/>
    <w:lvl w:ilvl="0">
      <w:lvlJc w:val="left"/>
      <w:lvlText w:val="(%1)"/>
      <w:numFmt w:val="decimal"/>
      <w:start w:val="1"/>
    </w:lvl>
  </w:abstractNum>
  <w:abstractNum w:abstractNumId="33">
    <w:nsid w:val="61E74EA3"/>
    <w:multiLevelType w:val="hybridMultilevel"/>
    <w:lvl w:ilvl="0">
      <w:lvlJc w:val="left"/>
      <w:lvlText w:val="(%1)"/>
      <w:numFmt w:val="decimal"/>
      <w:start w:val="1"/>
    </w:lvl>
  </w:abstractNum>
  <w:abstractNum w:abstractNumId="34">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5">
    <w:nsid w:val="F819E7F"/>
    <w:multiLevelType w:val="hybridMultilevel"/>
    <w:lvl w:ilvl="0">
      <w:lvlJc w:val="left"/>
      <w:lvlText w:val="(%1)"/>
      <w:numFmt w:val="decimal"/>
      <w:start w:val="1"/>
    </w:lvl>
    <w:lvl w:ilvl="1">
      <w:lvlJc w:val="left"/>
      <w:lvlText w:val="(%2)"/>
      <w:numFmt w:val="lowerLetter"/>
      <w:start w:val="1"/>
    </w:lvl>
  </w:abstractNum>
  <w:abstractNum w:abstractNumId="36">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7">
    <w:nsid w:val="312167A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
    <w:nsid w:val="631B64D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9">
    <w:nsid w:val="78B5E776"/>
    <w:multiLevelType w:val="hybridMultilevel"/>
    <w:lvl w:ilvl="0">
      <w:lvlJc w:val="left"/>
      <w:lvlText w:val="(%1)"/>
      <w:numFmt w:val="decimal"/>
      <w:start w:val="1"/>
    </w:lvl>
  </w:abstractNum>
  <w:abstractNum w:abstractNumId="40">
    <w:nsid w:val="75486E47"/>
    <w:multiLevelType w:val="hybridMultilevel"/>
    <w:lvl w:ilvl="0">
      <w:lvlJc w:val="left"/>
      <w:lvlText w:val="(%1)"/>
      <w:numFmt w:val="decimal"/>
      <w:start w:val="4"/>
    </w:lvl>
  </w:abstractNum>
  <w:abstractNum w:abstractNumId="41">
    <w:nsid w:val="6E534CDE"/>
    <w:multiLevelType w:val="hybridMultilevel"/>
    <w:lvl w:ilvl="0">
      <w:lvlJc w:val="left"/>
      <w:lvlText w:val="(%1)"/>
      <w:numFmt w:val="decimal"/>
      <w:start w:val="1"/>
    </w:lvl>
    <w:lvl w:ilvl="1">
      <w:lvlJc w:val="left"/>
      <w:lvlText w:val="(%2)"/>
      <w:numFmt w:val="lowerLetter"/>
      <w:start w:val="1"/>
    </w:lvl>
  </w:abstractNum>
  <w:abstractNum w:abstractNumId="42">
    <w:nsid w:val="1A0DDE32"/>
    <w:multiLevelType w:val="hybridMultilevel"/>
    <w:lvl w:ilvl="0">
      <w:lvlJc w:val="left"/>
      <w:lvlText w:val="(%1)"/>
      <w:numFmt w:val="lowerLetter"/>
      <w:start w:val="1"/>
    </w:lvl>
  </w:abstractNum>
  <w:abstractNum w:abstractNumId="43">
    <w:nsid w:val="65968C1C"/>
    <w:multiLevelType w:val="hybridMultilevel"/>
    <w:lvl w:ilvl="0">
      <w:lvlJc w:val="left"/>
      <w:lvlText w:val="(%1)"/>
      <w:numFmt w:val="decimal"/>
      <w:start w:val="1"/>
    </w:lvl>
  </w:abstractNum>
  <w:abstractNum w:abstractNumId="44">
    <w:nsid w:val="46263DEC"/>
    <w:multiLevelType w:val="hybridMultilevel"/>
    <w:lvl w:ilvl="0">
      <w:lvlJc w:val="left"/>
      <w:lvlText w:val="(%1)"/>
      <w:numFmt w:val="decimal"/>
      <w:start w:val="2"/>
    </w:lvl>
  </w:abstractNum>
  <w:abstractNum w:abstractNumId="45">
    <w:nsid w:val="260D8C4A"/>
    <w:multiLevelType w:val="hybridMultilevel"/>
    <w:lvl w:ilvl="0">
      <w:lvlJc w:val="left"/>
      <w:lvlText w:val="(%1)"/>
      <w:numFmt w:val="lowerRoman"/>
      <w:start w:val="2"/>
    </w:lvl>
  </w:abstractNum>
  <w:abstractNum w:abstractNumId="46">
    <w:nsid w:val="73D4D3C4"/>
    <w:multiLevelType w:val="hybridMultilevel"/>
    <w:lvl w:ilvl="0">
      <w:lvlJc w:val="left"/>
      <w:lvlText w:val="(%1)"/>
      <w:numFmt w:val="decimal"/>
      <w:start w:val="1"/>
    </w:lvl>
  </w:abstractNum>
  <w:abstractNum w:abstractNumId="47">
    <w:nsid w:val="746F2E30"/>
    <w:multiLevelType w:val="hybridMultilevel"/>
    <w:lvl w:ilvl="0">
      <w:lvlJc w:val="left"/>
      <w:lvlText w:val="(%1)"/>
      <w:numFmt w:val="decimal"/>
      <w:start w:val="2"/>
    </w:lvl>
  </w:abstractNum>
  <w:abstractNum w:abstractNumId="48">
    <w:nsid w:val="6FDE8AF6"/>
    <w:multiLevelType w:val="hybridMultilevel"/>
    <w:lvl w:ilvl="0">
      <w:lvlJc w:val="left"/>
      <w:lvlText w:val="(%1)"/>
      <w:numFmt w:val="decimal"/>
      <w:start w:val="1"/>
    </w:lvl>
  </w:abstractNum>
  <w:abstractNum w:abstractNumId="49">
    <w:nsid w:val="3FC32E2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0">
    <w:nsid w:val="49C0E823"/>
    <w:multiLevelType w:val="hybridMultilevel"/>
    <w:lvl w:ilvl="0">
      <w:lvlJc w:val="left"/>
      <w:lvlText w:val="%1"/>
      <w:numFmt w:val="decimal"/>
      <w:start w:val="1"/>
    </w:lvl>
    <w:lvl w:ilvl="1">
      <w:lvlJc w:val="left"/>
      <w:lvlText w:val="(%2)"/>
      <w:numFmt w:val="lowerLetter"/>
      <w:start w:val="1"/>
    </w:lvl>
  </w:abstractNum>
  <w:abstractNum w:abstractNumId="51">
    <w:nsid w:val="14D53685"/>
    <w:multiLevelType w:val="hybridMultilevel"/>
    <w:lvl w:ilvl="0">
      <w:lvlJc w:val="left"/>
      <w:lvlText w:val="(%1)"/>
      <w:numFmt w:val="decimal"/>
      <w:start w:val="3"/>
    </w:lvl>
    <w:lvl w:ilvl="1">
      <w:lvlJc w:val="left"/>
      <w:lvlText w:val="%2"/>
      <w:numFmt w:val="lowerLetter"/>
      <w:start w:val="1"/>
    </w:lvl>
  </w:abstractNum>
  <w:abstractNum w:abstractNumId="52">
    <w:nsid w:val="230F856C"/>
    <w:multiLevelType w:val="hybridMultilevel"/>
    <w:lvl w:ilvl="0">
      <w:lvlJc w:val="left"/>
      <w:lvlText w:val="(%1)"/>
      <w:numFmt w:val="decimal"/>
      <w:start w:val="1"/>
    </w:lvl>
  </w:abstractNum>
  <w:abstractNum w:abstractNumId="53">
    <w:nsid w:val="6EAA85FB"/>
    <w:multiLevelType w:val="hybridMultilevel"/>
    <w:lvl w:ilvl="0">
      <w:lvlJc w:val="left"/>
      <w:lvlText w:val="(%1)"/>
      <w:numFmt w:val="decimal"/>
      <w:start w:val="1"/>
    </w:lvl>
    <w:lvl w:ilvl="1">
      <w:lvlJc w:val="left"/>
      <w:lvlText w:val="(%2)"/>
      <w:numFmt w:val="lowerLetter"/>
      <w:start w:val="1"/>
    </w:lvl>
  </w:abstractNum>
  <w:abstractNum w:abstractNumId="54">
    <w:nsid w:val="3F06ECB2"/>
    <w:multiLevelType w:val="hybridMultilevel"/>
    <w:lvl w:ilvl="0">
      <w:lvlJc w:val="left"/>
      <w:lvlText w:val="(%1)"/>
      <w:numFmt w:val="decimal"/>
      <w:start w:val="1"/>
    </w:lvl>
  </w:abstractNum>
  <w:abstractNum w:abstractNumId="55">
    <w:nsid w:val="3B594807"/>
    <w:multiLevelType w:val="hybridMultilevel"/>
    <w:lvl w:ilvl="0">
      <w:lvlJc w:val="left"/>
      <w:lvlText w:val="(%1)"/>
      <w:numFmt w:val="decimal"/>
      <w:start w:val="4"/>
    </w:lvl>
  </w:abstractNum>
  <w:abstractNum w:abstractNumId="56">
    <w:nsid w:val="6CAA2304"/>
    <w:multiLevelType w:val="hybridMultilevel"/>
    <w:lvl w:ilvl="0">
      <w:lvlJc w:val="left"/>
      <w:lvlText w:val="(%1)"/>
      <w:numFmt w:val="decimal"/>
      <w:start w:val="1"/>
    </w:lvl>
  </w:abstractNum>
  <w:abstractNum w:abstractNumId="57">
    <w:nsid w:val="3F7C2FF4"/>
    <w:multiLevelType w:val="hybridMultilevel"/>
    <w:lvl w:ilvl="0">
      <w:lvlJc w:val="left"/>
      <w:lvlText w:val="(%1)"/>
      <w:numFmt w:val="decimal"/>
      <w:start w:val="4"/>
    </w:lvl>
  </w:abstractNum>
  <w:abstractNum w:abstractNumId="58">
    <w:nsid w:val="25413BEC"/>
    <w:multiLevelType w:val="hybridMultilevel"/>
    <w:lvl w:ilvl="0">
      <w:lvlJc w:val="left"/>
      <w:lvlText w:val="(%1)"/>
      <w:numFmt w:val="decimal"/>
      <w:start w:val="1"/>
    </w:lvl>
  </w:abstractNum>
  <w:abstractNum w:abstractNumId="59">
    <w:nsid w:val="17180B0B"/>
    <w:multiLevelType w:val="hybridMultilevel"/>
    <w:lvl w:ilvl="0">
      <w:lvlJc w:val="left"/>
      <w:lvlText w:val="(%1)"/>
      <w:numFmt w:val="decimal"/>
      <w:start w:val="1"/>
    </w:lvl>
  </w:abstractNum>
  <w:abstractNum w:abstractNumId="60">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61">
    <w:nsid w:val="5D205E20"/>
    <w:multiLevelType w:val="hybridMultilevel"/>
    <w:lvl w:ilvl="0">
      <w:lvlJc w:val="left"/>
      <w:lvlText w:val="(%1)"/>
      <w:numFmt w:val="decimal"/>
      <w:start w:val="4"/>
    </w:lvl>
  </w:abstractNum>
  <w:abstractNum w:abstractNumId="62">
    <w:nsid w:val="11CCA8BA"/>
    <w:multiLevelType w:val="hybridMultilevel"/>
    <w:lvl w:ilvl="0">
      <w:lvlJc w:val="left"/>
      <w:lvlText w:val="(%1)"/>
      <w:numFmt w:val="decimal"/>
      <w:start w:val="1"/>
    </w:lvl>
  </w:abstractNum>
  <w:abstractNum w:abstractNumId="63">
    <w:nsid w:val="4D32AB86"/>
    <w:multiLevelType w:val="hybridMultilevel"/>
    <w:lvl w:ilvl="0">
      <w:lvlJc w:val="left"/>
      <w:lvlText w:val="(%1)"/>
      <w:numFmt w:val="decimal"/>
      <w:start w:val="1"/>
    </w:lvl>
  </w:abstractNum>
  <w:abstractNum w:abstractNumId="64">
    <w:nsid w:val="3F07ACC3"/>
    <w:multiLevelType w:val="hybridMultilevel"/>
    <w:lvl w:ilvl="0">
      <w:lvlJc w:val="left"/>
      <w:lvlText w:val="(%1)"/>
      <w:numFmt w:val="decimal"/>
      <w:start w:val="1"/>
    </w:lvl>
  </w:abstractNum>
  <w:abstractNum w:abstractNumId="65">
    <w:nsid w:val="6B47F6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6">
    <w:nsid w:val="5CB44A05"/>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67">
    <w:nsid w:val="16CF80F1"/>
    <w:multiLevelType w:val="hybridMultilevel"/>
    <w:lvl w:ilvl="0">
      <w:lvlJc w:val="left"/>
      <w:lvlText w:val="(%1)"/>
      <w:numFmt w:val="decimal"/>
      <w:start w:val="1"/>
    </w:lvl>
  </w:abstractNum>
  <w:abstractNum w:abstractNumId="68">
    <w:nsid w:val="1C695DEC"/>
    <w:multiLevelType w:val="hybridMultilevel"/>
    <w:lvl w:ilvl="0">
      <w:lvlJc w:val="left"/>
      <w:lvlText w:val="(%1)"/>
      <w:numFmt w:val="lowerLetter"/>
      <w:start w:val="1"/>
    </w:lvl>
  </w:abstractNum>
  <w:abstractNum w:abstractNumId="69">
    <w:nsid w:val="3FCFAED9"/>
    <w:multiLevelType w:val="hybridMultilevel"/>
    <w:lvl w:ilvl="0">
      <w:lvlJc w:val="left"/>
      <w:lvlText w:val="(%1)"/>
      <w:numFmt w:val="decimal"/>
      <w:start w:val="1"/>
    </w:lvl>
  </w:abstractNum>
  <w:abstractNum w:abstractNumId="70">
    <w:nsid w:val="F856867"/>
    <w:multiLevelType w:val="hybridMultilevel"/>
    <w:lvl w:ilvl="0">
      <w:lvlJc w:val="left"/>
      <w:lvlText w:val="(%1)"/>
      <w:numFmt w:val="decimal"/>
      <w:start w:val="1"/>
    </w:lvl>
    <w:lvl w:ilvl="1">
      <w:lvlJc w:val="left"/>
      <w:lvlText w:val="(%2)"/>
      <w:numFmt w:val="lowerLetter"/>
      <w:start w:val="1"/>
    </w:lvl>
  </w:abstractNum>
  <w:abstractNum w:abstractNumId="71">
    <w:nsid w:val="11B1CC33"/>
    <w:multiLevelType w:val="hybridMultilevel"/>
    <w:lvl w:ilvl="0">
      <w:lvlJc w:val="left"/>
      <w:lvlText w:val="%1"/>
      <w:numFmt w:val="decimal"/>
      <w:start w:val="1"/>
    </w:lvl>
    <w:lvl w:ilvl="1">
      <w:lvlJc w:val="left"/>
      <w:lvlText w:val="(%2)"/>
      <w:numFmt w:val="lowerLetter"/>
      <w:start w:val="3"/>
    </w:lvl>
  </w:abstractNum>
  <w:abstractNum w:abstractNumId="72">
    <w:nsid w:val="2E22FBB7"/>
    <w:multiLevelType w:val="hybridMultilevel"/>
    <w:lvl w:ilvl="0">
      <w:lvlJc w:val="left"/>
      <w:lvlText w:val="(%1)"/>
      <w:numFmt w:val="decimal"/>
      <w:start w:val="3"/>
    </w:lvl>
    <w:lvl w:ilvl="1">
      <w:lvlJc w:val="left"/>
      <w:lvlText w:val="(%2)"/>
      <w:numFmt w:val="lowerLetter"/>
      <w:start w:val="1"/>
    </w:lvl>
  </w:abstractNum>
  <w:abstractNum w:abstractNumId="73">
    <w:nsid w:val="29934699"/>
    <w:multiLevelType w:val="hybridMultilevel"/>
    <w:lvl w:ilvl="0">
      <w:lvlJc w:val="left"/>
      <w:lvlText w:val="(%1)"/>
      <w:numFmt w:val="lowerLetter"/>
      <w:start w:val="1"/>
    </w:lvl>
  </w:abstractNum>
  <w:abstractNum w:abstractNumId="74">
    <w:nsid w:val="77485850"/>
    <w:multiLevelType w:val="hybridMultilevel"/>
    <w:lvl w:ilvl="0">
      <w:lvlJc w:val="left"/>
      <w:lvlText w:val="(%1)"/>
      <w:numFmt w:val="decimal"/>
      <w:start w:val="1"/>
    </w:lvl>
  </w:abstractNum>
  <w:abstractNum w:abstractNumId="75">
    <w:nsid w:val="744939A3"/>
    <w:multiLevelType w:val="hybridMultilevel"/>
    <w:lvl w:ilvl="0">
      <w:lvlJc w:val="left"/>
      <w:lvlText w:val="(%1)"/>
      <w:numFmt w:val="decimal"/>
      <w:start w:val="3"/>
    </w:lvl>
  </w:abstractNum>
  <w:abstractNum w:abstractNumId="76">
    <w:nsid w:val="4FA0D2E3"/>
    <w:multiLevelType w:val="hybridMultilevel"/>
    <w:lvl w:ilvl="0">
      <w:lvlJc w:val="left"/>
      <w:lvlText w:val="(%1)"/>
      <w:numFmt w:val="decimal"/>
      <w:start w:val="1"/>
    </w:lvl>
    <w:lvl w:ilvl="1">
      <w:lvlJc w:val="left"/>
      <w:lvlText w:val="(%2)"/>
      <w:numFmt w:val="lowerLetter"/>
      <w:start w:val="1"/>
    </w:lvl>
  </w:abstractNum>
  <w:abstractNum w:abstractNumId="77">
    <w:nsid w:val="6B1D2C14"/>
    <w:multiLevelType w:val="hybridMultilevel"/>
    <w:lvl w:ilvl="0">
      <w:lvlJc w:val="left"/>
      <w:lvlText w:val="(%1)"/>
      <w:numFmt w:val="lowerLetter"/>
      <w:start w:val="2"/>
    </w:lvl>
  </w:abstractNum>
  <w:abstractNum w:abstractNumId="78">
    <w:nsid w:val="68B867D3"/>
    <w:multiLevelType w:val="hybridMultilevel"/>
    <w:lvl w:ilvl="0">
      <w:lvlJc w:val="left"/>
      <w:lvlText w:val="%1."/>
      <w:numFmt w:val="decimal"/>
      <w:start w:val="1"/>
    </w:lvl>
  </w:abstractNum>
  <w:abstractNum w:abstractNumId="79">
    <w:nsid w:val="3F7F5DD9"/>
    <w:multiLevelType w:val="hybridMultilevel"/>
    <w:lvl w:ilvl="0">
      <w:lvlJc w:val="left"/>
      <w:lvlText w:val="%1."/>
      <w:numFmt w:val="decimal"/>
      <w:start w:val="2"/>
    </w:lvl>
  </w:abstractNum>
  <w:abstractNum w:abstractNumId="80">
    <w:nsid w:val="2AE05A34"/>
    <w:multiLevelType w:val="hybridMultilevel"/>
    <w:lvl w:ilvl="0">
      <w:lvlJc w:val="left"/>
      <w:lvlText w:val="%1."/>
      <w:numFmt w:val="decimal"/>
      <w:start w:val="3"/>
    </w:lvl>
  </w:abstractNum>
  <w:abstractNum w:abstractNumId="81">
    <w:nsid w:val="32794FF7"/>
    <w:multiLevelType w:val="hybridMultilevel"/>
    <w:lvl w:ilvl="0">
      <w:lvlJc w:val="left"/>
      <w:lvlText w:val="%1."/>
      <w:numFmt w:val="decimal"/>
      <w:start w:val="4"/>
    </w:lvl>
  </w:abstractNum>
  <w:abstractNum w:abstractNumId="82">
    <w:nsid w:val="5454945E"/>
    <w:multiLevelType w:val="hybridMultilevel"/>
    <w:lvl w:ilvl="0">
      <w:lvlJc w:val="left"/>
      <w:lvlText w:val="%1."/>
      <w:numFmt w:val="decimal"/>
      <w:start w:val="5"/>
    </w:lvl>
  </w:abstractNum>
  <w:abstractNum w:abstractNumId="83">
    <w:nsid w:val="4DEFDFA0"/>
    <w:multiLevelType w:val="hybridMultilevel"/>
    <w:lvl w:ilvl="0">
      <w:lvlJc w:val="left"/>
      <w:lvlText w:val="(%1)"/>
      <w:numFmt w:val="decimal"/>
      <w:start w:val="1"/>
    </w:lvl>
  </w:abstractNum>
  <w:abstractNum w:abstractNumId="84">
    <w:nsid w:val="2123D5F2"/>
    <w:multiLevelType w:val="hybridMultilevel"/>
    <w:lvl w:ilvl="0">
      <w:lvlJc w:val="left"/>
      <w:lvlText w:val="(%1)"/>
      <w:numFmt w:val="decimal"/>
      <w:start w:val="1"/>
    </w:lvl>
    <w:lvl w:ilvl="1">
      <w:lvlJc w:val="left"/>
      <w:lvlText w:val="(%2)"/>
      <w:numFmt w:val="lowerLetter"/>
      <w:start w:val="1"/>
    </w:lvl>
  </w:abstractNum>
  <w:abstractNum w:abstractNumId="85">
    <w:nsid w:val="135B8110"/>
    <w:multiLevelType w:val="hybridMultilevel"/>
    <w:lvl w:ilvl="0">
      <w:lvlJc w:val="left"/>
      <w:lvlText w:val="%1."/>
      <w:numFmt w:val="decimal"/>
      <w:start w:val="6"/>
    </w:lvl>
  </w:abstractNum>
  <w:abstractNum w:abstractNumId="86">
    <w:nsid w:val="94927A8"/>
    <w:multiLevelType w:val="hybridMultilevel"/>
    <w:lvl w:ilvl="0">
      <w:lvlJc w:val="left"/>
      <w:lvlText w:val="%1."/>
      <w:numFmt w:val="decimal"/>
      <w:start w:val="7"/>
    </w:lvl>
  </w:abstractNum>
  <w:abstractNum w:abstractNumId="87">
    <w:nsid w:val="DCDF8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8">
    <w:nsid w:val="52D7B105"/>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89">
    <w:nsid w:val="2E8A6394"/>
    <w:multiLevelType w:val="hybridMultilevel"/>
    <w:lvl w:ilvl="0">
      <w:lvlJc w:val="left"/>
      <w:lvlText w:val="(%1)"/>
      <w:numFmt w:val="lowerLetter"/>
      <w:start w:val="8"/>
    </w:lvl>
  </w:abstractNum>
  <w:abstractNum w:abstractNumId="90">
    <w:nsid w:val="24E60401"/>
    <w:multiLevelType w:val="hybridMultilevel"/>
    <w:lvl w:ilvl="0">
      <w:lvlJc w:val="left"/>
      <w:lvlText w:val="(%1)"/>
      <w:numFmt w:val="lowerLetter"/>
      <w:start w:val="10"/>
    </w:lvl>
  </w:abstractNum>
  <w:abstractNum w:abstractNumId="91">
    <w:nsid w:val="2A6AD9BE"/>
    <w:multiLevelType w:val="hybridMultilevel"/>
    <w:lvl w:ilvl="0">
      <w:lvlJc w:val="left"/>
      <w:lvlText w:val="%1)"/>
      <w:numFmt w:val="lowerLetter"/>
      <w:start w:val="11"/>
    </w:lvl>
    <w:lvl w:ilvl="1">
      <w:lvlJc w:val="left"/>
      <w:lvlText w:val="(%2)"/>
      <w:numFmt w:val="lowerRoman"/>
      <w:start w:val="1"/>
    </w:lvl>
  </w:abstractNum>
  <w:abstractNum w:abstractNumId="92">
    <w:nsid w:val="BAAC1B4"/>
    <w:multiLevelType w:val="hybridMultilevel"/>
    <w:lvl w:ilvl="0">
      <w:lvlJc w:val="left"/>
      <w:lvlText w:val="(%1)"/>
      <w:numFmt w:val="lowerLetter"/>
      <w:start w:val="10"/>
    </w:lvl>
  </w:abstractNum>
  <w:abstractNum w:abstractNumId="93">
    <w:nsid w:val="36B2ACBC"/>
    <w:multiLevelType w:val="hybridMultilevel"/>
    <w:lvl w:ilvl="0">
      <w:lvlJc w:val="left"/>
      <w:lvlText w:val="(%1)"/>
      <w:numFmt w:val="lowerLetter"/>
      <w:start w:val="12"/>
    </w:lvl>
    <w:lvl w:ilvl="1">
      <w:lvlJc w:val="left"/>
      <w:lvlText w:val="(%2)"/>
      <w:numFmt w:val="lowerLetter"/>
      <w:start w:val="16"/>
    </w:lvl>
  </w:abstractNum>
  <w:abstractNum w:abstractNumId="94">
    <w:nsid w:val="779D8544"/>
    <w:multiLevelType w:val="hybridMultilevel"/>
    <w:lvl w:ilvl="0">
      <w:lvlJc w:val="left"/>
      <w:lvlText w:val="(%1)"/>
      <w:numFmt w:val="lowerLetter"/>
      <w:start w:val="18"/>
    </w:lvl>
  </w:abstractNum>
  <w:abstractNum w:abstractNumId="95">
    <w:nsid w:val="4AB26E78"/>
    <w:multiLevelType w:val="hybridMultilevel"/>
    <w:lvl w:ilvl="0">
      <w:lvlJc w:val="left"/>
      <w:lvlText w:val="%1"/>
      <w:numFmt w:val="lowerLetter"/>
      <w:start w:val="1"/>
    </w:lvl>
    <w:lvl w:ilvl="1">
      <w:lvlJc w:val="left"/>
      <w:lvlText w:val="(%2)"/>
      <w:numFmt w:val="lowerLetter"/>
      <w:start w:val="21"/>
    </w:lvl>
  </w:abstractNum>
  <w:abstractNum w:abstractNumId="96">
    <w:nsid w:val="21FAA2FA"/>
    <w:multiLevelType w:val="hybridMultilevel"/>
    <w:lvl w:ilvl="0">
      <w:lvlJc w:val="left"/>
      <w:lvlText w:val="(%1)"/>
      <w:numFmt w:val="lowerLetter"/>
      <w:start w:val="22"/>
    </w:lvl>
    <w:lvl w:ilvl="1">
      <w:lvlJc w:val="left"/>
      <w:lvlText w:val="%2"/>
      <w:numFmt w:val="lowerLetter"/>
      <w:start w:val="1"/>
    </w:lvl>
  </w:abstractNum>
  <w:abstractNum w:abstractNumId="97">
    <w:nsid w:val="5451CF49"/>
    <w:multiLevelType w:val="hybridMultilevel"/>
    <w:lvl w:ilvl="0">
      <w:lvlJc w:val="left"/>
      <w:lvlText w:val="(%1)"/>
      <w:numFmt w:val="lowerLetter"/>
      <w:start w:val="27"/>
    </w:lvl>
    <w:lvl w:ilvl="1">
      <w:lvlJc w:val="left"/>
      <w:lvlText w:val="(%2)"/>
      <w:numFmt w:val="lowerLetter"/>
      <w:start w:val="33"/>
    </w:lvl>
  </w:abstractNum>
  <w:abstractNum w:abstractNumId="98">
    <w:nsid w:val="6181EF69"/>
    <w:multiLevelType w:val="hybridMultilevel"/>
    <w:lvl w:ilvl="0">
      <w:lvlJc w:val="left"/>
      <w:lvlText w:val="%1"/>
      <w:numFmt w:val="lowerLetter"/>
      <w:start w:val="1"/>
    </w:lvl>
    <w:lvl w:ilvl="1">
      <w:lvlJc w:val="left"/>
      <w:lvlText w:val="(%2)"/>
      <w:numFmt w:val="lowerLetter"/>
      <w:start w:val="40"/>
    </w:lvl>
    <w:lvl w:ilvl="2">
      <w:lvlJc w:val="left"/>
      <w:lvlText w:val="(%3)"/>
      <w:numFmt w:val="lowerLetter"/>
      <w:start w:val="41"/>
    </w:lvl>
  </w:abstractNum>
  <w:abstractNum w:abstractNumId="99">
    <w:nsid w:val="3E6400E6"/>
    <w:multiLevelType w:val="hybridMultilevel"/>
    <w:lvl w:ilvl="0">
      <w:lvlJc w:val="left"/>
      <w:lvlText w:val="(%1)"/>
      <w:numFmt w:val="lowerLetter"/>
      <w:start w:val="43"/>
    </w:lvl>
    <w:lvl w:ilvl="1">
      <w:lvlJc w:val="left"/>
      <w:lvlText w:val="%2"/>
      <w:numFmt w:val="lowerLetter"/>
      <w:start w:val="1"/>
    </w:lvl>
    <w:lvl w:ilvl="2">
      <w:lvlJc w:val="left"/>
      <w:lvlText w:val="%3"/>
      <w:numFmt w:val="lowerLetter"/>
      <w:start w:val="1"/>
    </w:lvl>
  </w:abstractNum>
  <w:abstractNum w:abstractNumId="100">
    <w:nsid w:val="14217E23"/>
    <w:multiLevelType w:val="hybridMultilevel"/>
    <w:lvl w:ilvl="0">
      <w:lvlJc w:val="left"/>
      <w:lvlText w:val="(%1)"/>
      <w:numFmt w:val="lowerLetter"/>
      <w:start w:val="48"/>
    </w:lvl>
  </w:abstractNum>
  <w:abstractNum w:abstractNumId="101">
    <w:nsid w:val="710757D0"/>
    <w:multiLevelType w:val="hybridMultilevel"/>
    <w:lvl w:ilvl="0">
      <w:lvlJc w:val="left"/>
      <w:lvlText w:val="(%1)"/>
      <w:numFmt w:val="lowerLetter"/>
      <w:start w:val="49"/>
    </w:lvl>
    <w:lvl w:ilvl="1">
      <w:lvlJc w:val="left"/>
      <w:lvlText w:val="(%2)"/>
      <w:numFmt w:val="lowerLetter"/>
      <w:start w:val="51"/>
    </w:lvl>
  </w:abstractNum>
  <w:abstractNum w:abstractNumId="102">
    <w:nsid w:val="5015CD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3"/>
    </w:lvl>
  </w:abstractNum>
  <w:abstractNum w:abstractNumId="103">
    <w:nsid w:val="424479D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5"/>
    </w:lvl>
    <w:lvl w:ilvl="3">
      <w:lvlJc w:val="left"/>
      <w:lvlText w:val="(%4)"/>
      <w:numFmt w:val="lowerLetter"/>
      <w:start w:val="56"/>
    </w:lvl>
  </w:abstractNum>
  <w:abstractNum w:abstractNumId="104">
    <w:nsid w:val="1A9A9E69"/>
    <w:multiLevelType w:val="hybridMultilevel"/>
    <w:lvl w:ilvl="0">
      <w:lvlJc w:val="left"/>
      <w:lvlText w:val="(%1)"/>
      <w:numFmt w:val="lowerLetter"/>
      <w:start w:val="60"/>
    </w:lvl>
    <w:lvl w:ilvl="1">
      <w:lvlJc w:val="left"/>
      <w:lvlText w:val="%2"/>
      <w:numFmt w:val="lowerLetter"/>
      <w:start w:val="1"/>
    </w:lvl>
    <w:lvl w:ilvl="2">
      <w:lvlJc w:val="left"/>
      <w:lvlText w:val="(%3)"/>
      <w:numFmt w:val="lowerLetter"/>
      <w:start w:val="61"/>
    </w:lvl>
    <w:lvl w:ilvl="3">
      <w:lvlJc w:val="left"/>
      <w:lvlText w:val="(%4)"/>
      <w:numFmt w:val="lowerLetter"/>
      <w:start w:val="61"/>
    </w:lvl>
  </w:abstractNum>
  <w:abstractNum w:abstractNumId="105">
    <w:nsid w:val="475E256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63"/>
    </w:lvl>
  </w:abstractNum>
  <w:abstractNum w:abstractNumId="106">
    <w:nsid w:val="368DB37E"/>
    <w:multiLevelType w:val="hybridMultilevel"/>
    <w:lvl w:ilvl="0">
      <w:lvlJc w:val="left"/>
      <w:lvlText w:val="%1"/>
      <w:numFmt w:val="lowerLetter"/>
      <w:start w:val="1"/>
    </w:lvl>
    <w:lvl w:ilvl="1">
      <w:lvlJc w:val="left"/>
      <w:lvlText w:val="(%2)"/>
      <w:numFmt w:val="lowerLetter"/>
      <w:start w:val="65"/>
    </w:lvl>
    <w:lvl w:ilvl="2">
      <w:lvlJc w:val="left"/>
      <w:lvlText w:val="%3"/>
      <w:numFmt w:val="lowerLetter"/>
      <w:start w:val="1"/>
    </w:lvl>
    <w:lvl w:ilvl="3">
      <w:lvlJc w:val="left"/>
      <w:lvlText w:val="%4"/>
      <w:numFmt w:val="lowerLetter"/>
      <w:start w:val="1"/>
    </w:lvl>
  </w:abstractNum>
  <w:abstractNum w:abstractNumId="107">
    <w:nsid w:val="6A3B714C"/>
    <w:multiLevelType w:val="hybridMultilevel"/>
    <w:lvl w:ilvl="0">
      <w:lvlJc w:val="left"/>
      <w:lvlText w:val="(%1)"/>
      <w:numFmt w:val="lowerLetter"/>
      <w:start w:val="66"/>
    </w:lvl>
  </w:abstractNum>
  <w:abstractNum w:abstractNumId="108">
    <w:nsid w:val="327B517E"/>
    <w:multiLevelType w:val="hybridMultilevel"/>
    <w:lvl w:ilvl="0">
      <w:lvlJc w:val="left"/>
      <w:lvlText w:val="(%1)"/>
      <w:numFmt w:val="decimal"/>
      <w:start w:val="1"/>
    </w:lvl>
  </w:abstractNum>
  <w:abstractNum w:abstractNumId="109">
    <w:nsid w:val="1F461B51"/>
    <w:multiLevelType w:val="hybridMultilevel"/>
    <w:lvl w:ilvl="0">
      <w:lvlJc w:val="left"/>
      <w:lvlText w:val="(%1)"/>
      <w:numFmt w:val="decimal"/>
      <w:start w:val="1"/>
    </w:lvl>
  </w:abstractNum>
  <w:abstractNum w:abstractNumId="110">
    <w:nsid w:val="29BACF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1">
    <w:nsid w:val="5D5BABB3"/>
    <w:multiLevelType w:val="hybridMultilevel"/>
    <w:lvl w:ilvl="0">
      <w:lvlJc w:val="left"/>
      <w:lvlText w:val="(%1)"/>
      <w:numFmt w:val="decimal"/>
      <w:start w:val="1"/>
    </w:lvl>
    <w:lvl w:ilvl="1">
      <w:lvlJc w:val="left"/>
      <w:lvlText w:val="(%2)"/>
      <w:numFmt w:val="lowerLetter"/>
      <w:start w:val="1"/>
    </w:lvl>
  </w:abstractNum>
  <w:abstractNum w:abstractNumId="112">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13">
    <w:nsid w:val="7E0F638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4">
    <w:nsid w:val="2B4B8B5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15">
    <w:nsid w:val="72E3413A"/>
    <w:multiLevelType w:val="hybridMultilevel"/>
    <w:lvl w:ilvl="0">
      <w:lvlJc w:val="left"/>
      <w:lvlText w:val="(%1)"/>
      <w:numFmt w:val="lowerLetter"/>
      <w:start w:val="2"/>
    </w:lvl>
  </w:abstractNum>
  <w:abstractNum w:abstractNumId="116">
    <w:nsid w:val="116AE494"/>
    <w:multiLevelType w:val="hybridMultilevel"/>
    <w:lvl w:ilvl="0">
      <w:lvlJc w:val="left"/>
      <w:lvlText w:val="(%1)"/>
      <w:numFmt w:val="decimal"/>
      <w:start w:val="1"/>
    </w:lvl>
  </w:abstractNum>
  <w:abstractNum w:abstractNumId="117">
    <w:nsid w:val="3494B2FB"/>
    <w:multiLevelType w:val="hybridMultilevel"/>
    <w:lvl w:ilvl="0">
      <w:lvlJc w:val="left"/>
      <w:lvlText w:val="(%1)"/>
      <w:numFmt w:val="decimal"/>
      <w:start w:val="4"/>
    </w:lvl>
  </w:abstractNum>
  <w:abstractNum w:abstractNumId="118">
    <w:nsid w:val="B13A31"/>
    <w:multiLevelType w:val="hybridMultilevel"/>
    <w:lvl w:ilvl="0">
      <w:lvlJc w:val="left"/>
      <w:lvlText w:val="(%1)"/>
      <w:numFmt w:val="decimal"/>
      <w:start w:val="1"/>
    </w:lvl>
    <w:lvl w:ilvl="1">
      <w:lvlJc w:val="left"/>
      <w:lvlText w:val="(%2)"/>
      <w:numFmt w:val="lowerLetter"/>
      <w:start w:val="1"/>
    </w:lvl>
  </w:abstractNum>
  <w:abstractNum w:abstractNumId="119">
    <w:nsid w:val="64429599"/>
    <w:multiLevelType w:val="hybridMultilevel"/>
    <w:lvl w:ilvl="0">
      <w:lvlJc w:val="left"/>
      <w:lvlText w:val="(%1)"/>
      <w:numFmt w:val="lowerLetter"/>
      <w:start w:val="1"/>
    </w:lvl>
  </w:abstractNum>
  <w:abstractNum w:abstractNumId="120">
    <w:nsid w:val="631F1690"/>
    <w:multiLevelType w:val="hybridMultilevel"/>
    <w:lvl w:ilvl="0">
      <w:lvlJc w:val="left"/>
      <w:lvlText w:val="(%1)"/>
      <w:numFmt w:val="decimal"/>
      <w:start w:val="1"/>
    </w:lvl>
  </w:abstractNum>
  <w:abstractNum w:abstractNumId="121">
    <w:nsid w:val="25973E32"/>
    <w:multiLevelType w:val="hybridMultilevel"/>
    <w:lvl w:ilvl="0">
      <w:lvlJc w:val="left"/>
      <w:lvlText w:val="(%1)"/>
      <w:numFmt w:val="lowerRoman"/>
      <w:start w:val="2"/>
    </w:lvl>
  </w:abstractNum>
  <w:abstractNum w:abstractNumId="122">
    <w:nsid w:val="EAD6F57"/>
    <w:multiLevelType w:val="hybridMultilevel"/>
    <w:lvl w:ilvl="0">
      <w:lvlJc w:val="left"/>
      <w:lvlText w:val="(%1)"/>
      <w:numFmt w:val="decimal"/>
      <w:start w:val="1"/>
    </w:lvl>
  </w:abstractNum>
  <w:abstractNum w:abstractNumId="123">
    <w:nsid w:val="6EC9D844"/>
    <w:multiLevelType w:val="hybridMultilevel"/>
    <w:lvl w:ilvl="0">
      <w:lvlJc w:val="left"/>
      <w:lvlText w:val="(%1)"/>
      <w:numFmt w:val="decimal"/>
      <w:start w:val="1"/>
    </w:lvl>
  </w:abstractNum>
  <w:abstractNum w:abstractNumId="124">
    <w:nsid w:val="5C49EAEE"/>
    <w:multiLevelType w:val="hybridMultilevel"/>
    <w:lvl w:ilvl="0">
      <w:lvlJc w:val="left"/>
      <w:lvlText w:val="(%1)"/>
      <w:numFmt w:val="decimal"/>
      <w:start w:val="1"/>
    </w:lvl>
  </w:abstractNum>
  <w:abstractNum w:abstractNumId="125">
    <w:nsid w:val="64AF4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6">
    <w:nsid w:val="397C46B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7">
    <w:nsid w:val="7E448DE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28">
    <w:nsid w:val="5A9CC3E5"/>
    <w:multiLevelType w:val="hybridMultilevel"/>
    <w:lvl w:ilvl="0">
      <w:lvlJc w:val="left"/>
      <w:lvlText w:val="(%1)"/>
      <w:numFmt w:val="decimal"/>
      <w:start w:val="1"/>
    </w:lvl>
  </w:abstractNum>
  <w:abstractNum w:abstractNumId="129">
    <w:nsid w:val="1AFE3625"/>
    <w:multiLevelType w:val="hybridMultilevel"/>
    <w:lvl w:ilvl="0">
      <w:lvlJc w:val="left"/>
      <w:lvlText w:val="(%1)"/>
      <w:numFmt w:val="decimal"/>
      <w:start w:val="1"/>
    </w:lvl>
    <w:lvl w:ilvl="1">
      <w:lvlJc w:val="left"/>
      <w:lvlText w:val="(%2)"/>
      <w:numFmt w:val="lowerLetter"/>
      <w:start w:val="1"/>
    </w:lvl>
  </w:abstractNum>
  <w:abstractNum w:abstractNumId="130">
    <w:nsid w:val="3CA88ECF"/>
    <w:multiLevelType w:val="hybridMultilevel"/>
    <w:lvl w:ilvl="0">
      <w:lvlJc w:val="left"/>
      <w:lvlText w:val="(%1)"/>
      <w:numFmt w:val="decimal"/>
      <w:start w:val="1"/>
    </w:lvl>
  </w:abstractNum>
  <w:abstractNum w:abstractNumId="131">
    <w:nsid w:val="6EBE4208"/>
    <w:multiLevelType w:val="hybridMultilevel"/>
    <w:lvl w:ilvl="0">
      <w:lvlJc w:val="left"/>
      <w:lvlText w:val="(%1)"/>
      <w:numFmt w:val="decimal"/>
      <w:start w:val="1"/>
    </w:lvl>
  </w:abstractNum>
  <w:abstractNum w:abstractNumId="132">
    <w:nsid w:val="C058DF5"/>
    <w:multiLevelType w:val="hybridMultilevel"/>
    <w:lvl w:ilvl="0">
      <w:lvlJc w:val="left"/>
      <w:lvlText w:val="(%1)"/>
      <w:numFmt w:val="decimal"/>
      <w:start w:val="4"/>
    </w:lvl>
  </w:abstractNum>
  <w:abstractNum w:abstractNumId="133">
    <w:nsid w:val="CBE5BE9"/>
    <w:multiLevelType w:val="hybridMultilevel"/>
    <w:lvl w:ilvl="0">
      <w:lvlJc w:val="left"/>
      <w:lvlText w:val="(%1)"/>
      <w:numFmt w:val="decimal"/>
      <w:start w:val="1"/>
    </w:lvl>
  </w:abstractNum>
  <w:abstractNum w:abstractNumId="134">
    <w:nsid w:val="3102BBE2"/>
    <w:multiLevelType w:val="hybridMultilevel"/>
    <w:lvl w:ilvl="0">
      <w:lvlJc w:val="left"/>
      <w:lvlText w:val="(%1)"/>
      <w:numFmt w:val="decimal"/>
      <w:start w:val="1"/>
    </w:lvl>
  </w:abstractNum>
  <w:abstractNum w:abstractNumId="135">
    <w:nsid w:val="26A02C5E"/>
    <w:multiLevelType w:val="hybridMultilevel"/>
    <w:lvl w:ilvl="0">
      <w:lvlJc w:val="left"/>
      <w:lvlText w:val="(%1)"/>
      <w:numFmt w:val="decimal"/>
      <w:start w:val="1"/>
    </w:lvl>
  </w:abstractNum>
  <w:abstractNum w:abstractNumId="136">
    <w:nsid w:val="541C815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137">
    <w:nsid w:val="67906F60"/>
    <w:multiLevelType w:val="hybridMultilevel"/>
    <w:lvl w:ilvl="0">
      <w:lvlJc w:val="left"/>
      <w:lvlText w:val="(%1)"/>
      <w:numFmt w:val="decimal"/>
      <w:start w:val="1"/>
    </w:lvl>
  </w:abstractNum>
  <w:abstractNum w:abstractNumId="138">
    <w:nsid w:val="10DB9DAA"/>
    <w:multiLevelType w:val="hybridMultilevel"/>
    <w:lvl w:ilvl="0">
      <w:lvlJc w:val="left"/>
      <w:lvlText w:val="(%1)"/>
      <w:numFmt w:val="decimal"/>
      <w:start w:val="1"/>
    </w:lvl>
  </w:abstractNum>
  <w:abstractNum w:abstractNumId="139">
    <w:nsid w:val="697D2D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0">
    <w:nsid w:val="6D68AB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41">
    <w:nsid w:val="3A966CD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42">
    <w:nsid w:val="63F37E85"/>
    <w:multiLevelType w:val="hybridMultilevel"/>
    <w:lvl w:ilvl="0">
      <w:lvlJc w:val="left"/>
      <w:lvlText w:val="(%1)"/>
      <w:numFmt w:val="decimal"/>
      <w:start w:val="1"/>
    </w:lvl>
  </w:abstractNum>
  <w:abstractNum w:abstractNumId="143">
    <w:nsid w:val="5895F5FA"/>
    <w:multiLevelType w:val="hybridMultilevel"/>
    <w:lvl w:ilvl="0">
      <w:lvlJc w:val="left"/>
      <w:lvlText w:val="(%1)"/>
      <w:numFmt w:val="lowerLetter"/>
      <w:start w:val="1"/>
    </w:lvl>
  </w:abstractNum>
  <w:abstractNum w:abstractNumId="144">
    <w:nsid w:val="38A5D054"/>
    <w:multiLevelType w:val="hybridMultilevel"/>
    <w:lvl w:ilvl="0">
      <w:lvlJc w:val="left"/>
      <w:lvlText w:val="(%1)"/>
      <w:numFmt w:val="decimal"/>
      <w:start w:val="1"/>
    </w:lvl>
  </w:abstractNum>
  <w:abstractNum w:abstractNumId="145">
    <w:nsid w:val="F3F09D8"/>
    <w:multiLevelType w:val="hybridMultilevel"/>
    <w:lvl w:ilvl="0">
      <w:lvlJc w:val="left"/>
      <w:lvlText w:val="(%1)"/>
      <w:numFmt w:val="decimal"/>
      <w:start w:val="3"/>
    </w:lvl>
  </w:abstractNum>
  <w:abstractNum w:abstractNumId="146">
    <w:nsid w:val="4B793735"/>
    <w:multiLevelType w:val="hybridMultilevel"/>
    <w:lvl w:ilvl="0">
      <w:lvlJc w:val="left"/>
      <w:lvlText w:val="(%1)"/>
      <w:numFmt w:val="decimal"/>
      <w:start w:val="1"/>
    </w:lvl>
    <w:lvl w:ilvl="1">
      <w:lvlJc w:val="left"/>
      <w:lvlText w:val="(%2)"/>
      <w:numFmt w:val="lowerLetter"/>
      <w:start w:val="1"/>
    </w:lvl>
  </w:abstractNum>
  <w:abstractNum w:abstractNumId="147">
    <w:nsid w:val="4A10B4E8"/>
    <w:multiLevelType w:val="hybridMultilevel"/>
    <w:lvl w:ilvl="0">
      <w:lvlJc w:val="left"/>
      <w:lvlText w:val="(%1)"/>
      <w:numFmt w:val="lowerLetter"/>
      <w:start w:val="1"/>
    </w:lvl>
  </w:abstractNum>
  <w:abstractNum w:abstractNumId="148">
    <w:nsid w:val="43D3BCD4"/>
    <w:multiLevelType w:val="hybridMultilevel"/>
    <w:lvl w:ilvl="0">
      <w:lvlJc w:val="left"/>
      <w:lvlText w:val="(%1)"/>
      <w:numFmt w:val="decimal"/>
      <w:start w:val="1"/>
    </w:lvl>
  </w:abstractNum>
  <w:abstractNum w:abstractNumId="149">
    <w:nsid w:val="4C2A7166"/>
    <w:multiLevelType w:val="hybridMultilevel"/>
    <w:lvl w:ilvl="0">
      <w:lvlJc w:val="left"/>
      <w:lvlText w:val="(%1)"/>
      <w:numFmt w:val="decimal"/>
      <w:start w:val="2"/>
    </w:lvl>
  </w:abstractNum>
  <w:abstractNum w:abstractNumId="150">
    <w:nsid w:val="2E534A82"/>
    <w:multiLevelType w:val="hybridMultilevel"/>
    <w:lvl w:ilvl="0">
      <w:lvlJc w:val="left"/>
      <w:lvlText w:val="(%1)"/>
      <w:numFmt w:val="decimal"/>
      <w:start w:val="1"/>
    </w:lvl>
  </w:abstractNum>
  <w:abstractNum w:abstractNumId="151">
    <w:nsid w:val="26F2D364"/>
    <w:multiLevelType w:val="hybridMultilevel"/>
    <w:lvl w:ilvl="0">
      <w:lvlJc w:val="left"/>
      <w:lvlText w:val="(%1)"/>
      <w:numFmt w:val="decimal"/>
      <w:start w:val="2"/>
    </w:lvl>
    <w:lvl w:ilvl="1">
      <w:lvlJc w:val="left"/>
      <w:lvlText w:val="(%2)"/>
      <w:numFmt w:val="lowerLetter"/>
      <w:start w:val="1"/>
    </w:lvl>
  </w:abstractNum>
  <w:abstractNum w:abstractNumId="152">
    <w:nsid w:val="71C1AF98"/>
    <w:multiLevelType w:val="hybridMultilevel"/>
    <w:lvl w:ilvl="0">
      <w:lvlJc w:val="left"/>
      <w:lvlText w:val="%1."/>
      <w:numFmt w:val="decimal"/>
      <w:start w:val="1"/>
    </w:lvl>
  </w:abstractNum>
  <w:abstractNum w:abstractNumId="153">
    <w:nsid w:val="3D00B9D9"/>
    <w:multiLevelType w:val="hybridMultilevel"/>
    <w:lvl w:ilvl="0">
      <w:lvlJc w:val="left"/>
      <w:lvlText w:val="%1."/>
      <w:numFmt w:val="decimal"/>
      <w:start w:val="2"/>
    </w:lvl>
  </w:abstractNum>
  <w:abstractNum w:abstractNumId="154">
    <w:nsid w:val="15BCABA8"/>
    <w:multiLevelType w:val="hybridMultilevel"/>
    <w:lvl w:ilvl="0">
      <w:lvlJc w:val="left"/>
      <w:lvlText w:val="%1."/>
      <w:numFmt w:val="decimal"/>
      <w:start w:val="3"/>
    </w:lvl>
  </w:abstractNum>
  <w:abstractNum w:abstractNumId="155">
    <w:nsid w:val="4E0B9A87"/>
    <w:multiLevelType w:val="hybridMultilevel"/>
    <w:lvl w:ilvl="0">
      <w:lvlJc w:val="left"/>
      <w:lvlText w:val="%1."/>
      <w:numFmt w:val="decimal"/>
      <w:start w:val="4"/>
    </w:lvl>
  </w:abstractNum>
  <w:abstractNum w:abstractNumId="156">
    <w:nsid w:val="434BAE75"/>
    <w:multiLevelType w:val="hybridMultilevel"/>
    <w:lvl w:ilvl="0">
      <w:lvlJc w:val="left"/>
      <w:lvlText w:val="%1."/>
      <w:numFmt w:val="decimal"/>
      <w:start w:val="5"/>
    </w:lvl>
  </w:abstractNum>
  <w:abstractNum w:abstractNumId="157">
    <w:nsid w:val="4F38F265"/>
    <w:multiLevelType w:val="hybridMultilevel"/>
    <w:lvl w:ilvl="0">
      <w:lvlJc w:val="left"/>
      <w:lvlText w:val="(%1)"/>
      <w:numFmt w:val="decimal"/>
      <w:start w:val="1"/>
    </w:lvl>
  </w:abstractNum>
  <w:abstractNum w:abstractNumId="158">
    <w:nsid w:val="4C502870"/>
    <w:multiLevelType w:val="hybridMultilevel"/>
    <w:lvl w:ilvl="0">
      <w:lvlJc w:val="left"/>
      <w:lvlText w:val="(%1)"/>
      <w:numFmt w:val="decimal"/>
      <w:start w:val="1"/>
    </w:lvl>
    <w:lvl w:ilvl="1">
      <w:lvlJc w:val="left"/>
      <w:lvlText w:val="(%2)"/>
      <w:numFmt w:val="lowerLetter"/>
      <w:start w:val="1"/>
    </w:lvl>
  </w:abstractNum>
  <w:abstractNum w:abstractNumId="159">
    <w:nsid w:val="1DE8725A"/>
    <w:multiLevelType w:val="hybridMultilevel"/>
    <w:lvl w:ilvl="0">
      <w:lvlJc w:val="left"/>
      <w:lvlText w:val="%1."/>
      <w:numFmt w:val="decimal"/>
      <w:start w:val="6"/>
    </w:lvl>
  </w:abstractNum>
  <w:abstractNum w:abstractNumId="160">
    <w:nsid w:val="6A37288A"/>
    <w:multiLevelType w:val="hybridMultilevel"/>
    <w:lvl w:ilvl="0">
      <w:lvlJc w:val="left"/>
      <w:lvlText w:val="%1."/>
      <w:numFmt w:val="decimal"/>
      <w:start w:val="7"/>
    </w:lvl>
  </w:abstractNum>
  <w:abstractNum w:abstractNumId="161">
    <w:nsid w:val="8F8B73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2">
    <w:nsid w:val="CA6B462"/>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163">
    <w:nsid w:val="763CB680"/>
    <w:multiLevelType w:val="hybridMultilevel"/>
    <w:lvl w:ilvl="0">
      <w:lvlJc w:val="left"/>
      <w:lvlText w:val="(%1)"/>
      <w:numFmt w:val="lowerLetter"/>
      <w:start w:val="8"/>
    </w:lvl>
  </w:abstractNum>
  <w:abstractNum w:abstractNumId="164">
    <w:nsid w:val="15B71329"/>
    <w:multiLevelType w:val="hybridMultilevel"/>
    <w:lvl w:ilvl="0">
      <w:lvlJc w:val="left"/>
      <w:lvlText w:val="(%1)"/>
      <w:numFmt w:val="lowerLetter"/>
      <w:start w:val="10"/>
    </w:lvl>
  </w:abstractNum>
  <w:abstractNum w:abstractNumId="165">
    <w:nsid w:val="3DA97044"/>
    <w:multiLevelType w:val="hybridMultilevel"/>
    <w:lvl w:ilvl="0">
      <w:lvlJc w:val="left"/>
      <w:lvlText w:val="%1)"/>
      <w:numFmt w:val="lowerLetter"/>
      <w:start w:val="11"/>
    </w:lvl>
    <w:lvl w:ilvl="1">
      <w:lvlJc w:val="left"/>
      <w:lvlText w:val="(%2)"/>
      <w:numFmt w:val="lowerRoman"/>
      <w:start w:val="1"/>
    </w:lvl>
  </w:abstractNum>
  <w:abstractNum w:abstractNumId="166">
    <w:nsid w:val="1CDCE2DE"/>
    <w:multiLevelType w:val="hybridMultilevel"/>
    <w:lvl w:ilvl="0">
      <w:lvlJc w:val="left"/>
      <w:lvlText w:val="(%1)"/>
      <w:numFmt w:val="lowerLetter"/>
      <w:start w:val="10"/>
    </w:lvl>
  </w:abstractNum>
  <w:abstractNum w:abstractNumId="167">
    <w:nsid w:val="69D3947C"/>
    <w:multiLevelType w:val="hybridMultilevel"/>
    <w:lvl w:ilvl="0">
      <w:lvlJc w:val="left"/>
      <w:lvlText w:val="(%1)"/>
      <w:numFmt w:val="lowerLetter"/>
      <w:start w:val="12"/>
    </w:lvl>
    <w:lvl w:ilvl="1">
      <w:lvlJc w:val="left"/>
      <w:lvlText w:val="(%2)"/>
      <w:numFmt w:val="lowerLetter"/>
      <w:start w:val="16"/>
    </w:lvl>
  </w:abstractNum>
  <w:abstractNum w:abstractNumId="168">
    <w:nsid w:val="2539DFA5"/>
    <w:multiLevelType w:val="hybridMultilevel"/>
    <w:lvl w:ilvl="0">
      <w:lvlJc w:val="left"/>
      <w:lvlText w:val="(%1)"/>
      <w:numFmt w:val="lowerLetter"/>
      <w:start w:val="18"/>
    </w:lvl>
  </w:abstractNum>
  <w:abstractNum w:abstractNumId="169">
    <w:nsid w:val="2DB88089"/>
    <w:multiLevelType w:val="hybridMultilevel"/>
    <w:lvl w:ilvl="0">
      <w:lvlJc w:val="left"/>
      <w:lvlText w:val="%1"/>
      <w:numFmt w:val="lowerLetter"/>
      <w:start w:val="1"/>
    </w:lvl>
    <w:lvl w:ilvl="1">
      <w:lvlJc w:val="left"/>
      <w:lvlText w:val="(%2)"/>
      <w:numFmt w:val="lowerLetter"/>
      <w:start w:val="21"/>
    </w:lvl>
  </w:abstractNum>
  <w:abstractNum w:abstractNumId="170">
    <w:nsid w:val="706B674E"/>
    <w:multiLevelType w:val="hybridMultilevel"/>
    <w:lvl w:ilvl="0">
      <w:lvlJc w:val="left"/>
      <w:lvlText w:val="(%1)"/>
      <w:numFmt w:val="lowerLetter"/>
      <w:start w:val="22"/>
    </w:lvl>
    <w:lvl w:ilvl="1">
      <w:lvlJc w:val="left"/>
      <w:lvlText w:val="%2"/>
      <w:numFmt w:val="lowerLetter"/>
      <w:start w:val="1"/>
    </w:lvl>
  </w:abstractNum>
  <w:abstractNum w:abstractNumId="171">
    <w:nsid w:val="2C106A57"/>
    <w:multiLevelType w:val="hybridMultilevel"/>
    <w:lvl w:ilvl="0">
      <w:lvlJc w:val="left"/>
      <w:lvlText w:val="(%1)"/>
      <w:numFmt w:val="lowerLetter"/>
      <w:start w:val="27"/>
    </w:lvl>
    <w:lvl w:ilvl="1">
      <w:lvlJc w:val="left"/>
      <w:lvlText w:val="(%2)"/>
      <w:numFmt w:val="lowerLetter"/>
      <w:start w:val="33"/>
    </w:lvl>
  </w:abstractNum>
  <w:abstractNum w:abstractNumId="172">
    <w:nsid w:val="684EED59"/>
    <w:multiLevelType w:val="hybridMultilevel"/>
    <w:lvl w:ilvl="0">
      <w:lvlJc w:val="left"/>
      <w:lvlText w:val="%1"/>
      <w:numFmt w:val="lowerLetter"/>
      <w:start w:val="1"/>
    </w:lvl>
    <w:lvl w:ilvl="1">
      <w:lvlJc w:val="left"/>
      <w:lvlText w:val="(%2)"/>
      <w:numFmt w:val="lowerLetter"/>
      <w:start w:val="40"/>
    </w:lvl>
    <w:lvl w:ilvl="2">
      <w:lvlJc w:val="left"/>
      <w:lvlText w:val="(%3)"/>
      <w:numFmt w:val="lowerLetter"/>
      <w:start w:val="41"/>
    </w:lvl>
  </w:abstractNum>
  <w:abstractNum w:abstractNumId="173">
    <w:nsid w:val="545EE5D3"/>
    <w:multiLevelType w:val="hybridMultilevel"/>
    <w:lvl w:ilvl="0">
      <w:lvlJc w:val="left"/>
      <w:lvlText w:val="(%1)"/>
      <w:numFmt w:val="lowerLetter"/>
      <w:start w:val="43"/>
    </w:lvl>
    <w:lvl w:ilvl="1">
      <w:lvlJc w:val="left"/>
      <w:lvlText w:val="%2"/>
      <w:numFmt w:val="lowerLetter"/>
      <w:start w:val="1"/>
    </w:lvl>
    <w:lvl w:ilvl="2">
      <w:lvlJc w:val="left"/>
      <w:lvlText w:val="%3"/>
      <w:numFmt w:val="lowerLetter"/>
      <w:start w:val="1"/>
    </w:lvl>
  </w:abstractNum>
  <w:abstractNum w:abstractNumId="174">
    <w:nsid w:val="4A66051"/>
    <w:multiLevelType w:val="hybridMultilevel"/>
    <w:lvl w:ilvl="0">
      <w:lvlJc w:val="left"/>
      <w:lvlText w:val="(%1)"/>
      <w:numFmt w:val="lowerLetter"/>
      <w:start w:val="48"/>
    </w:lvl>
  </w:abstractNum>
  <w:abstractNum w:abstractNumId="175">
    <w:nsid w:val="20F4BDAD"/>
    <w:multiLevelType w:val="hybridMultilevel"/>
    <w:lvl w:ilvl="0">
      <w:lvlJc w:val="left"/>
      <w:lvlText w:val="(%1)"/>
      <w:numFmt w:val="lowerLetter"/>
      <w:start w:val="49"/>
    </w:lvl>
    <w:lvl w:ilvl="1">
      <w:lvlJc w:val="left"/>
      <w:lvlText w:val="(%2)"/>
      <w:numFmt w:val="lowerLetter"/>
      <w:start w:val="51"/>
    </w:lvl>
  </w:abstractNum>
  <w:abstractNum w:abstractNumId="176">
    <w:nsid w:val="639DEF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3"/>
    </w:lvl>
  </w:abstractNum>
  <w:abstractNum w:abstractNumId="177">
    <w:nsid w:val="501F978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5"/>
    </w:lvl>
    <w:lvl w:ilvl="3">
      <w:lvlJc w:val="left"/>
      <w:lvlText w:val="(%4)"/>
      <w:numFmt w:val="lowerLetter"/>
      <w:start w:val="56"/>
    </w:lvl>
  </w:abstractNum>
  <w:abstractNum w:abstractNumId="178">
    <w:nsid w:val="6B057295"/>
    <w:multiLevelType w:val="hybridMultilevel"/>
    <w:lvl w:ilvl="0">
      <w:lvlJc w:val="left"/>
      <w:lvlText w:val="(%1)"/>
      <w:numFmt w:val="lowerLetter"/>
      <w:start w:val="60"/>
    </w:lvl>
    <w:lvl w:ilvl="1">
      <w:lvlJc w:val="left"/>
      <w:lvlText w:val="%2"/>
      <w:numFmt w:val="lowerLetter"/>
      <w:start w:val="1"/>
    </w:lvl>
    <w:lvl w:ilvl="2">
      <w:lvlJc w:val="left"/>
      <w:lvlText w:val="(%3)"/>
      <w:numFmt w:val="lowerLetter"/>
      <w:start w:val="61"/>
    </w:lvl>
    <w:lvl w:ilvl="3">
      <w:lvlJc w:val="left"/>
      <w:lvlText w:val="(%4)"/>
      <w:numFmt w:val="lowerLetter"/>
      <w:start w:val="61"/>
    </w:lvl>
  </w:abstractNum>
  <w:abstractNum w:abstractNumId="179">
    <w:nsid w:val="2771AC8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63"/>
    </w:lvl>
  </w:abstractNum>
  <w:abstractNum w:abstractNumId="180">
    <w:nsid w:val="1C4A08EC"/>
    <w:multiLevelType w:val="hybridMultilevel"/>
    <w:lvl w:ilvl="0">
      <w:lvlJc w:val="left"/>
      <w:lvlText w:val="%1"/>
      <w:numFmt w:val="lowerLetter"/>
      <w:start w:val="1"/>
    </w:lvl>
    <w:lvl w:ilvl="1">
      <w:lvlJc w:val="left"/>
      <w:lvlText w:val="(%2)"/>
      <w:numFmt w:val="lowerLetter"/>
      <w:start w:val="65"/>
    </w:lvl>
    <w:lvl w:ilvl="2">
      <w:lvlJc w:val="left"/>
      <w:lvlText w:val="%3"/>
      <w:numFmt w:val="lowerLetter"/>
      <w:start w:val="1"/>
    </w:lvl>
    <w:lvl w:ilvl="3">
      <w:lvlJc w:val="left"/>
      <w:lvlText w:val="%4"/>
      <w:numFmt w:val="lowerLetter"/>
      <w:start w:val="1"/>
    </w:lvl>
  </w:abstractNum>
  <w:abstractNum w:abstractNumId="181">
    <w:nsid w:val="1958BD17"/>
    <w:multiLevelType w:val="hybridMultilevel"/>
    <w:lvl w:ilvl="0">
      <w:lvlJc w:val="left"/>
      <w:lvlText w:val="(%1)"/>
      <w:numFmt w:val="lowerLetter"/>
      <w:start w:val="66"/>
    </w:lvl>
  </w:abstractNum>
  <w:abstractNum w:abstractNumId="182">
    <w:nsid w:val="4E647FE4"/>
    <w:multiLevelType w:val="hybridMultilevel"/>
    <w:lvl w:ilvl="0">
      <w:lvlJc w:val="left"/>
      <w:lvlText w:val="(%1)"/>
      <w:numFmt w:val="decimal"/>
      <w:start w:val="1"/>
    </w:lvl>
  </w:abstractNum>
  <w:abstractNum w:abstractNumId="183">
    <w:nsid w:val="E0BB885"/>
    <w:multiLevelType w:val="hybridMultilevel"/>
    <w:lvl w:ilvl="0">
      <w:lvlJc w:val="left"/>
      <w:lvlText w:val="(%1)"/>
      <w:numFmt w:val="decimal"/>
      <w:start w:val="1"/>
    </w:lvl>
  </w:abstractNum>
  <w:abstractNum w:abstractNumId="184">
    <w:nsid w:val="565976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5">
    <w:nsid w:val="64212B8C"/>
    <w:multiLevelType w:val="hybridMultilevel"/>
    <w:lvl w:ilvl="0">
      <w:lvlJc w:val="left"/>
      <w:lvlText w:val="(%1)"/>
      <w:numFmt w:val="decimal"/>
      <w:start w:val="1"/>
    </w:lvl>
    <w:lvl w:ilvl="1">
      <w:lvlJc w:val="left"/>
      <w:lvlText w:val="(%2)"/>
      <w:numFmt w:val="lowerLetter"/>
      <w:start w:val="1"/>
    </w:lvl>
  </w:abstractNum>
  <w:abstractNum w:abstractNumId="186">
    <w:nsid w:val="5C17530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7">
    <w:nsid w:val="19A5256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88">
    <w:nsid w:val="335A1DF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89">
    <w:nsid w:val="28677B7C"/>
    <w:multiLevelType w:val="hybridMultilevel"/>
    <w:lvl w:ilvl="0">
      <w:lvlJc w:val="left"/>
      <w:lvlText w:val="(%1)"/>
      <w:numFmt w:val="lowerLetter"/>
      <w:start w:val="2"/>
    </w:lvl>
  </w:abstractNum>
  <w:abstractNum w:abstractNumId="190">
    <w:nsid w:val="378D97C0"/>
    <w:multiLevelType w:val="hybridMultilevel"/>
    <w:lvl w:ilvl="0">
      <w:lvlJc w:val="left"/>
      <w:lvlText w:val="(%1)"/>
      <w:numFmt w:val="decimal"/>
      <w:start w:val="1"/>
    </w:lvl>
  </w:abstractNum>
  <w:abstractNum w:abstractNumId="191">
    <w:nsid w:val="1D91467C"/>
    <w:multiLevelType w:val="hybridMultilevel"/>
    <w:lvl w:ilvl="0">
      <w:lvlJc w:val="left"/>
      <w:lvlText w:val="(%1)"/>
      <w:numFmt w:val="decimal"/>
      <w:start w:val="4"/>
    </w:lvl>
  </w:abstractNum>
  <w:abstractNum w:abstractNumId="192">
    <w:nsid w:val="316032BB"/>
    <w:multiLevelType w:val="hybridMultilevel"/>
    <w:lvl w:ilvl="0">
      <w:lvlJc w:val="left"/>
      <w:lvlText w:val="(%1)"/>
      <w:numFmt w:val="decimal"/>
      <w:start w:val="1"/>
    </w:lvl>
    <w:lvl w:ilvl="1">
      <w:lvlJc w:val="left"/>
      <w:lvlText w:val="(%2)"/>
      <w:numFmt w:val="lowerLetter"/>
      <w:start w:val="1"/>
    </w:lvl>
  </w:abstractNum>
  <w:abstractNum w:abstractNumId="193">
    <w:nsid w:val="44344C22"/>
    <w:multiLevelType w:val="hybridMultilevel"/>
    <w:lvl w:ilvl="0">
      <w:lvlJc w:val="left"/>
      <w:lvlText w:val="(%1)"/>
      <w:numFmt w:val="lowerLetter"/>
      <w:start w:val="1"/>
    </w:lvl>
  </w:abstractNum>
  <w:abstractNum w:abstractNumId="194">
    <w:nsid w:val="13CDFCFC"/>
    <w:multiLevelType w:val="hybridMultilevel"/>
    <w:lvl w:ilvl="0">
      <w:lvlJc w:val="left"/>
      <w:lvlText w:val="(%1)"/>
      <w:numFmt w:val="decimal"/>
      <w:start w:val="1"/>
    </w:lvl>
  </w:abstractNum>
  <w:abstractNum w:abstractNumId="195">
    <w:nsid w:val="471745E4"/>
    <w:multiLevelType w:val="hybridMultilevel"/>
    <w:lvl w:ilvl="0">
      <w:lvlJc w:val="left"/>
      <w:lvlText w:val="(%1)"/>
      <w:numFmt w:val="lowerRoman"/>
      <w:start w:val="2"/>
    </w:lvl>
  </w:abstractNum>
  <w:abstractNum w:abstractNumId="196">
    <w:nsid w:val="1DDBC66"/>
    <w:multiLevelType w:val="hybridMultilevel"/>
    <w:lvl w:ilvl="0">
      <w:lvlJc w:val="left"/>
      <w:lvlText w:val="(%1)"/>
      <w:numFmt w:val="decimal"/>
      <w:start w:val="1"/>
    </w:lvl>
  </w:abstractNum>
  <w:abstractNum w:abstractNumId="197">
    <w:nsid w:val="30AADFDA"/>
    <w:multiLevelType w:val="hybridMultilevel"/>
    <w:lvl w:ilvl="0">
      <w:lvlJc w:val="left"/>
      <w:lvlText w:val="(%1)"/>
      <w:numFmt w:val="decimal"/>
      <w:start w:val="1"/>
    </w:lvl>
  </w:abstractNum>
  <w:abstractNum w:abstractNumId="198">
    <w:nsid w:val="30EADA61"/>
    <w:multiLevelType w:val="hybridMultilevel"/>
    <w:lvl w:ilvl="0">
      <w:lvlJc w:val="left"/>
      <w:lvlText w:val="(%1)"/>
      <w:numFmt w:val="decimal"/>
      <w:start w:val="1"/>
    </w:lvl>
  </w:abstractNum>
  <w:abstractNum w:abstractNumId="199">
    <w:nsid w:val="27179C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0">
    <w:nsid w:val="5E63606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01">
    <w:nsid w:val="215641A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02">
    <w:nsid w:val="53280662"/>
    <w:multiLevelType w:val="hybridMultilevel"/>
    <w:lvl w:ilvl="0">
      <w:lvlJc w:val="left"/>
      <w:lvlText w:val="(%1)"/>
      <w:numFmt w:val="decimal"/>
      <w:start w:val="1"/>
    </w:lvl>
  </w:abstractNum>
  <w:abstractNum w:abstractNumId="203">
    <w:nsid w:val="46B24DBC"/>
    <w:multiLevelType w:val="hybridMultilevel"/>
    <w:lvl w:ilvl="0">
      <w:lvlJc w:val="left"/>
      <w:lvlText w:val="(%1)"/>
      <w:numFmt w:val="decimal"/>
      <w:start w:val="1"/>
    </w:lvl>
    <w:lvl w:ilvl="1">
      <w:lvlJc w:val="left"/>
      <w:lvlText w:val="(%2)"/>
      <w:numFmt w:val="lowerLetter"/>
      <w:start w:val="1"/>
    </w:lvl>
  </w:abstractNum>
  <w:abstractNum w:abstractNumId="204">
    <w:nsid w:val="75B52783"/>
    <w:multiLevelType w:val="hybridMultilevel"/>
    <w:lvl w:ilvl="0">
      <w:lvlJc w:val="left"/>
      <w:lvlText w:val="(%1)"/>
      <w:numFmt w:val="decimal"/>
      <w:start w:val="1"/>
    </w:lvl>
  </w:abstractNum>
  <w:abstractNum w:abstractNumId="205">
    <w:nsid w:val="57CE66B4"/>
    <w:multiLevelType w:val="hybridMultilevel"/>
    <w:lvl w:ilvl="0">
      <w:lvlJc w:val="left"/>
      <w:lvlText w:val="(%1)"/>
      <w:numFmt w:val="decimal"/>
      <w:start w:val="1"/>
    </w:lvl>
  </w:abstractNum>
  <w:abstractNum w:abstractNumId="206">
    <w:nsid w:val="67A70B69"/>
    <w:multiLevelType w:val="hybridMultilevel"/>
    <w:lvl w:ilvl="0">
      <w:lvlJc w:val="left"/>
      <w:lvlText w:val="(%1)"/>
      <w:numFmt w:val="decimal"/>
      <w:start w:val="4"/>
    </w:lvl>
  </w:abstractNum>
  <w:abstractNum w:abstractNumId="207">
    <w:nsid w:val="5953172F"/>
    <w:multiLevelType w:val="hybridMultilevel"/>
    <w:lvl w:ilvl="0">
      <w:lvlJc w:val="left"/>
      <w:lvlText w:val="(%1)"/>
      <w:numFmt w:val="decimal"/>
      <w:start w:val="1"/>
    </w:lvl>
  </w:abstractNum>
  <w:abstractNum w:abstractNumId="208">
    <w:nsid w:val="27EDFE3A"/>
    <w:multiLevelType w:val="hybridMultilevel"/>
    <w:lvl w:ilvl="0">
      <w:lvlJc w:val="left"/>
      <w:lvlText w:val="(%1)"/>
      <w:numFmt w:val="decimal"/>
      <w:start w:val="1"/>
    </w:lvl>
  </w:abstractNum>
  <w:abstractNum w:abstractNumId="209">
    <w:nsid w:val="52AC7DFF"/>
    <w:multiLevelType w:val="hybridMultilevel"/>
    <w:lvl w:ilvl="0">
      <w:lvlJc w:val="left"/>
      <w:lvlText w:val="(%1)"/>
      <w:numFmt w:val="decimal"/>
      <w:start w:val="1"/>
    </w:lvl>
  </w:abstractNum>
  <w:abstractNum w:abstractNumId="210">
    <w:nsid w:val="C4C3A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lowerLetter"/>
      <w:start w:val="3"/>
    </w:lvl>
  </w:abstractNum>
  <w:abstractNum w:abstractNumId="211">
    <w:nsid w:val="44380727"/>
    <w:multiLevelType w:val="hybridMultilevel"/>
    <w:lvl w:ilvl="0">
      <w:lvlJc w:val="left"/>
      <w:lvlText w:val="(%1)"/>
      <w:numFmt w:val="decimal"/>
      <w:start w:val="1"/>
    </w:lvl>
  </w:abstractNum>
  <w:abstractNum w:abstractNumId="212">
    <w:nsid w:val="6C053B16"/>
    <w:multiLevelType w:val="hybridMultilevel"/>
    <w:lvl w:ilvl="0">
      <w:lvlJc w:val="left"/>
      <w:lvlText w:val="(%1)"/>
      <w:numFmt w:val="decimal"/>
      <w:start w:val="1"/>
    </w:lvl>
  </w:abstractNum>
  <w:abstractNum w:abstractNumId="213">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4">
    <w:nsid w:val="5243BFA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15">
    <w:nsid w:val="425EB20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16">
    <w:nsid w:val="334A6F1F"/>
    <w:multiLevelType w:val="hybridMultilevel"/>
    <w:lvl w:ilvl="0">
      <w:lvlJc w:val="left"/>
      <w:lvlText w:val="(%1)"/>
      <w:numFmt w:val="decimal"/>
      <w:start w:val="1"/>
    </w:lvl>
  </w:abstractNum>
  <w:abstractNum w:abstractNumId="217">
    <w:nsid w:val="2E5B12B8"/>
    <w:multiLevelType w:val="hybridMultilevel"/>
    <w:lvl w:ilvl="0">
      <w:lvlJc w:val="left"/>
      <w:lvlText w:val="(%1)"/>
      <w:numFmt w:val="lowerLetter"/>
      <w:start w:val="1"/>
    </w:lvl>
  </w:abstractNum>
  <w:abstractNum w:abstractNumId="218">
    <w:nsid w:val="5C03D76D"/>
    <w:multiLevelType w:val="hybridMultilevel"/>
    <w:lvl w:ilvl="0">
      <w:lvlJc w:val="left"/>
      <w:lvlText w:val="(%1)"/>
      <w:numFmt w:val="decimal"/>
      <w:start w:val="1"/>
    </w:lvl>
  </w:abstractNum>
  <w:abstractNum w:abstractNumId="219">
    <w:nsid w:val="66A48D11"/>
    <w:multiLevelType w:val="hybridMultilevel"/>
    <w:lvl w:ilvl="0">
      <w:lvlJc w:val="left"/>
      <w:lvlText w:val="(%1)"/>
      <w:numFmt w:val="decimal"/>
      <w:start w:val="3"/>
    </w:lvl>
  </w:abstractNum>
  <w:abstractNum w:abstractNumId="220">
    <w:nsid w:val="56C28E34"/>
    <w:multiLevelType w:val="hybridMultilevel"/>
    <w:lvl w:ilvl="0">
      <w:lvlJc w:val="left"/>
      <w:lvlText w:val="(%1)"/>
      <w:numFmt w:val="decimal"/>
      <w:start w:val="1"/>
    </w:lvl>
    <w:lvl w:ilvl="1">
      <w:lvlJc w:val="left"/>
      <w:lvlText w:val="(%2)"/>
      <w:numFmt w:val="lowerLetter"/>
      <w:start w:val="1"/>
    </w:lvl>
  </w:abstractNum>
  <w:abstractNum w:abstractNumId="221">
    <w:nsid w:val="13916F2D"/>
    <w:multiLevelType w:val="hybridMultilevel"/>
    <w:lvl w:ilvl="0">
      <w:lvlJc w:val="left"/>
      <w:lvlText w:val="(%1)"/>
      <w:numFmt w:val="lowerLetter"/>
      <w:start w:val="1"/>
    </w:lvl>
  </w:abstractNum>
  <w:abstractNum w:abstractNumId="222">
    <w:nsid w:val="435D38D"/>
    <w:multiLevelType w:val="hybridMultilevel"/>
    <w:lvl w:ilvl="0">
      <w:lvlJc w:val="left"/>
      <w:lvlText w:val="(%1)"/>
      <w:numFmt w:val="decimal"/>
      <w:start w:val="1"/>
    </w:lvl>
  </w:abstractNum>
  <w:abstractNum w:abstractNumId="223">
    <w:nsid w:val="822C0EF"/>
    <w:multiLevelType w:val="hybridMultilevel"/>
    <w:lvl w:ilvl="0">
      <w:lvlJc w:val="left"/>
      <w:lvlText w:val="(%1)"/>
      <w:numFmt w:val="decimal"/>
      <w:start w:val="2"/>
    </w:lvl>
  </w:abstractNum>
  <w:abstractNum w:abstractNumId="224">
    <w:nsid w:val="57C5BB4F"/>
    <w:multiLevelType w:val="hybridMultilevel"/>
    <w:lvl w:ilvl="0">
      <w:lvlJc w:val="left"/>
      <w:lvlText w:val="(%1)"/>
      <w:numFmt w:val="decimal"/>
      <w:start w:val="1"/>
    </w:lvl>
  </w:abstractNum>
  <w:abstractNum w:abstractNumId="225">
    <w:nsid w:val="1803D089"/>
    <w:multiLevelType w:val="hybridMultilevel"/>
    <w:lvl w:ilvl="0">
      <w:lvlJc w:val="left"/>
      <w:lvlText w:val="(%1)"/>
      <w:numFmt w:val="decimal"/>
      <w:start w:val="2"/>
    </w:lvl>
    <w:lvl w:ilvl="1">
      <w:lvlJc w:val="left"/>
      <w:lvlText w:val="(%2)"/>
      <w:numFmt w:val="lowerLetter"/>
      <w:start w:val="1"/>
    </w:lvl>
  </w:abstractNum>
  <w:abstractNum w:abstractNumId="226">
    <w:nsid w:val="4F3A06D4"/>
    <w:multiLevelType w:val="hybridMultilevel"/>
    <w:lvl w:ilvl="0">
      <w:lvlJc w:val="left"/>
      <w:lvlText w:val="%1."/>
      <w:numFmt w:val="decimal"/>
      <w:start w:val="1"/>
    </w:lvl>
  </w:abstractNum>
  <w:abstractNum w:abstractNumId="227">
    <w:nsid w:val="59A377B6"/>
    <w:multiLevelType w:val="hybridMultilevel"/>
    <w:lvl w:ilvl="0">
      <w:lvlJc w:val="left"/>
      <w:lvlText w:val="%1."/>
      <w:numFmt w:val="decimal"/>
      <w:start w:val="2"/>
    </w:lvl>
  </w:abstractNum>
  <w:abstractNum w:abstractNumId="228">
    <w:nsid w:val="48AEB063"/>
    <w:multiLevelType w:val="hybridMultilevel"/>
    <w:lvl w:ilvl="0">
      <w:lvlJc w:val="left"/>
      <w:lvlText w:val="%1."/>
      <w:numFmt w:val="decimal"/>
      <w:start w:val="3"/>
    </w:lvl>
  </w:abstractNum>
  <w:abstractNum w:abstractNumId="229">
    <w:nsid w:val="24E135"/>
    <w:multiLevelType w:val="hybridMultilevel"/>
    <w:lvl w:ilvl="0">
      <w:lvlJc w:val="left"/>
      <w:lvlText w:val="%1."/>
      <w:numFmt w:val="decimal"/>
      <w:start w:val="4"/>
    </w:lvl>
  </w:abstractNum>
  <w:abstractNum w:abstractNumId="230">
    <w:nsid w:val="BB13C1"/>
    <w:multiLevelType w:val="hybridMultilevel"/>
    <w:lvl w:ilvl="0">
      <w:lvlJc w:val="left"/>
      <w:lvlText w:val="%1."/>
      <w:numFmt w:val="decimal"/>
      <w:start w:val="5"/>
    </w:lvl>
  </w:abstractNum>
  <w:abstractNum w:abstractNumId="231">
    <w:nsid w:val="271210C7"/>
    <w:multiLevelType w:val="hybridMultilevel"/>
    <w:lvl w:ilvl="0">
      <w:lvlJc w:val="left"/>
      <w:lvlText w:val="(%1)"/>
      <w:numFmt w:val="decimal"/>
      <w:start w:val="1"/>
    </w:lvl>
  </w:abstractNum>
  <w:abstractNum w:abstractNumId="232">
    <w:nsid w:val="217B22E4"/>
    <w:multiLevelType w:val="hybridMultilevel"/>
    <w:lvl w:ilvl="0">
      <w:lvlJc w:val="left"/>
      <w:lvlText w:val="(%1)"/>
      <w:numFmt w:val="decimal"/>
      <w:start w:val="1"/>
    </w:lvl>
    <w:lvl w:ilvl="1">
      <w:lvlJc w:val="left"/>
      <w:lvlText w:val="(%2)"/>
      <w:numFmt w:val="lowerLetter"/>
      <w:start w:val="1"/>
    </w:lvl>
  </w:abstractNum>
  <w:abstractNum w:abstractNumId="233">
    <w:nsid w:val="53E31A24"/>
    <w:multiLevelType w:val="hybridMultilevel"/>
    <w:lvl w:ilvl="0">
      <w:lvlJc w:val="left"/>
      <w:lvlText w:val="%1."/>
      <w:numFmt w:val="decimal"/>
      <w:start w:val="6"/>
    </w:lvl>
  </w:abstractNum>
  <w:abstractNum w:abstractNumId="234">
    <w:nsid w:val="6DC45E83"/>
    <w:multiLevelType w:val="hybridMultilevel"/>
    <w:lvl w:ilvl="0">
      <w:lvlJc w:val="left"/>
      <w:lvlText w:val="%1."/>
      <w:numFmt w:val="decimal"/>
      <w:start w:val="7"/>
    </w:lvl>
  </w:abstractNum>
  <w:abstractNum w:abstractNumId="235">
    <w:nsid w:val="17304A67"/>
    <w:multiLevelType w:val="hybridMultilevel"/>
    <w:lvl w:ilvl="0">
      <w:lvlJc w:val="left"/>
      <w:lvlText w:val="(%1)"/>
      <w:numFmt w:val="upperLetter"/>
      <w:start w:val="1"/>
    </w:lvl>
  </w:abstractNum>
  <w:abstractNum w:abstractNumId="236">
    <w:nsid w:val="2BB180D8"/>
    <w:multiLevelType w:val="hybridMultilevel"/>
    <w:lvl w:ilvl="0">
      <w:lvlJc w:val="left"/>
      <w:lvlText w:val="%1."/>
      <w:numFmt w:val="decimal"/>
      <w:start w:val="1"/>
    </w:lvl>
  </w:abstractNum>
  <w:abstractNum w:abstractNumId="237">
    <w:nsid w:val="556B69ED"/>
    <w:multiLevelType w:val="hybridMultilevel"/>
    <w:lvl w:ilvl="0">
      <w:lvlJc w:val="left"/>
      <w:lvlText w:val="1"/>
      <w:numFmt w:val="bullet"/>
      <w:start w:val="1"/>
    </w:lvl>
  </w:abstractNum>
  <w:abstractNum w:abstractNumId="238">
    <w:nsid w:val="70836196"/>
    <w:multiLevelType w:val="hybridMultilevel"/>
    <w:lvl w:ilvl="0">
      <w:lvlJc w:val="left"/>
      <w:lvlText w:val="%1."/>
      <w:numFmt w:val="decimal"/>
      <w:start w:val="1"/>
    </w:lvl>
  </w:abstractNum>
  <w:abstractNum w:abstractNumId="239">
    <w:nsid w:val="539F7F12"/>
    <w:multiLevelType w:val="hybridMultilevel"/>
    <w:lvl w:ilvl="0">
      <w:lvlJc w:val="left"/>
      <w:lvlText w:val="(%1)"/>
      <w:numFmt w:val="lowerLetter"/>
      <w:start w:val="1"/>
    </w:lvl>
    <w:lvl w:ilvl="1">
      <w:lvlJc w:val="left"/>
      <w:lvlText w:val="(%2)"/>
      <w:numFmt w:val="lowerLetter"/>
      <w:start w:val="22"/>
    </w:lvl>
  </w:abstractNum>
  <w:abstractNum w:abstractNumId="240">
    <w:nsid w:val="2817E7EC"/>
    <w:multiLevelType w:val="hybridMultilevel"/>
    <w:lvl w:ilvl="0">
      <w:lvlJc w:val="left"/>
      <w:lvlText w:val="2"/>
      <w:numFmt w:val="bullet"/>
      <w:start w:val="1"/>
    </w:lvl>
  </w:abstractNum>
  <w:abstractNum w:abstractNumId="241">
    <w:nsid w:val="71482545"/>
    <w:multiLevelType w:val="hybridMultilevel"/>
    <w:lvl w:ilvl="0">
      <w:lvlJc w:val="left"/>
      <w:lvlText w:val="(%1)"/>
      <w:numFmt w:val="lowerLetter"/>
      <w:start w:val="2"/>
    </w:lvl>
  </w:abstractNum>
  <w:abstractNum w:abstractNumId="242">
    <w:nsid w:val="17D78639"/>
    <w:multiLevelType w:val="hybridMultilevel"/>
    <w:lvl w:ilvl="0">
      <w:lvlJc w:val="left"/>
      <w:lvlText w:val="3"/>
      <w:numFmt w:val="bullet"/>
      <w:start w:val="1"/>
    </w:lvl>
  </w:abstractNum>
  <w:abstractNum w:abstractNumId="243">
    <w:nsid w:val="141D2302"/>
    <w:multiLevelType w:val="hybridMultilevel"/>
    <w:lvl w:ilvl="0">
      <w:lvlJc w:val="left"/>
      <w:lvlText w:val="%1"/>
      <w:numFmt w:val="decimal"/>
      <w:start w:val="1"/>
    </w:lvl>
    <w:lvl w:ilvl="1">
      <w:lvlJc w:val="left"/>
      <w:lvlText w:val="(%2)"/>
      <w:numFmt w:val="upperLetter"/>
      <w:start w:val="1"/>
    </w:lvl>
  </w:abstractNum>
  <w:abstractNum w:abstractNumId="244">
    <w:nsid w:val="407168D8"/>
    <w:multiLevelType w:val="hybridMultilevel"/>
    <w:lvl w:ilvl="0">
      <w:lvlJc w:val="left"/>
      <w:lvlText w:val="%1."/>
      <w:numFmt w:val="decimal"/>
      <w:start w:val="1"/>
    </w:lvl>
    <w:lvl w:ilvl="1">
      <w:lvlJc w:val="left"/>
      <w:lvlText w:val="%2"/>
      <w:numFmt w:val="upperLetter"/>
      <w:start w:val="1"/>
    </w:lvl>
  </w:abstractNum>
  <w:abstractNum w:abstractNumId="245">
    <w:nsid w:val="6A1B45E5"/>
    <w:multiLevelType w:val="hybridMultilevel"/>
    <w:lvl w:ilvl="0">
      <w:lvlJc w:val="left"/>
      <w:lvlText w:val="1"/>
      <w:numFmt w:val="bullet"/>
      <w:start w:val="1"/>
    </w:lvl>
  </w:abstractNum>
  <w:abstractNum w:abstractNumId="246">
    <w:nsid w:val="567BD50A"/>
    <w:multiLevelType w:val="hybridMultilevel"/>
    <w:lvl w:ilvl="0">
      <w:lvlJc w:val="left"/>
      <w:lvlText w:val="%1."/>
      <w:numFmt w:val="decimal"/>
      <w:start w:val="3"/>
    </w:lvl>
  </w:abstractNum>
  <w:abstractNum w:abstractNumId="247">
    <w:nsid w:val="73BBD7F8"/>
    <w:multiLevelType w:val="hybridMultilevel"/>
    <w:lvl w:ilvl="0">
      <w:lvlJc w:val="left"/>
      <w:lvlText w:val="%1."/>
      <w:numFmt w:val="decimal"/>
      <w:start w:val="4"/>
    </w:lvl>
  </w:abstractNum>
  <w:abstractNum w:abstractNumId="248">
    <w:nsid w:val="1876589D"/>
    <w:multiLevelType w:val="hybridMultilevel"/>
    <w:lvl w:ilvl="0">
      <w:lvlJc w:val="left"/>
      <w:lvlText w:val="%1."/>
      <w:numFmt w:val="decimal"/>
      <w:start w:val="5"/>
    </w:lvl>
  </w:abstractNum>
  <w:abstractNum w:abstractNumId="249">
    <w:nsid w:val="327FAC77"/>
    <w:multiLevelType w:val="hybridMultilevel"/>
    <w:lvl w:ilvl="0">
      <w:lvlJc w:val="left"/>
      <w:lvlText w:val="%1."/>
      <w:numFmt w:val="decimal"/>
      <w:start w:val="1"/>
    </w:lvl>
  </w:abstractNum>
  <w:abstractNum w:abstractNumId="250">
    <w:nsid w:val="5A606509"/>
    <w:multiLevelType w:val="hybridMultilevel"/>
    <w:lvl w:ilvl="0">
      <w:lvlJc w:val="left"/>
      <w:lvlText w:val="(%1)"/>
      <w:numFmt w:val="lowerLetter"/>
      <w:start w:val="1"/>
    </w:lvl>
    <w:lvl w:ilvl="1">
      <w:lvlJc w:val="left"/>
      <w:lvlText w:val="(%2)"/>
      <w:numFmt w:val="lowerLetter"/>
      <w:start w:val="22"/>
    </w:lvl>
  </w:abstractNum>
  <w:abstractNum w:abstractNumId="251">
    <w:nsid w:val="6F38E6D1"/>
    <w:multiLevelType w:val="hybridMultilevel"/>
    <w:lvl w:ilvl="0">
      <w:lvlJc w:val="left"/>
      <w:lvlText w:val="2"/>
      <w:numFmt w:val="bullet"/>
      <w:start w:val="1"/>
    </w:lvl>
  </w:abstractNum>
  <w:abstractNum w:abstractNumId="252">
    <w:nsid w:val="46111BA5"/>
    <w:multiLevelType w:val="hybridMultilevel"/>
    <w:lvl w:ilvl="0">
      <w:lvlJc w:val="left"/>
      <w:lvlText w:val="(%1)"/>
      <w:numFmt w:val="lowerLetter"/>
      <w:start w:val="2"/>
    </w:lvl>
  </w:abstractNum>
  <w:abstractNum w:abstractNumId="253">
    <w:nsid w:val="5E963896"/>
    <w:multiLevelType w:val="hybridMultilevel"/>
    <w:lvl w:ilvl="0">
      <w:lvlJc w:val="left"/>
      <w:lvlText w:val="3"/>
      <w:numFmt w:val="bullet"/>
      <w:start w:val="1"/>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jpe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jpe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0" Type="http://schemas.openxmlformats.org/officeDocument/2006/relationships/hyperlink" Target="https://www.sec.gov/Archives/edgar/data/1920294/000095017025057622/rzlv-20241231.htm" TargetMode="External"/><Relationship Id="rId11" Type="http://schemas.openxmlformats.org/officeDocument/2006/relationships/hyperlink" Target="https://www.sec.gov/Archives/edgar/data/1920294/000119312525245776/cfo_change_6-k.htm" TargetMode="External"/><Relationship Id="rId12" Type="http://schemas.openxmlformats.org/officeDocument/2006/relationships/hyperlink" Target="https://www.sec.gov/Archives/edgar/data/1920294/000119312525303269/atmcrown_6-k.htm" TargetMode="External"/><Relationship Id="rId13" Type="http://schemas.openxmlformats.org/officeDocument/2006/relationships/hyperlink" Target="https://www.sec.gov/Archives/edgar/data/1920294/000119312525309752/0001193125-25-309752-index.htm" TargetMode="External"/><Relationship Id="rId14" Type="http://schemas.openxmlformats.org/officeDocument/2006/relationships/hyperlink" Target="https://www.sec.gov/Archives/edgar/data/1920294/000119312524201396/d873446d8a12b.htm" TargetMode="External"/><Relationship Id="rId16" Type="http://schemas.openxmlformats.org/officeDocument/2006/relationships/hyperlink" Target="https://www.sec.gov/Archives/edgar/data/1920294/000119312524204510/d885107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2025-12-19T16:17:37Z</dcterms:created>
  <dcterms:modified xsi:type="dcterms:W3CDTF">2025-12-19T16:17:37Z</dcterms:modified>
</cp:coreProperties>
</file>