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18"/>
        </w:rPr>
      </w:pPr>
      <w:bookmarkStart w:id="0" w:name="425_-_flyer_4.29.htm"/>
      <w:bookmarkStart w:id="1" w:name="ks425__flyer_4"/>
      <w:bookmarkEnd w:id="0"/>
      <w:bookmarkEnd w:id="1"/>
      <w:r>
        <w:rPr>
          <w:rFonts w:ascii="Times New Roman" w:hAnsi="Times New Roman"/>
          <w:b/>
          <w:color w:val="000000"/>
          <w:sz w:val="18"/>
        </w:rPr>
        <w:t>Filed by Rezolve AI plc</w:t>
      </w:r>
    </w:p>
    <w:p>
      <w:pPr>
        <w:pStyle w:val="TextBody"/>
        <w:bidi w:val="0"/>
        <w:jc w:val="right"/>
        <w:rPr>
          <w:rFonts w:ascii="Times New Roman" w:hAnsi="Times New Roman"/>
          <w:b/>
          <w:color w:val="000000"/>
          <w:sz w:val="18"/>
        </w:rPr>
      </w:pPr>
      <w:r>
        <w:rPr>
          <w:rFonts w:ascii="Times New Roman" w:hAnsi="Times New Roman"/>
          <w:b/>
          <w:color w:val="000000"/>
          <w:sz w:val="18"/>
        </w:rPr>
        <w:t>Pursuant to Rule 425 under the Securities Act of 1933</w:t>
      </w:r>
    </w:p>
    <w:p>
      <w:pPr>
        <w:pStyle w:val="TextBody"/>
        <w:bidi w:val="0"/>
        <w:jc w:val="right"/>
        <w:rPr>
          <w:rFonts w:ascii="Times New Roman" w:hAnsi="Times New Roman"/>
          <w:b/>
          <w:color w:val="000000"/>
          <w:sz w:val="18"/>
        </w:rPr>
      </w:pPr>
      <w:r>
        <w:rPr>
          <w:rFonts w:ascii="Times New Roman" w:hAnsi="Times New Roman"/>
          <w:b/>
          <w:color w:val="000000"/>
          <w:sz w:val="18"/>
        </w:rPr>
        <w:t>and deemed filed pursuant to Rule 14a-12</w:t>
      </w:r>
    </w:p>
    <w:p>
      <w:pPr>
        <w:pStyle w:val="TextBody"/>
        <w:bidi w:val="0"/>
        <w:jc w:val="right"/>
        <w:rPr>
          <w:rFonts w:ascii="Times New Roman" w:hAnsi="Times New Roman"/>
          <w:b/>
          <w:color w:val="000000"/>
          <w:sz w:val="18"/>
        </w:rPr>
      </w:pPr>
      <w:r>
        <w:rPr>
          <w:rFonts w:ascii="Times New Roman" w:hAnsi="Times New Roman"/>
          <w:b/>
          <w:color w:val="000000"/>
          <w:sz w:val="18"/>
        </w:rPr>
        <w:t>under the Securities Exchange Act of 1934</w:t>
      </w:r>
    </w:p>
    <w:p>
      <w:pPr>
        <w:pStyle w:val="TextBody"/>
        <w:bidi w:val="0"/>
        <w:jc w:val="right"/>
        <w:rPr>
          <w:rFonts w:ascii="Times New Roman" w:hAnsi="Times New Roman"/>
          <w:b/>
          <w:color w:val="000000"/>
          <w:sz w:val="18"/>
        </w:rPr>
      </w:pPr>
      <w:r>
        <w:rPr>
          <w:rFonts w:ascii="Times New Roman" w:hAnsi="Times New Roman"/>
          <w:b/>
          <w:color w:val="000000"/>
          <w:sz w:val="18"/>
        </w:rPr>
        <w:t>Subject Company: Commerce.com, Inc.</w:t>
      </w:r>
    </w:p>
    <w:p>
      <w:pPr>
        <w:pStyle w:val="TextBody"/>
        <w:bidi w:val="0"/>
        <w:jc w:val="right"/>
        <w:rPr>
          <w:rFonts w:ascii="Times New Roman" w:hAnsi="Times New Roman"/>
          <w:b/>
          <w:color w:val="000000"/>
          <w:sz w:val="18"/>
        </w:rPr>
      </w:pPr>
      <w:r>
        <w:rPr>
          <w:rFonts w:ascii="Times New Roman" w:hAnsi="Times New Roman"/>
          <w:b/>
          <w:color w:val="000000"/>
          <w:sz w:val="18"/>
        </w:rPr>
        <w:t>(Commission File No. 001-39423)</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076700" cy="6410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76700" cy="64103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Commerce. GONE 96% that is how much value commerce.com has lost since its post-IPO peak Anemic revenue growth of 3%, with just 1.5% forecast in 2026 Net revenue retention which is below the company's own targets A stock with such limited liquidity that shareholders could have trouble exiting without moving the price against themselves No architecture for the era of agentic commerce A fully funded acquirer made a credible proposal. The Board rejected it and then adopted a poison pill to prevent shareholders from deciding for themselves. Commerce.com has real assets. The Board is squandering them. Demand to know why. Where is the VALUE? Why is the "future" always 12 months away? Forward-Looking Statements This communication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 Additional Information Regarding the Proposed Transaction This communication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communication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 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investor.rezolve.com. This communication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657725" cy="7315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57725" cy="73152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AI-DRIVEN ECOMMERCE IS FORECAST TO REACH $144 Billion BY 2029 Rezolve AI Advanced Commerce technologies Rezolve AI is already executing a clear plan to realize the next era of commerce. By combining our businesses we can create: A hyper scaler helping retailers capitalize on the agentic commerce opportunity 60,000 storefronts paired with Brain Suite and RezolvePay as standard brainpowa, a commerce-specific AI model which improves with every sale $700 million-plus in combined revenue, &gt;90% core software margins, as the baseline Ask your Board one question What is your timeline to deliver such results? Stop waiting for the roadmap Start investing in the reality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1189</Words>
  <Characters>6862</Characters>
  <CharactersWithSpaces>8048</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