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For the month of December 2024</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left="240" w:right="29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1161415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previously disclosed, (i)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Instrument</w:t>
      </w:r>
      <w:r>
        <w:rPr>
          <w:rFonts w:ascii="Times New Roman" w:cs="Times New Roman" w:eastAsia="Times New Roman" w:hAnsi="Times New Roman"/>
          <w:sz w:val="18"/>
          <w:szCs w:val="18"/>
          <w:color w:val="auto"/>
        </w:rPr>
        <w:t>”) and (ii) on July 4, 2024, the Loan Note Instrument was novated to Rezolve AI Limited (the “</w:t>
      </w:r>
      <w:r>
        <w:rPr>
          <w:rFonts w:ascii="Times New Roman" w:cs="Times New Roman" w:eastAsia="Times New Roman" w:hAnsi="Times New Roman"/>
          <w:sz w:val="18"/>
          <w:szCs w:val="18"/>
          <w:b w:val="1"/>
          <w:bCs w:val="1"/>
          <w:i w:val="1"/>
          <w:iCs w:val="1"/>
          <w:color w:val="auto"/>
        </w:rPr>
        <w:t>Company or Rezolve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pre-closing demerger. As of December 5, 2024, there was outstanding an aggregate amount of approximately $49 million of loan notes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outstanding under the Loan Note Instrument.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17,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will be revised to equal $2 per ordinary share.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approximately $41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Convertible Notes outstanding under the Loan Note Instrument.</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Loan Note Instrument, the Agreement and the Amendment does not purport to be complete and is qualified in its entirety by the full text of the Convertible Loan Note Instrument and the Agreement, which are incorporated by reference herein and attached herewith as Exhibit 10.1 and 10.2, respectively, and the Amendment, the form of which is incorporated by reference herein and attached herewith as 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700" w:right="100" w:hanging="674"/>
        <w:spacing w:after="0" w:line="257"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8">
        <w:r>
          <w:rPr>
            <w:rFonts w:ascii="Times New Roman" w:cs="Times New Roman" w:eastAsia="Times New Roman" w:hAnsi="Times New Roman"/>
            <w:sz w:val="18"/>
            <w:szCs w:val="18"/>
            <w:u w:val="single" w:color="auto"/>
            <w:color w:val="0000FF"/>
          </w:rPr>
          <w:t>Loan Note Instrument dated December 16, 2021, as amended and restated on November 21, 2022, and as further amended and restated on May</w:t>
        </w:r>
      </w:hyperlink>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23, 2023 (incorporated by reference to Exhibit 10.17 of Rezolve AI Limited’s Registration Statement on Form F-4, Amendment No. 6, filed with</w:t>
        </w:r>
      </w:hyperlink>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the SEC on June 11, 2024).</w:t>
        </w:r>
      </w:hyperlink>
    </w:p>
    <w:p>
      <w:pPr>
        <w:spacing w:after="0" w:line="1" w:lineRule="exact"/>
        <w:rPr>
          <w:rFonts w:ascii="Times New Roman" w:cs="Times New Roman" w:eastAsia="Times New Roman" w:hAnsi="Times New Roman"/>
          <w:sz w:val="18"/>
          <w:szCs w:val="18"/>
          <w:u w:val="single" w:color="auto"/>
          <w:color w:val="0000FF"/>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FF"/>
        </w:rPr>
        <w:t>Letter Agreement, dated as of December 17, 2024, by and among the Company, Apeiron Investment Group Ltd. and Bradley Wickens.</w:t>
      </w:r>
    </w:p>
    <w:p>
      <w:pPr>
        <w:spacing w:after="0" w:line="9" w:lineRule="exact"/>
        <w:rPr>
          <w:rFonts w:ascii="Times New Roman" w:cs="Times New Roman" w:eastAsia="Times New Roman" w:hAnsi="Times New Roman"/>
          <w:sz w:val="18"/>
          <w:szCs w:val="18"/>
          <w:u w:val="single" w:color="auto"/>
          <w:color w:val="0000FF"/>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FF"/>
        </w:rPr>
        <w:t>Form of Deed of Amendment.</w:t>
      </w:r>
    </w:p>
    <w:p>
      <w:pPr>
        <w:spacing w:after="0" w:line="9" w:lineRule="exact"/>
        <w:rPr>
          <w:rFonts w:ascii="Times New Roman" w:cs="Times New Roman" w:eastAsia="Times New Roman" w:hAnsi="Times New Roman"/>
          <w:sz w:val="18"/>
          <w:szCs w:val="18"/>
          <w:u w:val="single" w:color="auto"/>
          <w:color w:val="0000FF"/>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December 18, 2024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18,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r>
      <w:tr>
        <w:trPr>
          <w:trHeight w:val="205"/>
        </w:trPr>
        <w:tc>
          <w:tcPr>
            <w:tcW w:w="18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r>
      <w:tr>
        <w:trPr>
          <w:trHeight w:val="1627"/>
        </w:trPr>
        <w:tc>
          <w:tcPr>
            <w:tcW w:w="180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 Limited 5 New Street Square</w:t>
      </w:r>
    </w:p>
    <w:p>
      <w:pPr>
        <w:spacing w:after="0"/>
        <w:rPr>
          <w:sz w:val="20"/>
          <w:szCs w:val="20"/>
          <w:color w:val="auto"/>
        </w:rPr>
      </w:pPr>
      <w:r>
        <w:rPr>
          <w:rFonts w:ascii="Times New Roman" w:cs="Times New Roman" w:eastAsia="Times New Roman" w:hAnsi="Times New Roman"/>
          <w:sz w:val="20"/>
          <w:szCs w:val="20"/>
          <w:color w:val="auto"/>
        </w:rPr>
        <w:t>London, EC4A 3TW United Kingdom</w:t>
      </w:r>
    </w:p>
    <w:p>
      <w:pPr>
        <w:ind w:left="7640"/>
        <w:spacing w:after="0"/>
        <w:rPr>
          <w:sz w:val="20"/>
          <w:szCs w:val="20"/>
          <w:color w:val="auto"/>
        </w:rPr>
      </w:pPr>
      <w:r>
        <w:rPr>
          <w:rFonts w:ascii="Times New Roman" w:cs="Times New Roman" w:eastAsia="Times New Roman" w:hAnsi="Times New Roman"/>
          <w:sz w:val="20"/>
          <w:szCs w:val="20"/>
          <w:color w:val="auto"/>
        </w:rPr>
        <w:t>17 December 2024</w:t>
      </w:r>
    </w:p>
    <w:p>
      <w:pPr>
        <w:spacing w:after="0" w:line="200" w:lineRule="exact"/>
        <w:rPr>
          <w:sz w:val="20"/>
          <w:szCs w:val="20"/>
          <w:color w:val="auto"/>
        </w:rPr>
      </w:pPr>
    </w:p>
    <w:p>
      <w:pPr>
        <w:spacing w:after="0" w:line="237" w:lineRule="exact"/>
        <w:rPr>
          <w:sz w:val="20"/>
          <w:szCs w:val="20"/>
          <w:color w:val="auto"/>
        </w:rPr>
      </w:pPr>
    </w:p>
    <w:p>
      <w:pPr>
        <w:jc w:val="both"/>
        <w:ind w:left="740" w:right="120" w:hanging="373"/>
        <w:spacing w:after="0" w:line="245" w:lineRule="auto"/>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is made to the loan note instrument constituting up to $49,892,080 7.50% senior secured convertible loan notes originally dated 16 December 2021, as amended and restated on 21 November 2022 and 23 May 2023, as further amended on 18 December 2023 and 29 December 2023 and as further amended and restated on 26 January 2024, and novated from Rezolve Limited to Rezolve AI Limited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by way of a deed of novation dated 4 July 2024 (the “</w:t>
      </w:r>
      <w:r>
        <w:rPr>
          <w:rFonts w:ascii="Times New Roman" w:cs="Times New Roman" w:eastAsia="Times New Roman" w:hAnsi="Times New Roman"/>
          <w:sz w:val="20"/>
          <w:szCs w:val="20"/>
          <w:b w:val="1"/>
          <w:bCs w:val="1"/>
          <w:color w:val="auto"/>
        </w:rPr>
        <w:t>Loan 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Capitalised terms used but not defined in this letter agreement (the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shall have the meanings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to such terms in the Loan Note Instrument.</w:t>
      </w:r>
    </w:p>
    <w:p>
      <w:pPr>
        <w:spacing w:after="0" w:line="193" w:lineRule="exact"/>
        <w:rPr>
          <w:rFonts w:ascii="Times New Roman" w:cs="Times New Roman" w:eastAsia="Times New Roman" w:hAnsi="Times New Roman"/>
          <w:sz w:val="20"/>
          <w:szCs w:val="20"/>
          <w:color w:val="auto"/>
        </w:rPr>
      </w:pPr>
    </w:p>
    <w:p>
      <w:pPr>
        <w:ind w:left="740" w:right="120" w:hanging="373"/>
        <w:spacing w:after="0" w:line="273" w:lineRule="auto"/>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Apeiron Investment Group Ltd (“</w:t>
      </w:r>
      <w:r>
        <w:rPr>
          <w:rFonts w:ascii="Times New Roman" w:cs="Times New Roman" w:eastAsia="Times New Roman" w:hAnsi="Times New Roman"/>
          <w:sz w:val="20"/>
          <w:szCs w:val="20"/>
          <w:b w:val="1"/>
          <w:bCs w:val="1"/>
          <w:color w:val="auto"/>
        </w:rPr>
        <w:t>Apeiron</w:t>
      </w:r>
      <w:r>
        <w:rPr>
          <w:rFonts w:ascii="Times New Roman" w:cs="Times New Roman" w:eastAsia="Times New Roman" w:hAnsi="Times New Roman"/>
          <w:sz w:val="20"/>
          <w:szCs w:val="20"/>
          <w:color w:val="auto"/>
        </w:rPr>
        <w:t>”), are the beneficial owners of US$20,756,439 principal amount of Notes (the “</w:t>
      </w:r>
      <w:r>
        <w:rPr>
          <w:rFonts w:ascii="Times New Roman" w:cs="Times New Roman" w:eastAsia="Times New Roman" w:hAnsi="Times New Roman"/>
          <w:sz w:val="20"/>
          <w:szCs w:val="20"/>
          <w:b w:val="1"/>
          <w:bCs w:val="1"/>
          <w:color w:val="auto"/>
        </w:rPr>
        <w:t>Apeiron Notes</w:t>
      </w:r>
      <w:r>
        <w:rPr>
          <w:rFonts w:ascii="Times New Roman" w:cs="Times New Roman" w:eastAsia="Times New Roman" w:hAnsi="Times New Roman"/>
          <w:sz w:val="20"/>
          <w:szCs w:val="20"/>
          <w:color w:val="auto"/>
        </w:rPr>
        <w:t>”), which Apeiron hold through our nominees in the following principal amounts:</w:t>
      </w:r>
    </w:p>
    <w:p>
      <w:pPr>
        <w:spacing w:after="0" w:line="165" w:lineRule="exact"/>
        <w:rPr>
          <w:rFonts w:ascii="Times New Roman" w:cs="Times New Roman" w:eastAsia="Times New Roman" w:hAnsi="Times New Roman"/>
          <w:sz w:val="20"/>
          <w:szCs w:val="20"/>
          <w:color w:val="auto"/>
        </w:rPr>
      </w:pPr>
    </w:p>
    <w:p>
      <w:pPr>
        <w:ind w:left="1500" w:hanging="384"/>
        <w:spacing w:after="0"/>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Aurora Nominees Limited (“</w:t>
      </w:r>
      <w:r>
        <w:rPr>
          <w:rFonts w:ascii="Times New Roman" w:cs="Times New Roman" w:eastAsia="Times New Roman" w:hAnsi="Times New Roman"/>
          <w:sz w:val="20"/>
          <w:szCs w:val="20"/>
          <w:b w:val="1"/>
          <w:bCs w:val="1"/>
          <w:color w:val="auto"/>
        </w:rPr>
        <w:t>Aurora</w:t>
      </w:r>
      <w:r>
        <w:rPr>
          <w:rFonts w:ascii="Times New Roman" w:cs="Times New Roman" w:eastAsia="Times New Roman" w:hAnsi="Times New Roman"/>
          <w:sz w:val="20"/>
          <w:szCs w:val="20"/>
          <w:color w:val="auto"/>
        </w:rPr>
        <w:t>”): US$10,000,000</w:t>
      </w:r>
    </w:p>
    <w:p>
      <w:pPr>
        <w:spacing w:after="0" w:line="25" w:lineRule="exact"/>
        <w:rPr>
          <w:rFonts w:ascii="Times New Roman" w:cs="Times New Roman" w:eastAsia="Times New Roman" w:hAnsi="Times New Roman"/>
          <w:sz w:val="20"/>
          <w:szCs w:val="20"/>
          <w:color w:val="auto"/>
        </w:rPr>
      </w:pPr>
    </w:p>
    <w:p>
      <w:pPr>
        <w:ind w:left="1500" w:hanging="384"/>
        <w:spacing w:after="0"/>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 Berenberg Gossler &amp; Co KH (“</w:t>
      </w:r>
      <w:r>
        <w:rPr>
          <w:rFonts w:ascii="Times New Roman" w:cs="Times New Roman" w:eastAsia="Times New Roman" w:hAnsi="Times New Roman"/>
          <w:sz w:val="20"/>
          <w:szCs w:val="20"/>
          <w:b w:val="1"/>
          <w:bCs w:val="1"/>
          <w:color w:val="auto"/>
        </w:rPr>
        <w:t>Berenberg</w:t>
      </w:r>
      <w:r>
        <w:rPr>
          <w:rFonts w:ascii="Times New Roman" w:cs="Times New Roman" w:eastAsia="Times New Roman" w:hAnsi="Times New Roman"/>
          <w:sz w:val="20"/>
          <w:szCs w:val="20"/>
          <w:color w:val="auto"/>
        </w:rPr>
        <w:t>”): US$2,756,439</w:t>
      </w:r>
    </w:p>
    <w:p>
      <w:pPr>
        <w:ind w:left="1500" w:hanging="384"/>
        <w:spacing w:after="0"/>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Vidacos Nominees Limited (“</w:t>
      </w:r>
      <w:r>
        <w:rPr>
          <w:rFonts w:ascii="Times New Roman" w:cs="Times New Roman" w:eastAsia="Times New Roman" w:hAnsi="Times New Roman"/>
          <w:sz w:val="20"/>
          <w:szCs w:val="20"/>
          <w:b w:val="1"/>
          <w:bCs w:val="1"/>
          <w:color w:val="auto"/>
        </w:rPr>
        <w:t>Vidacos</w:t>
      </w:r>
      <w:r>
        <w:rPr>
          <w:rFonts w:ascii="Times New Roman" w:cs="Times New Roman" w:eastAsia="Times New Roman" w:hAnsi="Times New Roman"/>
          <w:sz w:val="20"/>
          <w:szCs w:val="20"/>
          <w:color w:val="auto"/>
        </w:rPr>
        <w:t>”): US$8,000,000</w:t>
      </w:r>
    </w:p>
    <w:p>
      <w:pPr>
        <w:spacing w:after="0" w:line="203" w:lineRule="exact"/>
        <w:rPr>
          <w:rFonts w:ascii="Times New Roman" w:cs="Times New Roman" w:eastAsia="Times New Roman" w:hAnsi="Times New Roman"/>
          <w:sz w:val="20"/>
          <w:szCs w:val="20"/>
          <w:color w:val="auto"/>
        </w:rPr>
      </w:pPr>
    </w:p>
    <w:p>
      <w:pPr>
        <w:ind w:left="740" w:right="140" w:hanging="373"/>
        <w:spacing w:after="0" w:line="273" w:lineRule="auto"/>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Bradley Wickens is the beneficial owner of US$20,756,438 principal amount of Notes (the “</w:t>
      </w:r>
      <w:r>
        <w:rPr>
          <w:rFonts w:ascii="Times New Roman" w:cs="Times New Roman" w:eastAsia="Times New Roman" w:hAnsi="Times New Roman"/>
          <w:sz w:val="20"/>
          <w:szCs w:val="20"/>
          <w:b w:val="1"/>
          <w:bCs w:val="1"/>
          <w:color w:val="auto"/>
        </w:rPr>
        <w:t>BW Notes</w:t>
      </w:r>
      <w:r>
        <w:rPr>
          <w:rFonts w:ascii="Times New Roman" w:cs="Times New Roman" w:eastAsia="Times New Roman" w:hAnsi="Times New Roman"/>
          <w:sz w:val="20"/>
          <w:szCs w:val="20"/>
          <w:color w:val="auto"/>
        </w:rPr>
        <w:t>”), which he holds through his nominee, Berenberg.</w:t>
      </w:r>
    </w:p>
    <w:p>
      <w:pPr>
        <w:spacing w:after="0" w:line="169" w:lineRule="exact"/>
        <w:rPr>
          <w:rFonts w:ascii="Times New Roman" w:cs="Times New Roman" w:eastAsia="Times New Roman" w:hAnsi="Times New Roman"/>
          <w:sz w:val="20"/>
          <w:szCs w:val="20"/>
          <w:color w:val="auto"/>
        </w:rPr>
      </w:pPr>
    </w:p>
    <w:p>
      <w:pPr>
        <w:jc w:val="both"/>
        <w:ind w:left="740" w:right="120" w:hanging="373"/>
        <w:spacing w:after="0" w:line="254" w:lineRule="auto"/>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desires to amend the definition of “Conversion Price” in the Loan Note Instrument such that it means US$2 per Share for any Conversion Date falling on or after the date that the Loan Note Instrument is so amended in the form attached hereto as Schedule 1 (the “</w:t>
      </w:r>
      <w:r>
        <w:rPr>
          <w:rFonts w:ascii="Times New Roman" w:cs="Times New Roman" w:eastAsia="Times New Roman" w:hAnsi="Times New Roman"/>
          <w:sz w:val="20"/>
          <w:szCs w:val="20"/>
          <w:b w:val="1"/>
          <w:bCs w:val="1"/>
          <w:color w:val="auto"/>
        </w:rPr>
        <w:t>Deed of Amendment</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740" w:right="120" w:hanging="373"/>
        <w:spacing w:after="0" w:line="250" w:lineRule="auto"/>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Condition 15.1 (</w:t>
      </w:r>
      <w:r>
        <w:rPr>
          <w:rFonts w:ascii="Times New Roman" w:cs="Times New Roman" w:eastAsia="Times New Roman" w:hAnsi="Times New Roman"/>
          <w:sz w:val="20"/>
          <w:szCs w:val="20"/>
          <w:i w:val="1"/>
          <w:iCs w:val="1"/>
          <w:color w:val="auto"/>
        </w:rPr>
        <w:t>Variations</w:t>
      </w:r>
      <w:r>
        <w:rPr>
          <w:rFonts w:ascii="Times New Roman" w:cs="Times New Roman" w:eastAsia="Times New Roman" w:hAnsi="Times New Roman"/>
          <w:sz w:val="20"/>
          <w:szCs w:val="20"/>
          <w:color w:val="auto"/>
        </w:rPr>
        <w:t>) of the Loan Note Instrument, the prior written consent of a Noteholder Majority is required to alter any of the rights being attached to the Notes or other provisions of the Loan Note Instrument, unless the amendment is listed in paragraph (a) thereof as an amendment requiring the prior written consent of a Noteholder Supermajority (which the amendment contemplated in the Deed of Amendment is not).</w:t>
      </w:r>
    </w:p>
    <w:p>
      <w:pPr>
        <w:spacing w:after="0" w:line="179" w:lineRule="exact"/>
        <w:rPr>
          <w:rFonts w:ascii="Times New Roman" w:cs="Times New Roman" w:eastAsia="Times New Roman" w:hAnsi="Times New Roman"/>
          <w:sz w:val="20"/>
          <w:szCs w:val="20"/>
          <w:color w:val="auto"/>
        </w:rPr>
      </w:pPr>
    </w:p>
    <w:p>
      <w:pPr>
        <w:ind w:left="740" w:right="120" w:hanging="373"/>
        <w:spacing w:after="0" w:line="269" w:lineRule="auto"/>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Aurora, Berenberg and Vidacos together constitute a Noteholder Majority in respect of their holdings of the Apeiron Notes and BW Notes (as applicable).</w:t>
      </w:r>
    </w:p>
    <w:p>
      <w:pPr>
        <w:spacing w:after="0" w:line="186" w:lineRule="exact"/>
        <w:rPr>
          <w:rFonts w:ascii="Times New Roman" w:cs="Times New Roman" w:eastAsia="Times New Roman" w:hAnsi="Times New Roman"/>
          <w:sz w:val="20"/>
          <w:szCs w:val="20"/>
          <w:color w:val="auto"/>
        </w:rPr>
      </w:pPr>
    </w:p>
    <w:p>
      <w:pPr>
        <w:ind w:left="740" w:hanging="373"/>
        <w:spacing w:after="0"/>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Apeiron and Bradley Wickens hereby agree to procure that (as applicable):</w:t>
      </w:r>
    </w:p>
    <w:p>
      <w:pPr>
        <w:spacing w:after="0" w:line="229" w:lineRule="exact"/>
        <w:rPr>
          <w:rFonts w:ascii="Times New Roman" w:cs="Times New Roman" w:eastAsia="Times New Roman" w:hAnsi="Times New Roman"/>
          <w:sz w:val="20"/>
          <w:szCs w:val="20"/>
          <w:color w:val="auto"/>
        </w:rPr>
      </w:pPr>
    </w:p>
    <w:p>
      <w:pPr>
        <w:ind w:left="1480" w:right="140" w:hanging="364"/>
        <w:spacing w:after="0" w:line="269" w:lineRule="auto"/>
        <w:tabs>
          <w:tab w:leader="none" w:pos="14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Aurora, Berenberg and Vidacos, as Noteholder Majority, consent to the Deed of Amendment by signing a consent letter in the form attached hereto as Schedule 2; and</w:t>
      </w:r>
    </w:p>
    <w:p>
      <w:pPr>
        <w:spacing w:after="0" w:line="172" w:lineRule="exact"/>
        <w:rPr>
          <w:rFonts w:ascii="Times New Roman" w:cs="Times New Roman" w:eastAsia="Times New Roman" w:hAnsi="Times New Roman"/>
          <w:sz w:val="20"/>
          <w:szCs w:val="20"/>
          <w:color w:val="auto"/>
        </w:rPr>
      </w:pPr>
    </w:p>
    <w:p>
      <w:pPr>
        <w:ind w:left="1480" w:right="140" w:hanging="364"/>
        <w:spacing w:after="0" w:line="269" w:lineRule="auto"/>
        <w:tabs>
          <w:tab w:leader="none" w:pos="14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Aurora, Berenberg and Vidacos deliver notices of conversion in respect of the Apeiron Notes and BW Notes (as applicable) in the forms applicable to them as attached hereto as Schedule 3,</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each case, as soon as promptly practicable.</w:t>
      </w:r>
    </w:p>
    <w:p>
      <w:pPr>
        <w:spacing w:after="0" w:line="229" w:lineRule="exact"/>
        <w:rPr>
          <w:sz w:val="20"/>
          <w:szCs w:val="20"/>
          <w:color w:val="auto"/>
        </w:rPr>
      </w:pPr>
    </w:p>
    <w:p>
      <w:pPr>
        <w:ind w:left="740" w:hanging="373"/>
        <w:spacing w:after="0"/>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the Loan Note Instrument, save as disapplied by this Letter Agreement, continue in full force and effect.</w:t>
      </w:r>
    </w:p>
    <w:p>
      <w:pPr>
        <w:spacing w:after="0" w:line="67" w:lineRule="exact"/>
        <w:rPr>
          <w:rFonts w:ascii="Times New Roman" w:cs="Times New Roman" w:eastAsia="Times New Roman" w:hAnsi="Times New Roman"/>
          <w:sz w:val="20"/>
          <w:szCs w:val="20"/>
          <w:color w:val="auto"/>
        </w:rPr>
      </w:pPr>
    </w:p>
    <w:p>
      <w:pPr>
        <w:ind w:left="740" w:hanging="373"/>
        <w:spacing w:after="0"/>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Letter Agreement and any non-contractual obligations arising out of or in connection with it are governed by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738505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55" w:right="339" w:bottom="1440" w:gutter="0" w:footer="0" w:header="0"/>
        </w:sectPr>
      </w:pPr>
    </w:p>
    <w:bookmarkStart w:id="4" w:name="page5"/>
    <w:bookmarkEnd w:id="4"/>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Please acknowledge your acceptance of the terms of this Letter Agreement by signing and returning to us the enclosed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746125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5" w:name="page6"/>
    <w:bookmarkEnd w:id="5"/>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Yours faithfully,</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r>
        <w:rPr>
          <w:rFonts w:ascii="Times New Roman" w:cs="Times New Roman" w:eastAsia="Times New Roman" w:hAnsi="Times New Roman"/>
          <w:sz w:val="18"/>
          <w:szCs w:val="18"/>
          <w:b w:val="1"/>
          <w:bCs w:val="1"/>
          <w:color w:val="auto"/>
        </w:rPr>
        <w:t xml:space="preserve"> APEIRON INVESTMENT GROUP LTD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 Mario Frendo</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Name: Mario Frendo</w:t>
      </w:r>
    </w:p>
    <w:p>
      <w:pPr>
        <w:ind w:left="20"/>
        <w:spacing w:after="0"/>
        <w:rPr>
          <w:sz w:val="20"/>
          <w:szCs w:val="20"/>
          <w:color w:val="auto"/>
        </w:rPr>
      </w:pPr>
      <w:r>
        <w:rPr>
          <w:rFonts w:ascii="Times New Roman" w:cs="Times New Roman" w:eastAsia="Times New Roman" w:hAnsi="Times New Roman"/>
          <w:sz w:val="19"/>
          <w:szCs w:val="19"/>
          <w:color w:val="auto"/>
        </w:rPr>
        <w:t xml:space="preserve">Title: </w:t>
      </w:r>
      <w:r>
        <w:rPr>
          <w:sz w:val="1"/>
          <w:szCs w:val="1"/>
          <w:color w:val="auto"/>
        </w:rPr>
        <w:drawing>
          <wp:inline distT="0" distB="0" distL="0" distR="0">
            <wp:extent cx="454025" cy="774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454025"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829945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1440"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0"/>
          <w:szCs w:val="20"/>
          <w:color w:val="auto"/>
        </w:rPr>
        <w:t>/s/ Bradley Wickens</w:t>
      </w:r>
      <w:r>
        <w:rPr>
          <w:sz w:val="20"/>
          <w:szCs w:val="20"/>
          <w:color w:val="auto"/>
        </w:rPr>
        <w:tab/>
      </w:r>
      <w:r>
        <w:rPr>
          <w:rFonts w:ascii="Times New Roman" w:cs="Times New Roman" w:eastAsia="Times New Roman" w:hAnsi="Times New Roman"/>
          <w:sz w:val="19"/>
          <w:szCs w:val="19"/>
          <w:b w:val="1"/>
          <w:bCs w:val="1"/>
          <w:color w:val="auto"/>
        </w:rPr>
        <w:t>BRADLEY WICKENS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-8255</wp:posOffset>
            </wp:positionV>
            <wp:extent cx="12566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874395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7" w:name="page8"/>
    <w:bookmarkEnd w:id="7"/>
    <w:p>
      <w:pPr>
        <w:ind w:left="120"/>
        <w:spacing w:after="0"/>
        <w:rPr>
          <w:sz w:val="20"/>
          <w:szCs w:val="20"/>
          <w:color w:val="auto"/>
        </w:rPr>
      </w:pPr>
      <w:r>
        <w:rPr>
          <w:rFonts w:ascii="Arial" w:cs="Arial" w:eastAsia="Arial" w:hAnsi="Arial"/>
          <w:sz w:val="14"/>
          <w:szCs w:val="14"/>
          <w:color w:val="auto"/>
        </w:rPr>
        <w:t>Docusign Envelope ID: 312BBC25-45A5-454F-8482-906101AE72AD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Executed by way of acceptance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Dan Wagner</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CEO</w:t>
      </w:r>
      <w:r>
        <w:rPr>
          <w:rFonts w:ascii="Times New Roman" w:cs="Times New Roman" w:eastAsia="Times New Roman" w:hAnsi="Times New Roman"/>
          <w:sz w:val="19"/>
          <w:szCs w:val="19"/>
          <w:b w:val="1"/>
          <w:bCs w:val="1"/>
          <w:color w:val="auto"/>
        </w:rPr>
        <w:t>SIGNED</w:t>
      </w:r>
      <w:r>
        <w:rPr>
          <w:rFonts w:ascii="Arial" w:cs="Arial" w:eastAsia="Arial" w:hAnsi="Arial"/>
          <w:sz w:val="22"/>
          <w:szCs w:val="22"/>
          <w:color w:val="auto"/>
        </w:rPr>
        <w:t xml:space="preserve"> </w:t>
      </w:r>
      <w:r>
        <w:rPr>
          <w:rFonts w:ascii="Times New Roman" w:cs="Times New Roman" w:eastAsia="Times New Roman" w:hAnsi="Times New Roman"/>
          <w:sz w:val="19"/>
          <w:szCs w:val="19"/>
          <w:color w:val="auto"/>
        </w:rPr>
        <w:t>for and on behalf of</w:t>
      </w:r>
      <w:r>
        <w:rPr>
          <w:rFonts w:ascii="Arial" w:cs="Arial" w:eastAsia="Arial" w:hAnsi="Arial"/>
          <w:sz w:val="22"/>
          <w:szCs w:val="22"/>
          <w:color w:val="auto"/>
        </w:rPr>
        <w:t xml:space="preserve"> </w:t>
      </w:r>
      <w:r>
        <w:rPr>
          <w:rFonts w:ascii="Times New Roman" w:cs="Times New Roman" w:eastAsia="Times New Roman" w:hAnsi="Times New Roman"/>
          <w:sz w:val="19"/>
          <w:szCs w:val="19"/>
          <w:b w:val="1"/>
          <w:bCs w:val="1"/>
          <w:color w:val="auto"/>
        </w:rPr>
        <w:t>REZOLVE AI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 Dan Wagner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Name: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6622415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27" w:right="1440" w:bottom="1440" w:gutter="0" w:footer="0" w:header="0"/>
        </w:sectPr>
      </w:pPr>
    </w:p>
    <w:bookmarkStart w:id="8" w:name="page9"/>
    <w:bookmarkEnd w:id="8"/>
    <w:p>
      <w:pPr>
        <w:jc w:val="center"/>
        <w:ind w:righ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Side Letter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236220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9" w:right="1440" w:bottom="1440" w:gutter="0" w:footer="0" w:header="0"/>
        </w:sectPr>
      </w:pPr>
    </w:p>
    <w:bookmarkStart w:id="9" w:name="page10"/>
    <w:bookmarkEnd w:id="9"/>
    <w:p>
      <w:pPr>
        <w:jc w:val="center"/>
        <w:ind w:left="1480"/>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6" w:lineRule="exact"/>
        <w:rPr>
          <w:sz w:val="20"/>
          <w:szCs w:val="20"/>
          <w:color w:val="auto"/>
        </w:rPr>
      </w:pPr>
    </w:p>
    <w:p>
      <w:pPr>
        <w:jc w:val="center"/>
        <w:ind w:left="1480"/>
        <w:spacing w:after="0"/>
        <w:rPr>
          <w:sz w:val="20"/>
          <w:szCs w:val="20"/>
          <w:color w:val="auto"/>
        </w:rPr>
      </w:pPr>
      <w:r>
        <w:rPr>
          <w:rFonts w:ascii="Times New Roman" w:cs="Times New Roman" w:eastAsia="Times New Roman" w:hAnsi="Times New Roman"/>
          <w:sz w:val="19"/>
          <w:szCs w:val="19"/>
          <w:b w:val="1"/>
          <w:bCs w:val="1"/>
          <w:color w:val="auto"/>
        </w:rPr>
        <w:t>Form of Deed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732155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0"/>
          <w:szCs w:val="20"/>
          <w:b w:val="1"/>
          <w:bCs w:val="1"/>
          <w:color w:val="auto"/>
        </w:rPr>
        <w:t xml:space="preserve">THIS DEED OF AMENDMENT </w:t>
      </w:r>
      <w:r>
        <w:rPr>
          <w:rFonts w:ascii="Times New Roman" w:cs="Times New Roman" w:eastAsia="Times New Roman" w:hAnsi="Times New Roman"/>
          <w:sz w:val="20"/>
          <w:szCs w:val="20"/>
          <w:color w:val="auto"/>
        </w:rPr>
        <w:t>is made on</w:t>
      </w:r>
      <w:r>
        <w:rPr>
          <w:sz w:val="20"/>
          <w:szCs w:val="20"/>
          <w:color w:val="auto"/>
        </w:rPr>
        <w:tab/>
      </w:r>
      <w:r>
        <w:rPr>
          <w:rFonts w:ascii="Times New Roman" w:cs="Times New Roman" w:eastAsia="Times New Roman" w:hAnsi="Times New Roman"/>
          <w:sz w:val="19"/>
          <w:szCs w:val="19"/>
          <w:color w:val="auto"/>
        </w:rPr>
        <w:t>2024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-8255</wp:posOffset>
            </wp:positionV>
            <wp:extent cx="135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3589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740" w:right="4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REZOLVE AI LIMITED </w:t>
      </w:r>
      <w:r>
        <w:rPr>
          <w:rFonts w:ascii="Times New Roman" w:cs="Times New Roman" w:eastAsia="Times New Roman" w:hAnsi="Times New Roman"/>
          <w:sz w:val="20"/>
          <w:szCs w:val="20"/>
          <w:color w:val="auto"/>
        </w:rPr>
        <w:t>(company number 14573691) whose registered office is at 5 New Street Square, London, EC4A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3TW, United Kingdom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98" w:lineRule="exact"/>
        <w:rPr>
          <w:sz w:val="20"/>
          <w:szCs w:val="20"/>
          <w:color w:val="auto"/>
        </w:rPr>
      </w:pPr>
    </w:p>
    <w:p>
      <w:pPr>
        <w:jc w:val="both"/>
        <w:ind w:left="740" w:hanging="732"/>
        <w:spacing w:after="0" w:line="249"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Rezolve Limited entered into that loan note instrument constituting up to $49,892,080 7.50% senior secured convertible loan notes originally dated 16 December 2021, as amended and restated on 21 November 2022 and 23 May 2023, as further amended on 18 December 2023 and 29 December 2023 and as further amended and restated on 26 January 2024, and novated to the Company by way of a deed of novation dated 4 July 2024 (the “</w:t>
      </w:r>
      <w:r>
        <w:rPr>
          <w:rFonts w:ascii="Times New Roman" w:cs="Times New Roman" w:eastAsia="Times New Roman" w:hAnsi="Times New Roman"/>
          <w:sz w:val="20"/>
          <w:szCs w:val="20"/>
          <w:b w:val="1"/>
          <w:bCs w:val="1"/>
          <w:color w:val="auto"/>
        </w:rPr>
        <w:t>Loan Note Instrument</w:t>
      </w:r>
      <w:r>
        <w:rPr>
          <w:rFonts w:ascii="Times New Roman" w:cs="Times New Roman" w:eastAsia="Times New Roman" w:hAnsi="Times New Roman"/>
          <w:sz w:val="20"/>
          <w:szCs w:val="20"/>
          <w:color w:val="auto"/>
        </w:rPr>
        <w:t>”).</w:t>
      </w:r>
    </w:p>
    <w:p>
      <w:pPr>
        <w:spacing w:after="0" w:line="314"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now wishes to amend certain provisions of the Loan Note Instrument.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DEFINITIONS AND INTERPRETATION</w:t>
      </w:r>
    </w:p>
    <w:p>
      <w:pPr>
        <w:spacing w:after="0" w:line="220" w:lineRule="exact"/>
        <w:rPr>
          <w:sz w:val="20"/>
          <w:szCs w:val="20"/>
          <w:color w:val="auto"/>
        </w:rPr>
      </w:pPr>
    </w:p>
    <w:p>
      <w:pPr>
        <w:ind w:left="740" w:right="20" w:hanging="737"/>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All capitalised terms used in this Deed (including the recitals) shall have the meanings given to them in the Loan Note Instrument, except where the context otherwise requires and unless otherwise defined herein.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23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With effect from the date of this Deed, the Company hereby agrees to amend the Deed in the following manner:</w:t>
      </w:r>
    </w:p>
    <w:p>
      <w:pPr>
        <w:spacing w:after="0" w:line="212" w:lineRule="exact"/>
        <w:rPr>
          <w:sz w:val="20"/>
          <w:szCs w:val="20"/>
          <w:color w:val="auto"/>
        </w:rPr>
      </w:pPr>
    </w:p>
    <w:p>
      <w:pPr>
        <w:ind w:left="1500" w:right="20" w:hanging="744"/>
        <w:spacing w:after="0" w:line="273" w:lineRule="auto"/>
        <w:tabs>
          <w:tab w:leader="none" w:pos="1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color w:val="auto"/>
        </w:rPr>
        <w:t>Conversion Price</w:t>
      </w:r>
      <w:r>
        <w:rPr>
          <w:rFonts w:ascii="Times New Roman" w:cs="Times New Roman" w:eastAsia="Times New Roman" w:hAnsi="Times New Roman"/>
          <w:sz w:val="20"/>
          <w:szCs w:val="20"/>
          <w:color w:val="auto"/>
        </w:rPr>
        <w:t>” shall be amended so that the following words are added after paragraph (b) thereof:</w:t>
      </w:r>
    </w:p>
    <w:p>
      <w:pPr>
        <w:spacing w:after="0" w:line="156" w:lineRule="exact"/>
        <w:rPr>
          <w:sz w:val="20"/>
          <w:szCs w:val="20"/>
          <w:color w:val="auto"/>
        </w:rPr>
      </w:pPr>
    </w:p>
    <w:p>
      <w:pPr>
        <w:ind w:left="1500" w:right="380"/>
        <w:spacing w:after="0" w:line="269" w:lineRule="auto"/>
        <w:rPr>
          <w:sz w:val="20"/>
          <w:szCs w:val="20"/>
          <w:color w:val="auto"/>
        </w:rPr>
      </w:pPr>
      <w:r>
        <w:rPr>
          <w:rFonts w:ascii="Times New Roman" w:cs="Times New Roman" w:eastAsia="Times New Roman" w:hAnsi="Times New Roman"/>
          <w:sz w:val="20"/>
          <w:szCs w:val="20"/>
          <w:color w:val="auto"/>
        </w:rPr>
        <w:t>“provided that, in relation to any Conversion Date falling on or after 2024, “Conversion Price” shall mean $2 per Share;”; and</w:t>
      </w:r>
    </w:p>
    <w:p>
      <w:pPr>
        <w:spacing w:after="0" w:line="155" w:lineRule="exact"/>
        <w:rPr>
          <w:sz w:val="20"/>
          <w:szCs w:val="20"/>
          <w:color w:val="auto"/>
        </w:rPr>
      </w:pPr>
    </w:p>
    <w:p>
      <w:pPr>
        <w:jc w:val="both"/>
        <w:ind w:left="1500" w:hanging="744"/>
        <w:spacing w:after="0" w:line="256" w:lineRule="auto"/>
        <w:tabs>
          <w:tab w:leader="none" w:pos="15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5.2 (</w:t>
      </w:r>
      <w:r>
        <w:rPr>
          <w:rFonts w:ascii="Times New Roman" w:cs="Times New Roman" w:eastAsia="Times New Roman" w:hAnsi="Times New Roman"/>
          <w:sz w:val="20"/>
          <w:szCs w:val="20"/>
          <w:i w:val="1"/>
          <w:iCs w:val="1"/>
          <w:color w:val="auto"/>
        </w:rPr>
        <w:t>Early Redemption at the Option of the Company</w:t>
      </w:r>
      <w:r>
        <w:rPr>
          <w:rFonts w:ascii="Times New Roman" w:cs="Times New Roman" w:eastAsia="Times New Roman" w:hAnsi="Times New Roman"/>
          <w:sz w:val="20"/>
          <w:szCs w:val="20"/>
          <w:color w:val="auto"/>
        </w:rPr>
        <w:t>), 7.1 (</w:t>
      </w:r>
      <w:r>
        <w:rPr>
          <w:rFonts w:ascii="Times New Roman" w:cs="Times New Roman" w:eastAsia="Times New Roman" w:hAnsi="Times New Roman"/>
          <w:sz w:val="20"/>
          <w:szCs w:val="20"/>
          <w:i w:val="1"/>
          <w:iCs w:val="1"/>
          <w:color w:val="auto"/>
        </w:rPr>
        <w:t>Conversion at the Option of the Noteholders</w:t>
      </w:r>
      <w:r>
        <w:rPr>
          <w:rFonts w:ascii="Times New Roman" w:cs="Times New Roman" w:eastAsia="Times New Roman" w:hAnsi="Times New Roman"/>
          <w:sz w:val="20"/>
          <w:szCs w:val="20"/>
          <w:color w:val="auto"/>
        </w:rPr>
        <w:t>) and 13.1 (</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of Schedule B (</w:t>
      </w:r>
      <w:r>
        <w:rPr>
          <w:rFonts w:ascii="Times New Roman" w:cs="Times New Roman" w:eastAsia="Times New Roman" w:hAnsi="Times New Roman"/>
          <w:sz w:val="20"/>
          <w:szCs w:val="20"/>
          <w:i w:val="1"/>
          <w:iCs w:val="1"/>
          <w:color w:val="auto"/>
        </w:rPr>
        <w:t>Conditions of the Notes</w:t>
      </w:r>
      <w:r>
        <w:rPr>
          <w:rFonts w:ascii="Times New Roman" w:cs="Times New Roman" w:eastAsia="Times New Roman" w:hAnsi="Times New Roman"/>
          <w:sz w:val="20"/>
          <w:szCs w:val="20"/>
          <w:color w:val="auto"/>
        </w:rPr>
        <w:t>) shall each be amended such that the references to “at the then applicable Conversion Price” shall be replaced with “at the Conversion Price”.</w:t>
      </w:r>
    </w:p>
    <w:p>
      <w:pPr>
        <w:spacing w:after="0" w:line="173" w:lineRule="exact"/>
        <w:rPr>
          <w:sz w:val="20"/>
          <w:szCs w:val="20"/>
          <w:color w:val="auto"/>
        </w:rPr>
      </w:pPr>
    </w:p>
    <w:p>
      <w:pPr>
        <w:ind w:left="740" w:right="20" w:hanging="737"/>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Subject to clause 2.1 above, the terms of the Loan Note Instrument shall remain in full force and effect and the Loan Note Instrument and this Deed will, from the date of this Deed, be read and construed as one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720090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751" w:right="499" w:bottom="1440" w:gutter="0" w:footer="0" w:header="0"/>
        </w:sectPr>
      </w:pPr>
    </w:p>
    <w:bookmarkStart w:id="11" w:name="page12"/>
    <w:bookmarkEnd w:id="11"/>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GOVERNING LAW &amp; JURISDICTION</w:t>
      </w:r>
    </w:p>
    <w:p>
      <w:pPr>
        <w:spacing w:after="0" w:line="233" w:lineRule="exact"/>
        <w:rPr>
          <w:sz w:val="20"/>
          <w:szCs w:val="20"/>
          <w:color w:val="auto"/>
        </w:rPr>
      </w:pPr>
    </w:p>
    <w:p>
      <w:pPr>
        <w:ind w:left="740" w:right="20" w:hanging="737"/>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This Deed and any non-contractual obligations arising out of or in connection with this Deed shall be governed by, and interpreted in accordance with, English law.</w:t>
      </w:r>
    </w:p>
    <w:p>
      <w:pPr>
        <w:spacing w:after="0" w:line="159" w:lineRule="exact"/>
        <w:rPr>
          <w:sz w:val="20"/>
          <w:szCs w:val="20"/>
          <w:color w:val="auto"/>
        </w:rPr>
      </w:pPr>
    </w:p>
    <w:p>
      <w:pPr>
        <w:ind w:left="740" w:hanging="738"/>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The English courts shall have exclusive jurisdiction to settle any claim, dispute or issue between the parties whether arising out of or in connection with this Deed or otherwise (including non- contractual claims).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Deed has been executed and delivered and takes effect on the date stated at the beginning of 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755650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440" w:right="499" w:bottom="1440" w:gutter="0" w:footer="0" w:header="0"/>
        </w:sectPr>
      </w:pPr>
    </w:p>
    <w:bookmarkStart w:id="12" w:name="page13"/>
    <w:bookmarkEnd w:id="12"/>
    <w:p>
      <w:pPr>
        <w:ind w:right="1980"/>
        <w:spacing w:after="0" w:line="273" w:lineRule="auto"/>
        <w:rPr>
          <w:sz w:val="20"/>
          <w:szCs w:val="20"/>
          <w:color w:val="auto"/>
        </w:rPr>
      </w:pPr>
      <w:r>
        <w:rPr>
          <w:rFonts w:ascii="Times New Roman" w:cs="Times New Roman" w:eastAsia="Times New Roman" w:hAnsi="Times New Roman"/>
          <w:sz w:val="20"/>
          <w:szCs w:val="20"/>
          <w:color w:val="auto"/>
        </w:rPr>
        <w:t xml:space="preserve">Executed as a </w:t>
      </w:r>
      <w:r>
        <w:rPr>
          <w:rFonts w:ascii="Times New Roman" w:cs="Times New Roman" w:eastAsia="Times New Roman" w:hAnsi="Times New Roman"/>
          <w:sz w:val="20"/>
          <w:szCs w:val="20"/>
          <w:b w:val="1"/>
          <w:bCs w:val="1"/>
          <w:color w:val="auto"/>
        </w:rPr>
        <w:t>DEED</w:t>
      </w:r>
      <w:r>
        <w:rPr>
          <w:rFonts w:ascii="Times New Roman" w:cs="Times New Roman" w:eastAsia="Times New Roman" w:hAnsi="Times New Roman"/>
          <w:sz w:val="20"/>
          <w:szCs w:val="20"/>
          <w:color w:val="auto"/>
        </w:rPr>
        <w:t xml:space="preserve"> for and on behalf of </w:t>
      </w:r>
      <w:r>
        <w:rPr>
          <w:rFonts w:ascii="Times New Roman" w:cs="Times New Roman" w:eastAsia="Times New Roman" w:hAnsi="Times New Roman"/>
          <w:sz w:val="20"/>
          <w:szCs w:val="20"/>
          <w:b w:val="1"/>
          <w:bCs w:val="1"/>
          <w:color w:val="auto"/>
        </w:rPr>
        <w:t>REZOLVE AI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5280" w:space="720"/>
            <w:col w:w="3959"/>
          </w:cols>
          <w:pgMar w:left="500" w:top="1395"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presence of a witness</w:t>
      </w:r>
    </w:p>
    <w:p>
      <w:pPr>
        <w:sectPr>
          <w:pgSz w:w="11900" w:h="16838" w:orient="portrait"/>
          <w:cols w:equalWidth="0" w:num="1">
            <w:col w:w="9959"/>
          </w:cols>
          <w:pgMar w:left="500" w:top="1395" w:right="1440"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 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(print): Occupation: Address: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ectPr>
          <w:pgSz w:w="11900" w:h="16838" w:orient="portrait"/>
          <w:cols w:equalWidth="0" w:num="2">
            <w:col w:w="5280" w:space="720"/>
            <w:col w:w="3959"/>
          </w:cols>
          <w:pgMar w:left="500" w:top="13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 Loan Note Instrument Deed of Amendment – Conversion Price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240665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1395" w:right="1440" w:bottom="1440" w:gutter="0" w:footer="0" w:header="0"/>
          <w:type w:val="continuous"/>
        </w:sectPr>
      </w:pPr>
    </w:p>
    <w:bookmarkStart w:id="13" w:name="page14"/>
    <w:bookmarkEnd w:id="13"/>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Schedule 2</w:t>
      </w:r>
    </w:p>
    <w:p>
      <w:pPr>
        <w:spacing w:after="0" w:line="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Form of Consent to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732155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NOTEHOLDER MAJORITY VARIATION CONSENT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Joh. Berenberg, Gossler &amp; Co. KG 20 Neuer Jungfernstieg</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20354, Hamburg Germany</w:t>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Berenberg</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Aurora Nominees Limited 10 Harewood</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Avenue London, NW1 6AA</w:t>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Aurora</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Vidacos Nominees Limited Citigroup Centre</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Canada Square, Canary Wharf London, E14 5LB</w:t>
      </w: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Vidacos</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Rezolve AI Limited 5 New Street Square</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London EC4A 3TW United Kingdom</w:t>
      </w:r>
    </w:p>
    <w:p>
      <w:pPr>
        <w:ind w:left="76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December 2024 Dear Sirs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514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Consent to variation of Loan Note Instrument (as defined below)</w:t>
      </w:r>
    </w:p>
    <w:p>
      <w:pPr>
        <w:spacing w:after="0" w:line="190" w:lineRule="exact"/>
        <w:rPr>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Introduction</w:t>
      </w:r>
    </w:p>
    <w:p>
      <w:pPr>
        <w:spacing w:after="0" w:line="220" w:lineRule="exact"/>
        <w:rPr>
          <w:sz w:val="20"/>
          <w:szCs w:val="20"/>
          <w:color w:val="auto"/>
        </w:rPr>
      </w:pPr>
    </w:p>
    <w:p>
      <w:pPr>
        <w:jc w:val="both"/>
        <w:ind w:left="740" w:hanging="737"/>
        <w:spacing w:after="0" w:line="246" w:lineRule="auto"/>
        <w:tabs>
          <w:tab w:leader="none" w:pos="7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We refer to the loan note instrument constituting up to $49,892,080 7.50% senior secured convertible loan notes originally dated 16 December 2021, as amended and restated on 21 November 2022 and 23 May 2023, as further amended on 18 December 2023 and 29 December 2023 and as further amended and restated on 26 January 2024, and novated from Rezolve Limited to the Company by way of a deed of novation dated 4 July 2024 (the “</w:t>
      </w:r>
      <w:r>
        <w:rPr>
          <w:rFonts w:ascii="Times New Roman" w:cs="Times New Roman" w:eastAsia="Times New Roman" w:hAnsi="Times New Roman"/>
          <w:sz w:val="20"/>
          <w:szCs w:val="20"/>
          <w:b w:val="1"/>
          <w:bCs w:val="1"/>
          <w:color w:val="auto"/>
        </w:rPr>
        <w:t>Loan Note Instrument</w:t>
      </w:r>
      <w:r>
        <w:rPr>
          <w:rFonts w:ascii="Times New Roman" w:cs="Times New Roman" w:eastAsia="Times New Roman" w:hAnsi="Times New Roman"/>
          <w:sz w:val="20"/>
          <w:szCs w:val="20"/>
          <w:color w:val="auto"/>
        </w:rPr>
        <w:t>”). Berenberg, Aurora and Vidacos together constitute a Noteholder Majority for the purposes of the Loan Note Instrument.</w:t>
      </w:r>
    </w:p>
    <w:p>
      <w:pPr>
        <w:spacing w:after="0" w:line="181" w:lineRule="exact"/>
        <w:rPr>
          <w:sz w:val="20"/>
          <w:szCs w:val="20"/>
          <w:color w:val="auto"/>
        </w:rPr>
      </w:pPr>
    </w:p>
    <w:p>
      <w:pPr>
        <w:jc w:val="both"/>
        <w:ind w:left="740" w:right="20" w:hanging="737"/>
        <w:spacing w:after="0" w:line="273" w:lineRule="auto"/>
        <w:tabs>
          <w:tab w:leader="none" w:pos="7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We further refer to the draft deed of amendment appended as Appendix I, to be entered into on or around the date hereof (“</w:t>
      </w:r>
      <w:r>
        <w:rPr>
          <w:rFonts w:ascii="Times New Roman" w:cs="Times New Roman" w:eastAsia="Times New Roman" w:hAnsi="Times New Roman"/>
          <w:sz w:val="20"/>
          <w:szCs w:val="20"/>
          <w:b w:val="1"/>
          <w:bCs w:val="1"/>
          <w:color w:val="auto"/>
        </w:rPr>
        <w:t>Deed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Amendment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Consent to variation request</w:t>
      </w:r>
    </w:p>
    <w:p>
      <w:pPr>
        <w:spacing w:after="0" w:line="220" w:lineRule="exact"/>
        <w:rPr>
          <w:sz w:val="20"/>
          <w:szCs w:val="20"/>
          <w:color w:val="auto"/>
        </w:rPr>
      </w:pPr>
    </w:p>
    <w:p>
      <w:pPr>
        <w:ind w:left="740" w:hanging="737"/>
        <w:spacing w:after="0" w:line="265" w:lineRule="auto"/>
        <w:tabs>
          <w:tab w:leader="none" w:pos="7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Berenberg, Aurora and Vidacos (constituting a Noteholder Majority) hereby acknowledge and agree to the terms of the Deed of Amendment.</w:t>
      </w:r>
    </w:p>
    <w:p>
      <w:pPr>
        <w:spacing w:after="0" w:line="1"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758190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751" w:right="499" w:bottom="1440" w:gutter="0" w:footer="0" w:header="0"/>
        </w:sectPr>
      </w:pPr>
    </w:p>
    <w:bookmarkStart w:id="15" w:name="page16"/>
    <w:bookmarkEnd w:id="15"/>
    <w:p>
      <w:pPr>
        <w:spacing w:after="0" w:line="36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Save as expressly set out in this letter, nothing in this letter shall constitute or be construed as a waiver or compromise of any other term or condition of the Loan Note Instrument or any of the Noteholders’ rights in relation to them which for the avoidance of doubt shall continue in full force and effect.</w:t>
      </w:r>
    </w:p>
    <w:p>
      <w:pPr>
        <w:spacing w:after="0" w:line="170" w:lineRule="exact"/>
        <w:rPr>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jurisdiction</w:t>
      </w:r>
    </w:p>
    <w:p>
      <w:pPr>
        <w:spacing w:after="0" w:line="219" w:lineRule="exact"/>
        <w:rPr>
          <w:rFonts w:ascii="Times New Roman" w:cs="Times New Roman" w:eastAsia="Times New Roman" w:hAnsi="Times New Roman"/>
          <w:sz w:val="20"/>
          <w:szCs w:val="20"/>
          <w:color w:val="auto"/>
        </w:rPr>
      </w:pPr>
    </w:p>
    <w:p>
      <w:pPr>
        <w:jc w:val="both"/>
        <w:ind w:left="7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letter (including the agreement constituted by your acknowledgement of its terms) and any non-contractual obligations arising out of or in connection to it are governed by English law. The parties to this letter submit to the non-exclusive jurisdiction of the English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762635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440" w:right="499" w:bottom="1440" w:gutter="0" w:footer="0" w:header="0"/>
        </w:sectPr>
      </w:pPr>
    </w:p>
    <w:bookmarkStart w:id="16" w:name="page17"/>
    <w:bookmarkEnd w:id="16"/>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for and on behalf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JOH. BERENBERG, GOSSLER &amp; CO. KG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Noteholder Majority Variation Consent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226695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7" w:name="page18"/>
    <w:bookmarkEnd w:id="17"/>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for and on behalf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AURORA NOMINEES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1307465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8" w:name="page19"/>
    <w:bookmarkEnd w:id="18"/>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for and on behalf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VIDACOS NOMINEES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1307465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9" w:name="page20"/>
    <w:bookmarkEnd w:id="19"/>
    <w:p>
      <w:pPr>
        <w:spacing w:after="0" w:line="2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Appendix I Deed of</w:t>
      </w:r>
    </w:p>
    <w:p>
      <w:pPr>
        <w:spacing w:after="0" w:line="3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0"/>
          <w:szCs w:val="20"/>
          <w:b w:val="1"/>
          <w:bCs w:val="1"/>
          <w:color w:val="auto"/>
        </w:rPr>
        <w:t xml:space="preserve">THIS DEED OF AMENDMENT </w:t>
      </w:r>
      <w:r>
        <w:rPr>
          <w:rFonts w:ascii="Times New Roman" w:cs="Times New Roman" w:eastAsia="Times New Roman" w:hAnsi="Times New Roman"/>
          <w:sz w:val="20"/>
          <w:szCs w:val="20"/>
          <w:color w:val="auto"/>
        </w:rPr>
        <w:t>is made on</w:t>
      </w:r>
      <w:r>
        <w:rPr>
          <w:sz w:val="20"/>
          <w:szCs w:val="20"/>
          <w:color w:val="auto"/>
        </w:rPr>
        <w:tab/>
      </w:r>
      <w:r>
        <w:rPr>
          <w:rFonts w:ascii="Times New Roman" w:cs="Times New Roman" w:eastAsia="Times New Roman" w:hAnsi="Times New Roman"/>
          <w:sz w:val="19"/>
          <w:szCs w:val="19"/>
          <w:color w:val="auto"/>
        </w:rPr>
        <w:t>2024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-8255</wp:posOffset>
            </wp:positionV>
            <wp:extent cx="135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740" w:right="4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REZOLVE AI LIMITED </w:t>
      </w:r>
      <w:r>
        <w:rPr>
          <w:rFonts w:ascii="Times New Roman" w:cs="Times New Roman" w:eastAsia="Times New Roman" w:hAnsi="Times New Roman"/>
          <w:sz w:val="20"/>
          <w:szCs w:val="20"/>
          <w:color w:val="auto"/>
        </w:rPr>
        <w:t>(company number 14573691) whose registered office is at 5 New Street Square, London, EC4A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3TW, United Kingdom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98" w:lineRule="exact"/>
        <w:rPr>
          <w:sz w:val="20"/>
          <w:szCs w:val="20"/>
          <w:color w:val="auto"/>
        </w:rPr>
      </w:pPr>
    </w:p>
    <w:p>
      <w:pPr>
        <w:jc w:val="both"/>
        <w:ind w:left="740" w:hanging="732"/>
        <w:spacing w:after="0" w:line="249" w:lineRule="auto"/>
        <w:tabs>
          <w:tab w:leader="none" w:pos="7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Rezolve Limited entered into that loan note instrument constituting up to $49,892,080 7.50% senior secured convertible loan notes originally dated 16 December 2021, as amended and restated on 21 November 2022 and 23 May 2023, as further amended on 18 December 2023 and 29 December 2023 and as further amended and restated on 26 January 2024, and novated to the Company by way of a deed of novation dated 4 July 2024 (the “</w:t>
      </w:r>
      <w:r>
        <w:rPr>
          <w:rFonts w:ascii="Times New Roman" w:cs="Times New Roman" w:eastAsia="Times New Roman" w:hAnsi="Times New Roman"/>
          <w:sz w:val="20"/>
          <w:szCs w:val="20"/>
          <w:b w:val="1"/>
          <w:bCs w:val="1"/>
          <w:color w:val="auto"/>
        </w:rPr>
        <w:t>Loan Note Instrument</w:t>
      </w:r>
      <w:r>
        <w:rPr>
          <w:rFonts w:ascii="Times New Roman" w:cs="Times New Roman" w:eastAsia="Times New Roman" w:hAnsi="Times New Roman"/>
          <w:sz w:val="20"/>
          <w:szCs w:val="20"/>
          <w:color w:val="auto"/>
        </w:rPr>
        <w:t>”).</w:t>
      </w:r>
    </w:p>
    <w:p>
      <w:pPr>
        <w:spacing w:after="0" w:line="314"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now wishes to amend certain provisions of the Loan Note Instrument.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DEFINITIONS AND INTERPRETATION</w:t>
      </w:r>
    </w:p>
    <w:p>
      <w:pPr>
        <w:spacing w:after="0" w:line="220" w:lineRule="exact"/>
        <w:rPr>
          <w:sz w:val="20"/>
          <w:szCs w:val="20"/>
          <w:color w:val="auto"/>
        </w:rPr>
      </w:pPr>
    </w:p>
    <w:p>
      <w:pPr>
        <w:ind w:left="740" w:right="20" w:hanging="737"/>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All capitalised terms used in this Deed (including the recitals) shall have the meanings given to them in the Loan Note Instrument, except where the context otherwise requires and unless otherwise defined herein.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23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With effect from the date of this Deed, the Company hereby agrees to amend the Deed in the following manner:</w:t>
      </w:r>
    </w:p>
    <w:p>
      <w:pPr>
        <w:spacing w:after="0" w:line="212" w:lineRule="exact"/>
        <w:rPr>
          <w:sz w:val="20"/>
          <w:szCs w:val="20"/>
          <w:color w:val="auto"/>
        </w:rPr>
      </w:pPr>
    </w:p>
    <w:p>
      <w:pPr>
        <w:ind w:left="1500" w:right="20" w:hanging="744"/>
        <w:spacing w:after="0" w:line="273" w:lineRule="auto"/>
        <w:tabs>
          <w:tab w:leader="none" w:pos="15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color w:val="auto"/>
        </w:rPr>
        <w:t>Conversion Price</w:t>
      </w:r>
      <w:r>
        <w:rPr>
          <w:rFonts w:ascii="Times New Roman" w:cs="Times New Roman" w:eastAsia="Times New Roman" w:hAnsi="Times New Roman"/>
          <w:sz w:val="20"/>
          <w:szCs w:val="20"/>
          <w:color w:val="auto"/>
        </w:rPr>
        <w:t>” shall be amended so that the following words are added after paragraph (b) thereof:</w:t>
      </w:r>
    </w:p>
    <w:p>
      <w:pPr>
        <w:spacing w:after="0" w:line="156" w:lineRule="exact"/>
        <w:rPr>
          <w:sz w:val="20"/>
          <w:szCs w:val="20"/>
          <w:color w:val="auto"/>
        </w:rPr>
      </w:pPr>
    </w:p>
    <w:p>
      <w:pPr>
        <w:ind w:left="1500" w:right="380"/>
        <w:spacing w:after="0" w:line="269" w:lineRule="auto"/>
        <w:rPr>
          <w:sz w:val="20"/>
          <w:szCs w:val="20"/>
          <w:color w:val="auto"/>
        </w:rPr>
      </w:pPr>
      <w:r>
        <w:rPr>
          <w:rFonts w:ascii="Times New Roman" w:cs="Times New Roman" w:eastAsia="Times New Roman" w:hAnsi="Times New Roman"/>
          <w:sz w:val="20"/>
          <w:szCs w:val="20"/>
          <w:color w:val="auto"/>
        </w:rPr>
        <w:t>“provided that, in relation to any Conversion Date falling on or after 2024, “Conversion Price” shall mean $2 per Share;”; and</w:t>
      </w:r>
    </w:p>
    <w:p>
      <w:pPr>
        <w:spacing w:after="0" w:line="155" w:lineRule="exact"/>
        <w:rPr>
          <w:sz w:val="20"/>
          <w:szCs w:val="20"/>
          <w:color w:val="auto"/>
        </w:rPr>
      </w:pPr>
    </w:p>
    <w:p>
      <w:pPr>
        <w:jc w:val="both"/>
        <w:ind w:left="1500" w:hanging="744"/>
        <w:spacing w:after="0" w:line="256" w:lineRule="auto"/>
        <w:tabs>
          <w:tab w:leader="none" w:pos="15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5.2 (</w:t>
      </w:r>
      <w:r>
        <w:rPr>
          <w:rFonts w:ascii="Times New Roman" w:cs="Times New Roman" w:eastAsia="Times New Roman" w:hAnsi="Times New Roman"/>
          <w:sz w:val="20"/>
          <w:szCs w:val="20"/>
          <w:i w:val="1"/>
          <w:iCs w:val="1"/>
          <w:color w:val="auto"/>
        </w:rPr>
        <w:t>Early Redemption at the Option of the Company</w:t>
      </w:r>
      <w:r>
        <w:rPr>
          <w:rFonts w:ascii="Times New Roman" w:cs="Times New Roman" w:eastAsia="Times New Roman" w:hAnsi="Times New Roman"/>
          <w:sz w:val="20"/>
          <w:szCs w:val="20"/>
          <w:color w:val="auto"/>
        </w:rPr>
        <w:t>), 7.1 (</w:t>
      </w:r>
      <w:r>
        <w:rPr>
          <w:rFonts w:ascii="Times New Roman" w:cs="Times New Roman" w:eastAsia="Times New Roman" w:hAnsi="Times New Roman"/>
          <w:sz w:val="20"/>
          <w:szCs w:val="20"/>
          <w:i w:val="1"/>
          <w:iCs w:val="1"/>
          <w:color w:val="auto"/>
        </w:rPr>
        <w:t>Conversion at the Option of the Noteholders</w:t>
      </w:r>
      <w:r>
        <w:rPr>
          <w:rFonts w:ascii="Times New Roman" w:cs="Times New Roman" w:eastAsia="Times New Roman" w:hAnsi="Times New Roman"/>
          <w:sz w:val="20"/>
          <w:szCs w:val="20"/>
          <w:color w:val="auto"/>
        </w:rPr>
        <w:t>) and 13.1 (</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of Schedule B (</w:t>
      </w:r>
      <w:r>
        <w:rPr>
          <w:rFonts w:ascii="Times New Roman" w:cs="Times New Roman" w:eastAsia="Times New Roman" w:hAnsi="Times New Roman"/>
          <w:sz w:val="20"/>
          <w:szCs w:val="20"/>
          <w:i w:val="1"/>
          <w:iCs w:val="1"/>
          <w:color w:val="auto"/>
        </w:rPr>
        <w:t>Conditions of the Notes</w:t>
      </w:r>
      <w:r>
        <w:rPr>
          <w:rFonts w:ascii="Times New Roman" w:cs="Times New Roman" w:eastAsia="Times New Roman" w:hAnsi="Times New Roman"/>
          <w:sz w:val="20"/>
          <w:szCs w:val="20"/>
          <w:color w:val="auto"/>
        </w:rPr>
        <w:t>) shall each be amended such that the references to “at the then applicable Conversion Price” shall be replaced with “at the Conversion Price”.</w:t>
      </w:r>
    </w:p>
    <w:p>
      <w:pPr>
        <w:spacing w:after="0" w:line="173" w:lineRule="exact"/>
        <w:rPr>
          <w:sz w:val="20"/>
          <w:szCs w:val="20"/>
          <w:color w:val="auto"/>
        </w:rPr>
      </w:pPr>
    </w:p>
    <w:p>
      <w:pPr>
        <w:ind w:left="740" w:right="20" w:hanging="737"/>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Subject to clause 2.1 above, the terms of the Loan Note Instrument shall remain in full force and effect and the Loan Note Instrument and this Deed will, from the date of this Deed, be read and construed as one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720090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751" w:right="499" w:bottom="1440" w:gutter="0" w:footer="0" w:header="0"/>
        </w:sectPr>
      </w:pPr>
    </w:p>
    <w:bookmarkStart w:id="21" w:name="page22"/>
    <w:bookmarkEnd w:id="21"/>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GOVERNING LAW &amp; JURISDICTION</w:t>
      </w:r>
    </w:p>
    <w:p>
      <w:pPr>
        <w:spacing w:after="0" w:line="233" w:lineRule="exact"/>
        <w:rPr>
          <w:sz w:val="20"/>
          <w:szCs w:val="20"/>
          <w:color w:val="auto"/>
        </w:rPr>
      </w:pPr>
    </w:p>
    <w:p>
      <w:pPr>
        <w:ind w:left="740" w:right="20" w:hanging="737"/>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This Deed and any non-contractual obligations arising out of or in connection with this Deed shall be governed by, and interpreted in accordance with, English law.</w:t>
      </w:r>
    </w:p>
    <w:p>
      <w:pPr>
        <w:spacing w:after="0" w:line="159" w:lineRule="exact"/>
        <w:rPr>
          <w:sz w:val="20"/>
          <w:szCs w:val="20"/>
          <w:color w:val="auto"/>
        </w:rPr>
      </w:pPr>
    </w:p>
    <w:p>
      <w:pPr>
        <w:ind w:left="740" w:hanging="738"/>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The English courts shall have exclusive jurisdiction to settle any claim, dispute or issue between the parties whether arising out of or in connection with this Deed or otherwise (including non- contractual claims).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Deed has been executed and delivered and takes effect on the date stated at the beginning of 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755650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440" w:right="499" w:bottom="1440" w:gutter="0" w:footer="0" w:header="0"/>
        </w:sectPr>
      </w:pPr>
    </w:p>
    <w:bookmarkStart w:id="22" w:name="page23"/>
    <w:bookmarkEnd w:id="22"/>
    <w:p>
      <w:pPr>
        <w:ind w:right="1980"/>
        <w:spacing w:after="0" w:line="273" w:lineRule="auto"/>
        <w:rPr>
          <w:sz w:val="20"/>
          <w:szCs w:val="20"/>
          <w:color w:val="auto"/>
        </w:rPr>
      </w:pPr>
      <w:r>
        <w:rPr>
          <w:rFonts w:ascii="Times New Roman" w:cs="Times New Roman" w:eastAsia="Times New Roman" w:hAnsi="Times New Roman"/>
          <w:sz w:val="20"/>
          <w:szCs w:val="20"/>
          <w:color w:val="auto"/>
        </w:rPr>
        <w:t xml:space="preserve">Executed as a </w:t>
      </w:r>
      <w:r>
        <w:rPr>
          <w:rFonts w:ascii="Times New Roman" w:cs="Times New Roman" w:eastAsia="Times New Roman" w:hAnsi="Times New Roman"/>
          <w:sz w:val="20"/>
          <w:szCs w:val="20"/>
          <w:b w:val="1"/>
          <w:bCs w:val="1"/>
          <w:color w:val="auto"/>
        </w:rPr>
        <w:t>DEED</w:t>
      </w:r>
      <w:r>
        <w:rPr>
          <w:rFonts w:ascii="Times New Roman" w:cs="Times New Roman" w:eastAsia="Times New Roman" w:hAnsi="Times New Roman"/>
          <w:sz w:val="20"/>
          <w:szCs w:val="20"/>
          <w:color w:val="auto"/>
        </w:rPr>
        <w:t xml:space="preserve"> for and on behalf of </w:t>
      </w:r>
      <w:r>
        <w:rPr>
          <w:rFonts w:ascii="Times New Roman" w:cs="Times New Roman" w:eastAsia="Times New Roman" w:hAnsi="Times New Roman"/>
          <w:sz w:val="20"/>
          <w:szCs w:val="20"/>
          <w:b w:val="1"/>
          <w:bCs w:val="1"/>
          <w:color w:val="auto"/>
        </w:rPr>
        <w:t>REZOLVE AI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5280" w:space="720"/>
            <w:col w:w="3959"/>
          </w:cols>
          <w:pgMar w:left="500" w:top="1395"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presence of a witness</w:t>
      </w:r>
    </w:p>
    <w:p>
      <w:pPr>
        <w:sectPr>
          <w:pgSz w:w="11900" w:h="16838" w:orient="portrait"/>
          <w:cols w:equalWidth="0" w:num="1">
            <w:col w:w="9959"/>
          </w:cols>
          <w:pgMar w:left="500" w:top="1395" w:right="1440"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 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(print): Occupation: Address: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ectPr>
          <w:pgSz w:w="11900" w:h="16838" w:orient="portrait"/>
          <w:cols w:equalWidth="0" w:num="2">
            <w:col w:w="5280" w:space="720"/>
            <w:col w:w="3959"/>
          </w:cols>
          <w:pgMar w:left="500" w:top="13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 Loan Note Instrument Deed of Amendment – Conversion Price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240665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1395" w:right="1440" w:bottom="1440" w:gutter="0" w:footer="0" w:header="0"/>
          <w:type w:val="continuous"/>
        </w:sectPr>
      </w:pPr>
    </w:p>
    <w:bookmarkStart w:id="23" w:name="page24"/>
    <w:bookmarkEnd w:id="23"/>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Schedule 3</w:t>
      </w:r>
    </w:p>
    <w:p>
      <w:pPr>
        <w:spacing w:after="0" w:line="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Form of Conversion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732155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24" w:name="page25"/>
    <w:bookmarkEnd w:id="24"/>
    <w:p>
      <w:pPr>
        <w:ind w:left="8740"/>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39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The Directors</w:t>
      </w:r>
    </w:p>
    <w:p>
      <w:pPr>
        <w:ind w:left="740"/>
        <w:spacing w:after="0" w:line="229" w:lineRule="auto"/>
        <w:rPr>
          <w:sz w:val="20"/>
          <w:szCs w:val="20"/>
          <w:color w:val="auto"/>
        </w:rPr>
      </w:pPr>
      <w:r>
        <w:rPr>
          <w:rFonts w:ascii="Arial" w:cs="Arial" w:eastAsia="Arial" w:hAnsi="Arial"/>
          <w:sz w:val="20"/>
          <w:szCs w:val="20"/>
          <w:color w:val="auto"/>
        </w:rPr>
        <w:t>Rezolve AI Limited (the “</w:t>
      </w:r>
      <w:r>
        <w:rPr>
          <w:rFonts w:ascii="Arial" w:cs="Arial" w:eastAsia="Arial" w:hAnsi="Arial"/>
          <w:sz w:val="20"/>
          <w:szCs w:val="20"/>
          <w:b w:val="1"/>
          <w:bCs w:val="1"/>
          <w:color w:val="auto"/>
        </w:rPr>
        <w:t>Company</w:t>
      </w:r>
      <w:r>
        <w:rPr>
          <w:rFonts w:ascii="Arial" w:cs="Arial" w:eastAsia="Arial" w:hAnsi="Arial"/>
          <w:sz w:val="20"/>
          <w:szCs w:val="20"/>
          <w:color w:val="auto"/>
        </w:rPr>
        <w:t>”) 5 New Street</w:t>
      </w:r>
    </w:p>
    <w:p>
      <w:pPr>
        <w:ind w:left="740"/>
        <w:spacing w:after="0" w:line="226" w:lineRule="auto"/>
        <w:rPr>
          <w:sz w:val="20"/>
          <w:szCs w:val="20"/>
          <w:color w:val="auto"/>
        </w:rPr>
      </w:pPr>
      <w:r>
        <w:rPr>
          <w:rFonts w:ascii="Arial" w:cs="Arial" w:eastAsia="Arial" w:hAnsi="Arial"/>
          <w:sz w:val="20"/>
          <w:szCs w:val="20"/>
          <w:color w:val="auto"/>
        </w:rPr>
        <w:t>Square</w:t>
      </w:r>
    </w:p>
    <w:p>
      <w:pPr>
        <w:ind w:left="740"/>
        <w:spacing w:after="0"/>
        <w:rPr>
          <w:sz w:val="20"/>
          <w:szCs w:val="20"/>
          <w:color w:val="auto"/>
        </w:rPr>
      </w:pPr>
      <w:r>
        <w:rPr>
          <w:rFonts w:ascii="Arial" w:cs="Arial" w:eastAsia="Arial" w:hAnsi="Arial"/>
          <w:sz w:val="20"/>
          <w:szCs w:val="20"/>
          <w:color w:val="auto"/>
        </w:rPr>
        <w:t>London, EC4A 3TW United Kingdom</w:t>
      </w:r>
    </w:p>
    <w:p>
      <w:pPr>
        <w:spacing w:after="0" w:line="400" w:lineRule="exact"/>
        <w:rPr>
          <w:sz w:val="20"/>
          <w:szCs w:val="20"/>
          <w:color w:val="auto"/>
        </w:rPr>
      </w:pPr>
    </w:p>
    <w:p>
      <w:pPr>
        <w:jc w:val="right"/>
        <w:ind w:right="10080"/>
        <w:spacing w:after="0"/>
        <w:rPr>
          <w:sz w:val="20"/>
          <w:szCs w:val="20"/>
          <w:color w:val="auto"/>
        </w:rPr>
      </w:pPr>
      <w:r>
        <w:rPr>
          <w:rFonts w:ascii="Arial" w:cs="Arial" w:eastAsia="Arial" w:hAnsi="Arial"/>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79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182"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Dear Sirs</w:t>
      </w:r>
    </w:p>
    <w:p>
      <w:pPr>
        <w:spacing w:after="0" w:line="212" w:lineRule="exact"/>
        <w:rPr>
          <w:sz w:val="20"/>
          <w:szCs w:val="20"/>
          <w:color w:val="auto"/>
        </w:rPr>
      </w:pPr>
    </w:p>
    <w:p>
      <w:pPr>
        <w:jc w:val="center"/>
        <w:ind w:right="40"/>
        <w:spacing w:after="0" w:line="237" w:lineRule="auto"/>
        <w:rPr>
          <w:sz w:val="20"/>
          <w:szCs w:val="20"/>
          <w:color w:val="auto"/>
        </w:rPr>
      </w:pPr>
      <w:r>
        <w:rPr>
          <w:rFonts w:ascii="Arial" w:cs="Arial" w:eastAsia="Arial" w:hAnsi="Arial"/>
          <w:sz w:val="20"/>
          <w:szCs w:val="20"/>
          <w:b w:val="1"/>
          <w:bCs w:val="1"/>
          <w:color w:val="auto"/>
        </w:rPr>
        <w:t>7.50% Senior Secured Convertible Loan Notes, originally issued by Rezolve Limited pursuant to an instrument originally dated 16 December 2021, as amended and restated on 21 November 2022 and 23 May 2023, as further amended on 18 December 2023 and 29 December 2023, as further amended and restated on 26 January 2024 and as further amended on   2024, and novated to the Company pursuant to a deed of novation dated 4 July 2024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-173990</wp:posOffset>
            </wp:positionV>
            <wp:extent cx="1816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81610" cy="8255"/>
                    </a:xfrm>
                    <a:prstGeom prst="rect">
                      <a:avLst/>
                    </a:prstGeom>
                    <a:noFill/>
                  </pic:spPr>
                </pic:pic>
              </a:graphicData>
            </a:graphic>
          </wp:anchor>
        </w:drawing>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Aurora Nominees Limited (the “</w:t>
      </w:r>
      <w:r>
        <w:rPr>
          <w:rFonts w:ascii="Arial" w:cs="Arial" w:eastAsia="Arial" w:hAnsi="Arial"/>
          <w:sz w:val="20"/>
          <w:szCs w:val="20"/>
          <w:b w:val="1"/>
          <w:bCs w:val="1"/>
          <w:color w:val="auto"/>
        </w:rPr>
        <w:t>Exercising Noteholder</w:t>
      </w:r>
      <w:r>
        <w:rPr>
          <w:rFonts w:ascii="Arial" w:cs="Arial" w:eastAsia="Arial" w:hAnsi="Arial"/>
          <w:sz w:val="20"/>
          <w:szCs w:val="20"/>
          <w:color w:val="auto"/>
        </w:rPr>
        <w:t>”) hereby gives notice to the Company that it is exercising its right to convert $10,000,000 principal amount of Notes (together with additional accrued interest of $445,891 as of the date of this notice) issued pursuant to the Instrument into Shares in accordance with condition 7 (</w:t>
      </w:r>
      <w:r>
        <w:rPr>
          <w:rFonts w:ascii="Arial" w:cs="Arial" w:eastAsia="Arial" w:hAnsi="Arial"/>
          <w:sz w:val="20"/>
          <w:szCs w:val="20"/>
          <w:i w:val="1"/>
          <w:iCs w:val="1"/>
          <w:color w:val="auto"/>
        </w:rPr>
        <w:t>Conversion at the Option of the</w:t>
      </w:r>
      <w:r>
        <w:rPr>
          <w:rFonts w:ascii="Arial" w:cs="Arial" w:eastAsia="Arial" w:hAnsi="Arial"/>
          <w:sz w:val="20"/>
          <w:szCs w:val="20"/>
          <w:color w:val="auto"/>
        </w:rPr>
        <w:t xml:space="preserve"> </w:t>
      </w:r>
      <w:r>
        <w:rPr>
          <w:rFonts w:ascii="Arial" w:cs="Arial" w:eastAsia="Arial" w:hAnsi="Arial"/>
          <w:sz w:val="20"/>
          <w:szCs w:val="20"/>
          <w:i w:val="1"/>
          <w:iCs w:val="1"/>
          <w:color w:val="auto"/>
        </w:rPr>
        <w:t>Noteholders</w:t>
      </w:r>
      <w:r>
        <w:rPr>
          <w:rFonts w:ascii="Arial" w:cs="Arial" w:eastAsia="Arial" w:hAnsi="Arial"/>
          <w:sz w:val="20"/>
          <w:szCs w:val="20"/>
          <w:color w:val="auto"/>
        </w:rPr>
        <w:t>) of the Instrument. We hold such Notes (the “</w:t>
      </w:r>
      <w:r>
        <w:rPr>
          <w:rFonts w:ascii="Arial" w:cs="Arial" w:eastAsia="Arial" w:hAnsi="Arial"/>
          <w:sz w:val="20"/>
          <w:szCs w:val="20"/>
          <w:b w:val="1"/>
          <w:bCs w:val="1"/>
          <w:color w:val="auto"/>
        </w:rPr>
        <w:t>Apeiron Notes</w:t>
      </w:r>
      <w:r>
        <w:rPr>
          <w:rFonts w:ascii="Arial" w:cs="Arial" w:eastAsia="Arial" w:hAnsi="Arial"/>
          <w:sz w:val="20"/>
          <w:szCs w:val="20"/>
          <w:color w:val="auto"/>
        </w:rPr>
        <w:t>”) on behalf of Apeiron Investment Group Ltd</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Aperion</w:t>
      </w:r>
      <w:r>
        <w:rPr>
          <w:rFonts w:ascii="Arial" w:cs="Arial" w:eastAsia="Arial" w:hAnsi="Arial"/>
          <w:sz w:val="20"/>
          <w:szCs w:val="20"/>
          <w:color w:val="auto"/>
        </w:rPr>
        <w:t>”), who is the beneficial owner of the Apeiron Notes.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hereby direct the Company to allot and issue 5,222,945 Shares resulting from the conversion of the Apeiron Notes directly to The Depositary Trust Company (“</w:t>
      </w:r>
      <w:r>
        <w:rPr>
          <w:rFonts w:ascii="Arial" w:cs="Arial" w:eastAsia="Arial" w:hAnsi="Arial"/>
          <w:sz w:val="20"/>
          <w:szCs w:val="20"/>
          <w:b w:val="1"/>
          <w:bCs w:val="1"/>
          <w:color w:val="auto"/>
        </w:rPr>
        <w:t>DTC</w:t>
      </w:r>
      <w:r>
        <w:rPr>
          <w:rFonts w:ascii="Arial" w:cs="Arial" w:eastAsia="Arial" w:hAnsi="Arial"/>
          <w:sz w:val="20"/>
          <w:szCs w:val="20"/>
          <w:color w:val="auto"/>
        </w:rPr>
        <w:t>”) in accordance with the DTC settlement instructions provided by Apeiron, in accordance with the Conditions.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acknowledge and agree that the Shares are issued subject to the memorandum of association and articles of association and shareholders agreement of the Company and that Apeiron agrees to become a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699770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760" w:right="459" w:bottom="144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Yours faithfully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AURORA NOMINEES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452120</wp:posOffset>
            </wp:positionV>
            <wp:extent cx="27774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Conversion Notice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223520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414" w:right="1440" w:bottom="1440" w:gutter="0" w:footer="0" w:header="0"/>
        </w:sectPr>
      </w:pPr>
    </w:p>
    <w:bookmarkStart w:id="26" w:name="page27"/>
    <w:bookmarkEnd w:id="26"/>
    <w:p>
      <w:pPr>
        <w:ind w:left="8740"/>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39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The Directors</w:t>
      </w:r>
    </w:p>
    <w:p>
      <w:pPr>
        <w:ind w:left="740"/>
        <w:spacing w:after="0" w:line="229" w:lineRule="auto"/>
        <w:rPr>
          <w:sz w:val="20"/>
          <w:szCs w:val="20"/>
          <w:color w:val="auto"/>
        </w:rPr>
      </w:pPr>
      <w:r>
        <w:rPr>
          <w:rFonts w:ascii="Arial" w:cs="Arial" w:eastAsia="Arial" w:hAnsi="Arial"/>
          <w:sz w:val="20"/>
          <w:szCs w:val="20"/>
          <w:color w:val="auto"/>
        </w:rPr>
        <w:t>Rezolve AI Limited (the “</w:t>
      </w:r>
      <w:r>
        <w:rPr>
          <w:rFonts w:ascii="Arial" w:cs="Arial" w:eastAsia="Arial" w:hAnsi="Arial"/>
          <w:sz w:val="20"/>
          <w:szCs w:val="20"/>
          <w:b w:val="1"/>
          <w:bCs w:val="1"/>
          <w:color w:val="auto"/>
        </w:rPr>
        <w:t>Company</w:t>
      </w:r>
      <w:r>
        <w:rPr>
          <w:rFonts w:ascii="Arial" w:cs="Arial" w:eastAsia="Arial" w:hAnsi="Arial"/>
          <w:sz w:val="20"/>
          <w:szCs w:val="20"/>
          <w:color w:val="auto"/>
        </w:rPr>
        <w:t>”) 5 New Street</w:t>
      </w:r>
    </w:p>
    <w:p>
      <w:pPr>
        <w:ind w:left="740"/>
        <w:spacing w:after="0" w:line="226" w:lineRule="auto"/>
        <w:rPr>
          <w:sz w:val="20"/>
          <w:szCs w:val="20"/>
          <w:color w:val="auto"/>
        </w:rPr>
      </w:pPr>
      <w:r>
        <w:rPr>
          <w:rFonts w:ascii="Arial" w:cs="Arial" w:eastAsia="Arial" w:hAnsi="Arial"/>
          <w:sz w:val="20"/>
          <w:szCs w:val="20"/>
          <w:color w:val="auto"/>
        </w:rPr>
        <w:t>Square</w:t>
      </w:r>
    </w:p>
    <w:p>
      <w:pPr>
        <w:ind w:left="740"/>
        <w:spacing w:after="0"/>
        <w:rPr>
          <w:sz w:val="20"/>
          <w:szCs w:val="20"/>
          <w:color w:val="auto"/>
        </w:rPr>
      </w:pPr>
      <w:r>
        <w:rPr>
          <w:rFonts w:ascii="Arial" w:cs="Arial" w:eastAsia="Arial" w:hAnsi="Arial"/>
          <w:sz w:val="20"/>
          <w:szCs w:val="20"/>
          <w:color w:val="auto"/>
        </w:rPr>
        <w:t>London, EC4A 3TW United Kingdom</w:t>
      </w:r>
    </w:p>
    <w:p>
      <w:pPr>
        <w:spacing w:after="0" w:line="400" w:lineRule="exact"/>
        <w:rPr>
          <w:sz w:val="20"/>
          <w:szCs w:val="20"/>
          <w:color w:val="auto"/>
        </w:rPr>
      </w:pPr>
    </w:p>
    <w:p>
      <w:pPr>
        <w:jc w:val="right"/>
        <w:ind w:right="10080"/>
        <w:spacing w:after="0"/>
        <w:rPr>
          <w:sz w:val="20"/>
          <w:szCs w:val="20"/>
          <w:color w:val="auto"/>
        </w:rPr>
      </w:pPr>
      <w:r>
        <w:rPr>
          <w:rFonts w:ascii="Arial" w:cs="Arial" w:eastAsia="Arial" w:hAnsi="Arial"/>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79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182"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Dear Sirs</w:t>
      </w:r>
    </w:p>
    <w:p>
      <w:pPr>
        <w:spacing w:after="0" w:line="212" w:lineRule="exact"/>
        <w:rPr>
          <w:sz w:val="20"/>
          <w:szCs w:val="20"/>
          <w:color w:val="auto"/>
        </w:rPr>
      </w:pPr>
    </w:p>
    <w:p>
      <w:pPr>
        <w:jc w:val="center"/>
        <w:ind w:right="40"/>
        <w:spacing w:after="0" w:line="237" w:lineRule="auto"/>
        <w:rPr>
          <w:sz w:val="20"/>
          <w:szCs w:val="20"/>
          <w:color w:val="auto"/>
        </w:rPr>
      </w:pPr>
      <w:r>
        <w:rPr>
          <w:rFonts w:ascii="Arial" w:cs="Arial" w:eastAsia="Arial" w:hAnsi="Arial"/>
          <w:sz w:val="20"/>
          <w:szCs w:val="20"/>
          <w:b w:val="1"/>
          <w:bCs w:val="1"/>
          <w:color w:val="auto"/>
        </w:rPr>
        <w:t>7.50% Senior Secured Convertible Loan Notes, originally issued by Rezolve Limited pursuant to an instrument originally dated 16 December 2021, as amended and restated on 21 November 2022 and 23 May 2023, as further amended on 18 December 2023 and 29 December 2023, as further amended and restated on 26 January 2024 and as further amended on   2024, and novated to the Company pursuant to a deed of novation dated 4 July 2024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-173990</wp:posOffset>
            </wp:positionV>
            <wp:extent cx="1816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81610" cy="8255"/>
                    </a:xfrm>
                    <a:prstGeom prst="rect">
                      <a:avLst/>
                    </a:prstGeom>
                    <a:noFill/>
                  </pic:spPr>
                </pic:pic>
              </a:graphicData>
            </a:graphic>
          </wp:anchor>
        </w:drawing>
      </w:r>
    </w:p>
    <w:p>
      <w:pPr>
        <w:spacing w:after="0" w:line="14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Joh. Berenberg, Gossler &amp; Co. KG (the “</w:t>
      </w:r>
      <w:r>
        <w:rPr>
          <w:rFonts w:ascii="Arial" w:cs="Arial" w:eastAsia="Arial" w:hAnsi="Arial"/>
          <w:sz w:val="20"/>
          <w:szCs w:val="20"/>
          <w:b w:val="1"/>
          <w:bCs w:val="1"/>
          <w:color w:val="auto"/>
        </w:rPr>
        <w:t>Exercising Noteholder</w:t>
      </w:r>
      <w:r>
        <w:rPr>
          <w:rFonts w:ascii="Arial" w:cs="Arial" w:eastAsia="Arial" w:hAnsi="Arial"/>
          <w:sz w:val="20"/>
          <w:szCs w:val="20"/>
          <w:color w:val="auto"/>
        </w:rPr>
        <w:t>”) hereby gives notice to the Company that it is exercising its right to convert $23,512,877 principal amount of Notes (together with additional accrued interest of $1,048,416.70 as of the date of this notice) issued pursuant to the Instrument into Shares in accordance with condition 7 (</w:t>
      </w:r>
      <w:r>
        <w:rPr>
          <w:rFonts w:ascii="Arial" w:cs="Arial" w:eastAsia="Arial" w:hAnsi="Arial"/>
          <w:sz w:val="20"/>
          <w:szCs w:val="20"/>
          <w:i w:val="1"/>
          <w:iCs w:val="1"/>
          <w:color w:val="auto"/>
        </w:rPr>
        <w:t>Conversion at the Option of</w:t>
      </w:r>
      <w:r>
        <w:rPr>
          <w:rFonts w:ascii="Arial" w:cs="Arial" w:eastAsia="Arial" w:hAnsi="Arial"/>
          <w:sz w:val="20"/>
          <w:szCs w:val="20"/>
          <w:color w:val="auto"/>
        </w:rPr>
        <w:t xml:space="preserve"> </w:t>
      </w:r>
      <w:r>
        <w:rPr>
          <w:rFonts w:ascii="Arial" w:cs="Arial" w:eastAsia="Arial" w:hAnsi="Arial"/>
          <w:sz w:val="20"/>
          <w:szCs w:val="20"/>
          <w:i w:val="1"/>
          <w:iCs w:val="1"/>
          <w:color w:val="auto"/>
        </w:rPr>
        <w:t>the Noteholders</w:t>
      </w:r>
      <w:r>
        <w:rPr>
          <w:rFonts w:ascii="Arial" w:cs="Arial" w:eastAsia="Arial" w:hAnsi="Arial"/>
          <w:sz w:val="20"/>
          <w:szCs w:val="20"/>
          <w:color w:val="auto"/>
        </w:rPr>
        <w:t>) of the Instrument. We hold $2,756,439 principal amount of such Notes (together with additional accrued</w:t>
      </w:r>
      <w:r>
        <w:rPr>
          <w:rFonts w:ascii="Arial" w:cs="Arial" w:eastAsia="Arial" w:hAnsi="Arial"/>
          <w:sz w:val="20"/>
          <w:szCs w:val="20"/>
          <w:i w:val="1"/>
          <w:iCs w:val="1"/>
          <w:color w:val="auto"/>
        </w:rPr>
        <w:t xml:space="preserve"> </w:t>
      </w:r>
      <w:r>
        <w:rPr>
          <w:rFonts w:ascii="Arial" w:cs="Arial" w:eastAsia="Arial" w:hAnsi="Arial"/>
          <w:sz w:val="20"/>
          <w:szCs w:val="20"/>
          <w:color w:val="auto"/>
        </w:rPr>
        <w:t>interest of $122,907 as of the date of this notice) (the “</w:t>
      </w:r>
      <w:r>
        <w:rPr>
          <w:rFonts w:ascii="Arial" w:cs="Arial" w:eastAsia="Arial" w:hAnsi="Arial"/>
          <w:sz w:val="20"/>
          <w:szCs w:val="20"/>
          <w:b w:val="1"/>
          <w:bCs w:val="1"/>
          <w:color w:val="auto"/>
        </w:rPr>
        <w:t>Apeiron Notes</w:t>
      </w:r>
      <w:r>
        <w:rPr>
          <w:rFonts w:ascii="Arial" w:cs="Arial" w:eastAsia="Arial" w:hAnsi="Arial"/>
          <w:sz w:val="20"/>
          <w:szCs w:val="20"/>
          <w:color w:val="auto"/>
        </w:rPr>
        <w:t>”) on behalf of Apeiron Investment Group Ltd (“</w:t>
      </w:r>
      <w:r>
        <w:rPr>
          <w:rFonts w:ascii="Arial" w:cs="Arial" w:eastAsia="Arial" w:hAnsi="Arial"/>
          <w:sz w:val="20"/>
          <w:szCs w:val="20"/>
          <w:b w:val="1"/>
          <w:bCs w:val="1"/>
          <w:color w:val="auto"/>
        </w:rPr>
        <w:t>Aperion</w:t>
      </w:r>
      <w:r>
        <w:rPr>
          <w:rFonts w:ascii="Arial" w:cs="Arial" w:eastAsia="Arial" w:hAnsi="Arial"/>
          <w:sz w:val="20"/>
          <w:szCs w:val="20"/>
          <w:color w:val="auto"/>
        </w:rPr>
        <w:t>”) and $20,756,438 of principal amount such Notes (together with additional accrued interest of $925,509.70 as of the date of this notice) (the “</w:t>
      </w:r>
      <w:r>
        <w:rPr>
          <w:rFonts w:ascii="Arial" w:cs="Arial" w:eastAsia="Arial" w:hAnsi="Arial"/>
          <w:sz w:val="20"/>
          <w:szCs w:val="20"/>
          <w:b w:val="1"/>
          <w:bCs w:val="1"/>
          <w:color w:val="auto"/>
        </w:rPr>
        <w:t>BW Notes</w:t>
      </w:r>
      <w:r>
        <w:rPr>
          <w:rFonts w:ascii="Arial" w:cs="Arial" w:eastAsia="Arial" w:hAnsi="Arial"/>
          <w:sz w:val="20"/>
          <w:szCs w:val="20"/>
          <w:color w:val="auto"/>
        </w:rPr>
        <w:t>”) on behalf of Bradley Wickens, who are the beneficial owners of the Apeiron Notes and BW Notes (respectively).</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hereby direct the Company to allot and issue (a) 1,439,673 Shares resulting from the conversion of the Apeiron Notes directly to The Depositary Trust Company (“</w:t>
      </w:r>
      <w:r>
        <w:rPr>
          <w:rFonts w:ascii="Arial" w:cs="Arial" w:eastAsia="Arial" w:hAnsi="Arial"/>
          <w:sz w:val="20"/>
          <w:szCs w:val="20"/>
          <w:b w:val="1"/>
          <w:bCs w:val="1"/>
          <w:color w:val="auto"/>
        </w:rPr>
        <w:t>DTC</w:t>
      </w:r>
      <w:r>
        <w:rPr>
          <w:rFonts w:ascii="Arial" w:cs="Arial" w:eastAsia="Arial" w:hAnsi="Arial"/>
          <w:sz w:val="20"/>
          <w:szCs w:val="20"/>
          <w:color w:val="auto"/>
        </w:rPr>
        <w:t>”) in accordance with the DTC settlement instructions provided by Apeiron and (b) 10,840,973 Shares resulting from the conversion of the BW Notes directly to DTC in accordance with the DTC settlement instructions provided by Bradley Wickens, in each case in accordance with the Conditions.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acknowledge and agree that the Shares are issued subject to the memorandum of association and articles of association and shareholders agreement of the Company and that Apeiron and Bradley Wickens agree to become a member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4899-4113-7670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225425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760" w:right="45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Yours faithfully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JOH. BERENBERG GOSSLER &amp; CO 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452120</wp:posOffset>
            </wp:positionV>
            <wp:extent cx="27774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Conversion Notice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223520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414" w:right="1440" w:bottom="1440" w:gutter="0" w:footer="0" w:header="0"/>
        </w:sectPr>
      </w:pPr>
    </w:p>
    <w:bookmarkStart w:id="28" w:name="page29"/>
    <w:bookmarkEnd w:id="28"/>
    <w:p>
      <w:pPr>
        <w:ind w:left="8740"/>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39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The Directors</w:t>
      </w:r>
    </w:p>
    <w:p>
      <w:pPr>
        <w:ind w:left="740"/>
        <w:spacing w:after="0" w:line="229" w:lineRule="auto"/>
        <w:rPr>
          <w:sz w:val="20"/>
          <w:szCs w:val="20"/>
          <w:color w:val="auto"/>
        </w:rPr>
      </w:pPr>
      <w:r>
        <w:rPr>
          <w:rFonts w:ascii="Arial" w:cs="Arial" w:eastAsia="Arial" w:hAnsi="Arial"/>
          <w:sz w:val="20"/>
          <w:szCs w:val="20"/>
          <w:color w:val="auto"/>
        </w:rPr>
        <w:t>Rezolve AI Limited (the “</w:t>
      </w:r>
      <w:r>
        <w:rPr>
          <w:rFonts w:ascii="Arial" w:cs="Arial" w:eastAsia="Arial" w:hAnsi="Arial"/>
          <w:sz w:val="20"/>
          <w:szCs w:val="20"/>
          <w:b w:val="1"/>
          <w:bCs w:val="1"/>
          <w:color w:val="auto"/>
        </w:rPr>
        <w:t>Company</w:t>
      </w:r>
      <w:r>
        <w:rPr>
          <w:rFonts w:ascii="Arial" w:cs="Arial" w:eastAsia="Arial" w:hAnsi="Arial"/>
          <w:sz w:val="20"/>
          <w:szCs w:val="20"/>
          <w:color w:val="auto"/>
        </w:rPr>
        <w:t>”) 5 New Street</w:t>
      </w:r>
    </w:p>
    <w:p>
      <w:pPr>
        <w:ind w:left="740"/>
        <w:spacing w:after="0" w:line="226" w:lineRule="auto"/>
        <w:rPr>
          <w:sz w:val="20"/>
          <w:szCs w:val="20"/>
          <w:color w:val="auto"/>
        </w:rPr>
      </w:pPr>
      <w:r>
        <w:rPr>
          <w:rFonts w:ascii="Arial" w:cs="Arial" w:eastAsia="Arial" w:hAnsi="Arial"/>
          <w:sz w:val="20"/>
          <w:szCs w:val="20"/>
          <w:color w:val="auto"/>
        </w:rPr>
        <w:t>Square</w:t>
      </w:r>
    </w:p>
    <w:p>
      <w:pPr>
        <w:ind w:left="740"/>
        <w:spacing w:after="0"/>
        <w:rPr>
          <w:sz w:val="20"/>
          <w:szCs w:val="20"/>
          <w:color w:val="auto"/>
        </w:rPr>
      </w:pPr>
      <w:r>
        <w:rPr>
          <w:rFonts w:ascii="Arial" w:cs="Arial" w:eastAsia="Arial" w:hAnsi="Arial"/>
          <w:sz w:val="20"/>
          <w:szCs w:val="20"/>
          <w:color w:val="auto"/>
        </w:rPr>
        <w:t>London, EC4A 3TW United Kingdom</w:t>
      </w:r>
    </w:p>
    <w:p>
      <w:pPr>
        <w:spacing w:after="0" w:line="400" w:lineRule="exact"/>
        <w:rPr>
          <w:sz w:val="20"/>
          <w:szCs w:val="20"/>
          <w:color w:val="auto"/>
        </w:rPr>
      </w:pPr>
    </w:p>
    <w:p>
      <w:pPr>
        <w:jc w:val="right"/>
        <w:ind w:right="10080"/>
        <w:spacing w:after="0"/>
        <w:rPr>
          <w:sz w:val="20"/>
          <w:szCs w:val="20"/>
          <w:color w:val="auto"/>
        </w:rPr>
      </w:pPr>
      <w:r>
        <w:rPr>
          <w:rFonts w:ascii="Arial" w:cs="Arial" w:eastAsia="Arial" w:hAnsi="Arial"/>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79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182"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Dear Sirs</w:t>
      </w:r>
    </w:p>
    <w:p>
      <w:pPr>
        <w:spacing w:after="0" w:line="212" w:lineRule="exact"/>
        <w:rPr>
          <w:sz w:val="20"/>
          <w:szCs w:val="20"/>
          <w:color w:val="auto"/>
        </w:rPr>
      </w:pPr>
    </w:p>
    <w:p>
      <w:pPr>
        <w:jc w:val="center"/>
        <w:ind w:right="40"/>
        <w:spacing w:after="0" w:line="237" w:lineRule="auto"/>
        <w:rPr>
          <w:sz w:val="20"/>
          <w:szCs w:val="20"/>
          <w:color w:val="auto"/>
        </w:rPr>
      </w:pPr>
      <w:r>
        <w:rPr>
          <w:rFonts w:ascii="Arial" w:cs="Arial" w:eastAsia="Arial" w:hAnsi="Arial"/>
          <w:sz w:val="20"/>
          <w:szCs w:val="20"/>
          <w:b w:val="1"/>
          <w:bCs w:val="1"/>
          <w:color w:val="auto"/>
        </w:rPr>
        <w:t>7.50% Senior Secured Convertible Loan Notes, originally issued by Rezolve Limited pursuant to an instrument originally dated 16 December 2021, as amended and restated on 21 November 2022 and 23 May 2023, as further amended on 18 December 2023 and 29 December 2023, as further amended and restated on 26 January 2024 and as further amended on   2024, and novated to the Company pursuant to a deed of novation dated 4 July 2024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-173990</wp:posOffset>
            </wp:positionV>
            <wp:extent cx="1816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81610" cy="8255"/>
                    </a:xfrm>
                    <a:prstGeom prst="rect">
                      <a:avLst/>
                    </a:prstGeom>
                    <a:noFill/>
                  </pic:spPr>
                </pic:pic>
              </a:graphicData>
            </a:graphic>
          </wp:anchor>
        </w:drawing>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Vidacos Nominees Limited (the “</w:t>
      </w:r>
      <w:r>
        <w:rPr>
          <w:rFonts w:ascii="Arial" w:cs="Arial" w:eastAsia="Arial" w:hAnsi="Arial"/>
          <w:sz w:val="20"/>
          <w:szCs w:val="20"/>
          <w:b w:val="1"/>
          <w:bCs w:val="1"/>
          <w:color w:val="auto"/>
        </w:rPr>
        <w:t>Exercising Noteholder</w:t>
      </w:r>
      <w:r>
        <w:rPr>
          <w:rFonts w:ascii="Arial" w:cs="Arial" w:eastAsia="Arial" w:hAnsi="Arial"/>
          <w:sz w:val="20"/>
          <w:szCs w:val="20"/>
          <w:color w:val="auto"/>
        </w:rPr>
        <w:t>”) hereby gives notice to the Company that it is exercising its right to convert $8,000,000 principal amount of Notes (together with additional accrued interest of $356,712 as of the date of this notice) issued pursuant to the Instrument into Shares in accordance with condition 7 (</w:t>
      </w:r>
      <w:r>
        <w:rPr>
          <w:rFonts w:ascii="Arial" w:cs="Arial" w:eastAsia="Arial" w:hAnsi="Arial"/>
          <w:sz w:val="20"/>
          <w:szCs w:val="20"/>
          <w:i w:val="1"/>
          <w:iCs w:val="1"/>
          <w:color w:val="auto"/>
        </w:rPr>
        <w:t>Conversion at the Option of the</w:t>
      </w:r>
      <w:r>
        <w:rPr>
          <w:rFonts w:ascii="Arial" w:cs="Arial" w:eastAsia="Arial" w:hAnsi="Arial"/>
          <w:sz w:val="20"/>
          <w:szCs w:val="20"/>
          <w:color w:val="auto"/>
        </w:rPr>
        <w:t xml:space="preserve"> </w:t>
      </w:r>
      <w:r>
        <w:rPr>
          <w:rFonts w:ascii="Arial" w:cs="Arial" w:eastAsia="Arial" w:hAnsi="Arial"/>
          <w:sz w:val="20"/>
          <w:szCs w:val="20"/>
          <w:i w:val="1"/>
          <w:iCs w:val="1"/>
          <w:color w:val="auto"/>
        </w:rPr>
        <w:t>Noteholders</w:t>
      </w:r>
      <w:r>
        <w:rPr>
          <w:rFonts w:ascii="Arial" w:cs="Arial" w:eastAsia="Arial" w:hAnsi="Arial"/>
          <w:sz w:val="20"/>
          <w:szCs w:val="20"/>
          <w:color w:val="auto"/>
        </w:rPr>
        <w:t>) of the Instrument. We hold such Notes (the “</w:t>
      </w:r>
      <w:r>
        <w:rPr>
          <w:rFonts w:ascii="Arial" w:cs="Arial" w:eastAsia="Arial" w:hAnsi="Arial"/>
          <w:sz w:val="20"/>
          <w:szCs w:val="20"/>
          <w:b w:val="1"/>
          <w:bCs w:val="1"/>
          <w:color w:val="auto"/>
        </w:rPr>
        <w:t>Apeiron Notes</w:t>
      </w:r>
      <w:r>
        <w:rPr>
          <w:rFonts w:ascii="Arial" w:cs="Arial" w:eastAsia="Arial" w:hAnsi="Arial"/>
          <w:sz w:val="20"/>
          <w:szCs w:val="20"/>
          <w:color w:val="auto"/>
        </w:rPr>
        <w:t>”) on behalf of Apeiron Investment Group Ltd</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Aperion</w:t>
      </w:r>
      <w:r>
        <w:rPr>
          <w:rFonts w:ascii="Arial" w:cs="Arial" w:eastAsia="Arial" w:hAnsi="Arial"/>
          <w:sz w:val="20"/>
          <w:szCs w:val="20"/>
          <w:color w:val="auto"/>
        </w:rPr>
        <w:t>”), who is the beneficial owner of the Apeiron Notes.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hereby direct the Company to allot and issue 4,178,356 Shares resulting from the conversion of the Apeiron Notes directly to The Depositary Trust Company (“</w:t>
      </w:r>
      <w:r>
        <w:rPr>
          <w:rFonts w:ascii="Arial" w:cs="Arial" w:eastAsia="Arial" w:hAnsi="Arial"/>
          <w:sz w:val="20"/>
          <w:szCs w:val="20"/>
          <w:b w:val="1"/>
          <w:bCs w:val="1"/>
          <w:color w:val="auto"/>
        </w:rPr>
        <w:t>DTC</w:t>
      </w:r>
      <w:r>
        <w:rPr>
          <w:rFonts w:ascii="Arial" w:cs="Arial" w:eastAsia="Arial" w:hAnsi="Arial"/>
          <w:sz w:val="20"/>
          <w:szCs w:val="20"/>
          <w:color w:val="auto"/>
        </w:rPr>
        <w:t>”) in accordance with the DTC settlement instructions provided by Apeiron, in accordance with the Conditions.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acknowledge and agree that the Shares are issued subject to the memorandum of association and articles of association and shareholders agreement of the Company and that Apeiron agrees to become a member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4897-1909-2487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225425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760" w:right="459"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Yours faithfully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VIDACOS NOMINEES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452120</wp:posOffset>
            </wp:positionV>
            <wp:extent cx="2777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Conversion Notice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223520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414" w:right="1440" w:bottom="1440" w:gutter="0" w:footer="0" w:header="0"/>
        </w:sectPr>
      </w:pPr>
    </w:p>
    <w:bookmarkStart w:id="30" w:name="page31"/>
    <w:bookmarkEnd w:id="30"/>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THIS DEED OF AMENDMENT </w:t>
      </w:r>
      <w:r>
        <w:rPr>
          <w:rFonts w:ascii="Times New Roman" w:cs="Times New Roman" w:eastAsia="Times New Roman" w:hAnsi="Times New Roman"/>
          <w:sz w:val="20"/>
          <w:szCs w:val="20"/>
          <w:color w:val="auto"/>
        </w:rPr>
        <w:t>is made on _________________ 2024 by:</w:t>
      </w:r>
    </w:p>
    <w:p>
      <w:pPr>
        <w:spacing w:after="0" w:line="200" w:lineRule="exact"/>
        <w:rPr>
          <w:sz w:val="20"/>
          <w:szCs w:val="20"/>
          <w:color w:val="auto"/>
        </w:rPr>
      </w:pPr>
    </w:p>
    <w:p>
      <w:pPr>
        <w:spacing w:after="0" w:line="245" w:lineRule="exact"/>
        <w:rPr>
          <w:sz w:val="20"/>
          <w:szCs w:val="20"/>
          <w:color w:val="auto"/>
        </w:rPr>
      </w:pPr>
    </w:p>
    <w:p>
      <w:pPr>
        <w:ind w:left="840" w:right="4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REZOLVE AI LIMITED </w:t>
      </w:r>
      <w:r>
        <w:rPr>
          <w:rFonts w:ascii="Times New Roman" w:cs="Times New Roman" w:eastAsia="Times New Roman" w:hAnsi="Times New Roman"/>
          <w:sz w:val="20"/>
          <w:szCs w:val="20"/>
          <w:color w:val="auto"/>
        </w:rPr>
        <w:t>(company number 14573691) whose registered office is at 5 New Street Square, London, EC4A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3TW, United Kingdom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112" w:lineRule="exact"/>
        <w:rPr>
          <w:sz w:val="20"/>
          <w:szCs w:val="20"/>
          <w:color w:val="auto"/>
        </w:rPr>
      </w:pPr>
    </w:p>
    <w:p>
      <w:pPr>
        <w:jc w:val="both"/>
        <w:ind w:left="760" w:hanging="752"/>
        <w:spacing w:after="0" w:line="249" w:lineRule="auto"/>
        <w:tabs>
          <w:tab w:leader="none" w:pos="7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Rezolve Limited entered into that loan note instrument constituting up to $49,892,080 7.50% senior secured convertible loan notes originally dated 16 December 2021, as amended and restated on 21 November 2022 and 23 May 2023, as further amended on 18 December 2023 and 29 December 2023 and as further amended and restated on 26 January 2024, and novated to the Company by way of a deed of novation dated 4 July 2024 (the “</w:t>
      </w:r>
      <w:r>
        <w:rPr>
          <w:rFonts w:ascii="Times New Roman" w:cs="Times New Roman" w:eastAsia="Times New Roman" w:hAnsi="Times New Roman"/>
          <w:sz w:val="20"/>
          <w:szCs w:val="20"/>
          <w:b w:val="1"/>
          <w:bCs w:val="1"/>
          <w:color w:val="auto"/>
        </w:rPr>
        <w:t>Loan Note Instrument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now wishes to amend certain provisions of the Loan Note Instrument.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16" w:lineRule="exact"/>
        <w:rPr>
          <w:sz w:val="20"/>
          <w:szCs w:val="20"/>
          <w:color w:val="auto"/>
        </w:rPr>
      </w:pPr>
    </w:p>
    <w:p>
      <w:pPr>
        <w:ind w:left="760" w:hanging="752"/>
        <w:spacing w:after="0"/>
        <w:tabs>
          <w:tab w:leader="none" w:pos="76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INTERPRETATION</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All capitalised terms used in this Deed (including the recitals) shall have the meanings given to them in the Loan Note Instrument, except where the context otherwise requires and unless otherwise defined herein.</w:t>
      </w:r>
    </w:p>
    <w:p>
      <w:pPr>
        <w:spacing w:after="0" w:line="155" w:lineRule="exact"/>
        <w:rPr>
          <w:sz w:val="20"/>
          <w:szCs w:val="20"/>
          <w:color w:val="auto"/>
        </w:rPr>
      </w:pPr>
    </w:p>
    <w:p>
      <w:pPr>
        <w:ind w:left="760" w:hanging="752"/>
        <w:spacing w:after="0"/>
        <w:tabs>
          <w:tab w:leader="none" w:pos="76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With effect from the date of this Deed, the Company hereby agrees to amend the Deed in the following manner:</w:t>
      </w:r>
    </w:p>
    <w:p>
      <w:pPr>
        <w:spacing w:after="0" w:line="212" w:lineRule="exact"/>
        <w:rPr>
          <w:sz w:val="20"/>
          <w:szCs w:val="20"/>
          <w:color w:val="auto"/>
        </w:rPr>
      </w:pPr>
    </w:p>
    <w:p>
      <w:pPr>
        <w:ind w:left="1500" w:hanging="743"/>
        <w:spacing w:after="0"/>
        <w:tabs>
          <w:tab w:leader="none" w:pos="15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color w:val="auto"/>
        </w:rPr>
        <w:t>Conversion Price</w:t>
      </w:r>
      <w:r>
        <w:rPr>
          <w:rFonts w:ascii="Times New Roman" w:cs="Times New Roman" w:eastAsia="Times New Roman" w:hAnsi="Times New Roman"/>
          <w:sz w:val="20"/>
          <w:szCs w:val="20"/>
          <w:color w:val="auto"/>
        </w:rPr>
        <w:t>” shall be amended so that the following words are added after paragraph (b) thereof:</w:t>
      </w:r>
    </w:p>
    <w:p>
      <w:pPr>
        <w:spacing w:after="0" w:line="219" w:lineRule="exact"/>
        <w:rPr>
          <w:rFonts w:ascii="Times New Roman" w:cs="Times New Roman" w:eastAsia="Times New Roman" w:hAnsi="Times New Roman"/>
          <w:sz w:val="20"/>
          <w:szCs w:val="20"/>
          <w:color w:val="auto"/>
        </w:rPr>
      </w:pPr>
    </w:p>
    <w:p>
      <w:pPr>
        <w:ind w:left="150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in relation to any Conversion Date falling on or after __________________ 2024, “Conversion Price” shall mean $2 per Share;”; and</w:t>
      </w:r>
    </w:p>
    <w:p>
      <w:pPr>
        <w:spacing w:after="0" w:line="155"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5.2 (</w:t>
      </w:r>
      <w:r>
        <w:rPr>
          <w:rFonts w:ascii="Times New Roman" w:cs="Times New Roman" w:eastAsia="Times New Roman" w:hAnsi="Times New Roman"/>
          <w:sz w:val="20"/>
          <w:szCs w:val="20"/>
          <w:i w:val="1"/>
          <w:iCs w:val="1"/>
          <w:color w:val="auto"/>
        </w:rPr>
        <w:t>Early Redemption at the Option of the Company</w:t>
      </w:r>
      <w:r>
        <w:rPr>
          <w:rFonts w:ascii="Times New Roman" w:cs="Times New Roman" w:eastAsia="Times New Roman" w:hAnsi="Times New Roman"/>
          <w:sz w:val="20"/>
          <w:szCs w:val="20"/>
          <w:color w:val="auto"/>
        </w:rPr>
        <w:t>), 7.1 (</w:t>
      </w:r>
      <w:r>
        <w:rPr>
          <w:rFonts w:ascii="Times New Roman" w:cs="Times New Roman" w:eastAsia="Times New Roman" w:hAnsi="Times New Roman"/>
          <w:sz w:val="20"/>
          <w:szCs w:val="20"/>
          <w:i w:val="1"/>
          <w:iCs w:val="1"/>
          <w:color w:val="auto"/>
        </w:rPr>
        <w:t>Conversion at the Option of the Noteholders</w:t>
      </w:r>
      <w:r>
        <w:rPr>
          <w:rFonts w:ascii="Times New Roman" w:cs="Times New Roman" w:eastAsia="Times New Roman" w:hAnsi="Times New Roman"/>
          <w:sz w:val="20"/>
          <w:szCs w:val="20"/>
          <w:color w:val="auto"/>
        </w:rPr>
        <w:t>) and 13.1 (</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of Schedule B (</w:t>
      </w:r>
      <w:r>
        <w:rPr>
          <w:rFonts w:ascii="Times New Roman" w:cs="Times New Roman" w:eastAsia="Times New Roman" w:hAnsi="Times New Roman"/>
          <w:sz w:val="20"/>
          <w:szCs w:val="20"/>
          <w:i w:val="1"/>
          <w:iCs w:val="1"/>
          <w:color w:val="auto"/>
        </w:rPr>
        <w:t>Conditions of the Notes</w:t>
      </w:r>
      <w:r>
        <w:rPr>
          <w:rFonts w:ascii="Times New Roman" w:cs="Times New Roman" w:eastAsia="Times New Roman" w:hAnsi="Times New Roman"/>
          <w:sz w:val="20"/>
          <w:szCs w:val="20"/>
          <w:color w:val="auto"/>
        </w:rPr>
        <w:t>) shall each be amended such that the references to “at the then applicable Conversion Price” shall be replaced with “at the Conversion Price”.</w:t>
      </w:r>
    </w:p>
    <w:p>
      <w:pPr>
        <w:spacing w:after="0" w:line="173"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Subject to clause 2.1 above, the terms of the Loan Note Instrument shall remain in full force and effect and the Loan Note Instrument and this Deed will, from the date of this Deed, be read and construed as one document.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4913-1641-1142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15"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&amp; JURISDICTION</w:t>
      </w:r>
    </w:p>
    <w:p>
      <w:pPr>
        <w:spacing w:after="0" w:line="220" w:lineRule="exact"/>
        <w:rPr>
          <w:sz w:val="20"/>
          <w:szCs w:val="20"/>
          <w:color w:val="auto"/>
        </w:rPr>
      </w:pPr>
    </w:p>
    <w:p>
      <w:pPr>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This Deed and any non-contractual obligations arising out of or in connection with this Deed shall be governed by, and interpreted in accordance with, English law.</w:t>
      </w:r>
    </w:p>
    <w:p>
      <w:pPr>
        <w:spacing w:after="0" w:line="159"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The English courts shall have exclusive jurisdiction to settle any claim, dispute or issue between the parties whether arising out of or in connection with this Deed or otherwise (including non-contractual claims).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Deed has been executed and delivered and takes effect on the date stated at the beginning of 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4913-1641-1142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2480"/>
        <w:spacing w:after="0" w:line="273" w:lineRule="auto"/>
        <w:rPr>
          <w:sz w:val="20"/>
          <w:szCs w:val="20"/>
          <w:color w:val="auto"/>
        </w:rPr>
      </w:pPr>
      <w:r>
        <w:rPr>
          <w:rFonts w:ascii="Times New Roman" w:cs="Times New Roman" w:eastAsia="Times New Roman" w:hAnsi="Times New Roman"/>
          <w:sz w:val="20"/>
          <w:szCs w:val="20"/>
          <w:color w:val="auto"/>
        </w:rPr>
        <w:t xml:space="preserve">Executed as a </w:t>
      </w:r>
      <w:r>
        <w:rPr>
          <w:rFonts w:ascii="Times New Roman" w:cs="Times New Roman" w:eastAsia="Times New Roman" w:hAnsi="Times New Roman"/>
          <w:sz w:val="20"/>
          <w:szCs w:val="20"/>
          <w:b w:val="1"/>
          <w:bCs w:val="1"/>
          <w:color w:val="auto"/>
        </w:rPr>
        <w:t>DEED</w:t>
      </w:r>
      <w:r>
        <w:rPr>
          <w:rFonts w:ascii="Times New Roman" w:cs="Times New Roman" w:eastAsia="Times New Roman" w:hAnsi="Times New Roman"/>
          <w:sz w:val="20"/>
          <w:szCs w:val="20"/>
          <w:color w:val="auto"/>
        </w:rPr>
        <w:t xml:space="preserve"> for and on behalf of </w:t>
      </w:r>
      <w:r>
        <w:rPr>
          <w:rFonts w:ascii="Times New Roman" w:cs="Times New Roman" w:eastAsia="Times New Roman" w:hAnsi="Times New Roman"/>
          <w:sz w:val="20"/>
          <w:szCs w:val="20"/>
          <w:b w:val="1"/>
          <w:bCs w:val="1"/>
          <w:color w:val="auto"/>
        </w:rPr>
        <w:t>REZOLVE AI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5800" w:space="720"/>
            <w:col w:w="3519"/>
          </w:cols>
          <w:pgMar w:left="420" w:top="1409"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presence of a witness</w:t>
      </w:r>
    </w:p>
    <w:p>
      <w:pPr>
        <w:sectPr>
          <w:pgSz w:w="11900" w:h="16838" w:orient="portrait"/>
          <w:cols w:equalWidth="0" w:num="1">
            <w:col w:w="10039"/>
          </w:cols>
          <w:pgMar w:left="420" w:top="1409"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Witness Signature: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(print):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Occupation:</w:t>
      </w: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ectPr>
          <w:pgSz w:w="11900" w:h="16838" w:orient="portrait"/>
          <w:cols w:equalWidth="0" w:num="2">
            <w:col w:w="5800" w:space="720"/>
            <w:col w:w="3519"/>
          </w:cols>
          <w:pgMar w:left="420" w:top="14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 Loan Note Instrument Deed of Amendment – Conversion Price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857885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09" w:right="1440"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Rezolve Ai Announces $49 Million Equity Conversion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by Leading Investors</w:t>
      </w:r>
    </w:p>
    <w:p>
      <w:pPr>
        <w:spacing w:after="0" w:line="2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Equity conversion strengthens financial position and accelerates global expansion in the $30 trillion retail market.</w:t>
      </w:r>
    </w:p>
    <w:p>
      <w:pPr>
        <w:spacing w:after="0" w:line="29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NEW YORK, December 18 2024 </w:t>
      </w:r>
      <w:r>
        <w:rPr>
          <w:rFonts w:ascii="Times New Roman" w:cs="Times New Roman" w:eastAsia="Times New Roman" w:hAnsi="Times New Roman"/>
          <w:sz w:val="20"/>
          <w:szCs w:val="20"/>
          <w:color w:val="auto"/>
        </w:rPr>
        <w:t>— Rezolve Ai (NASDAQ: RZLV), a global leader in AI-driven retail innovation, and its leading investors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entered into a series of transactions agreeing to the conversion of $49 million of the outstanding convertible loan note into equity. The debt subject to conversion was issued pursuant to the secured convertible loan note instrument dated December 16, 2021, as amended and restated.</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Rezolve Ai believes this significant milestone underscores the confidence of top-tier investors in Rezolve Ai’s transformative vision, market-leading technology, and growth potential and reflects a strong endorsement of Rezolve Ai’s leadership in revolutionizing the $30 trillion retail market through advanced artificial intelligence solutions.</w:t>
      </w:r>
    </w:p>
    <w:p>
      <w:pPr>
        <w:spacing w:after="0" w:line="18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Christian Angermayer, Founder of Apeiron Investment Group</w:t>
      </w:r>
      <w:r>
        <w:rPr>
          <w:rFonts w:ascii="Times New Roman" w:cs="Times New Roman" w:eastAsia="Times New Roman" w:hAnsi="Times New Roman"/>
          <w:sz w:val="20"/>
          <w:szCs w:val="20"/>
          <w:color w:val="auto"/>
        </w:rPr>
        <w:t>, added: “</w:t>
      </w:r>
      <w:r>
        <w:rPr>
          <w:rFonts w:ascii="Times New Roman" w:cs="Times New Roman" w:eastAsia="Times New Roman" w:hAnsi="Times New Roman"/>
          <w:sz w:val="20"/>
          <w:szCs w:val="20"/>
          <w:i w:val="1"/>
          <w:iCs w:val="1"/>
          <w:color w:val="auto"/>
        </w:rPr>
        <w:t>We have been investing in Rezolve Ai since 2018 and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strong supporters of Dan Wagner and his team throughout. Microsoft and Google selecting Rezolve Ai as their key market technology partner for the retail and consumer sector has cemented our conviction that Rezolve Ai will be a global leader in conversational commerce field in the coming years.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Daniel M. Wagner, CEO of Rezolve Ai </w:t>
      </w:r>
      <w:r>
        <w:rPr>
          <w:rFonts w:ascii="Times New Roman" w:cs="Times New Roman" w:eastAsia="Times New Roman" w:hAnsi="Times New Roman"/>
          <w:sz w:val="20"/>
          <w:szCs w:val="20"/>
          <w:color w:val="auto"/>
        </w:rPr>
        <w:t>commented:</w:t>
      </w:r>
    </w:p>
    <w:p>
      <w:pPr>
        <w:spacing w:after="0" w:line="26" w:lineRule="exact"/>
        <w:rPr>
          <w:sz w:val="20"/>
          <w:szCs w:val="20"/>
          <w:color w:val="auto"/>
        </w:rPr>
      </w:pPr>
    </w:p>
    <w:p>
      <w:pPr>
        <w:jc w:val="both"/>
        <w:ind w:right="280"/>
        <w:spacing w:after="0" w:line="242" w:lineRule="auto"/>
        <w:rPr>
          <w:sz w:val="20"/>
          <w:szCs w:val="20"/>
          <w:color w:val="auto"/>
        </w:rPr>
      </w:pPr>
      <w:r>
        <w:rPr>
          <w:rFonts w:ascii="Times New Roman" w:cs="Times New Roman" w:eastAsia="Times New Roman" w:hAnsi="Times New Roman"/>
          <w:sz w:val="20"/>
          <w:szCs w:val="20"/>
          <w:i w:val="1"/>
          <w:iCs w:val="1"/>
          <w:color w:val="auto"/>
        </w:rPr>
        <w:t>"I believe this milestone highlights the extraordinary confidence that Apeiron and other leading investors have in our strategy and vision. Their support is a testament to the immense value Rezolve Ai brings to the global retail market as we continue to deliver on our mission to democratize AI and accelerate innovation worldwide."</w:t>
      </w:r>
    </w:p>
    <w:p>
      <w:pPr>
        <w:spacing w:after="0" w:line="20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aggregate $49 million equity conversion reinforces Rezolve Ai's financial strength and is expected to position the company to expand its AI-driven offerings, including Brain Commerce, Brain Checkout, and their proprietary foundation language model, brainpowa. This development follows recent strategic advancements, including a landmark go-to-market partnership with Microsoft, a similar agreement with Google and a transformative initiative to revolutionize crypto payments in retail and eliminate merchant fees – all of which underscores Rezolve Ai’s commitment to reshaping the retail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Looking Ahead</w:t>
      </w:r>
    </w:p>
    <w:p>
      <w:pPr>
        <w:spacing w:after="0" w:line="26"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20"/>
          <w:szCs w:val="20"/>
          <w:color w:val="auto"/>
        </w:rPr>
        <w:t>Rezolve Ai is committed to delivering value to its customers and shareholders, advancing its technology suite, and enabling retailers worldwide to unlock the full potential of AI. The company will continue to engage with industry leaders, secure strategic partnerships, and drive global expansion, solidifying its position as a trusted partner in the AI-driven retail revolution.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about Rezolve AI and its solutions, visit www.rezolve.com.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end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1458595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4" w:name="page35"/>
    <w:bookmarkEnd w:id="34"/>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Rezolve Ai</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Rezolve Ai (NASDAQ: RZLV) is a leader in AI-powered solutions for commerce and retail, focused on transforming customer engagement, streamlining transactions, and driving revenue growth. The company’s Brain Suite of products - Brain Commerce, Brain Checkout, and Brain Assistant - harness the power of AI to provide personalized, frictionless shopping experiences and improve business outcomes for retailers and brands worldwide. Partnering with industry giants like Microsoft, and Google, Rezolve is pioneering the future of commerce. For more information, visit www.rezolve.com.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Rezolve Ai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Urmee Khan</w:t>
      </w:r>
    </w:p>
    <w:p>
      <w:pPr>
        <w:spacing w:after="0"/>
        <w:rPr>
          <w:sz w:val="20"/>
          <w:szCs w:val="20"/>
          <w:color w:val="auto"/>
        </w:rPr>
      </w:pPr>
      <w:r>
        <w:rPr>
          <w:rFonts w:ascii="Times New Roman" w:cs="Times New Roman" w:eastAsia="Times New Roman" w:hAnsi="Times New Roman"/>
          <w:sz w:val="20"/>
          <w:szCs w:val="20"/>
          <w:color w:val="auto"/>
        </w:rPr>
        <w:t>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 IR</w:t>
      </w:r>
    </w:p>
    <w:p>
      <w:pPr>
        <w:spacing w:after="0"/>
        <w:rPr>
          <w:sz w:val="20"/>
          <w:szCs w:val="20"/>
          <w:color w:val="auto"/>
        </w:rPr>
      </w:pPr>
      <w:r>
        <w:rPr>
          <w:rFonts w:ascii="Times New Roman" w:cs="Times New Roman" w:eastAsia="Times New Roman" w:hAnsi="Times New Roman"/>
          <w:sz w:val="20"/>
          <w:szCs w:val="20"/>
          <w:color w:val="auto"/>
        </w:rPr>
        <w:t>+15162222560</w:t>
      </w: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statements in this press release may be forward looking in nature within the meaning of Section 27A of the Securities Act of 1933, as amended (the “Securities Act”), Section 21E of the Securities Exchange Act of 1934, as amended (the “Exchange Act”) and the safe harbor provisions of the U.S. Private Securities Litigation Reform Act of 1995.Words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statements regarding the agreement between Rezolve and certain prominent investors to convert approximately $41 million of debt; Rezolve’s statements and expectations regarding its growth potential and ability to revolutionize the retail market and its ability to scale its operations globally, as well as Mr. Angermayer’s statements regarding Rezolve’s ability to execute on its forecast growth. The matters discussed in these forward-looking statements are subject to a number of risks, trends and uncertainties that could cause actual results to differ materially from those projected, anticipated or implied in the forward-looking statements. You are cautioned not place undue reliance on these forward-looking statements. None of Rezolve nor any other person is responsible for updating or revising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lvl w:ilvl="1">
      <w:lvlJc w:val="left"/>
      <w:lvlText w:val="%2."/>
      <w:numFmt w:val="lowerLetter"/>
      <w:start w:val="1"/>
    </w:lvl>
  </w:abstractNum>
  <w:abstractNum w:abstractNumId="1">
    <w:nsid w:val="4DB127F8"/>
    <w:multiLevelType w:val="hybridMultilevel"/>
    <w:lvl w:ilvl="0">
      <w:lvlJc w:val="left"/>
      <w:lvlText w:val="%1."/>
      <w:numFmt w:val="decimal"/>
      <w:start w:val="8"/>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1)"/>
      <w:numFmt w:val="upp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upp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3"/>
    </w:lvl>
  </w:abstractNum>
  <w:abstractNum w:abstractNumId="17">
    <w:nsid w:val="431BD7B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18" Type="http://schemas.openxmlformats.org/officeDocument/2006/relationships/hyperlink" Target="https://www.sec.gov/Archives/edgar/data/1920294/000119312524159410/d309194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2024-12-18T08:04:01Z</dcterms:created>
  <dcterms:modified xsi:type="dcterms:W3CDTF">2024-12-18T08:04:01Z</dcterms:modified>
</cp:coreProperties>
</file>