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 the month of July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July 24, 2025,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securities purchase agreements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pursuant to which the Company agreed to sell and issue to the Purchasers in a private placement offering (the “</w:t>
      </w:r>
      <w:r>
        <w:rPr>
          <w:rFonts w:ascii="Times New Roman" w:cs="Times New Roman" w:eastAsia="Times New Roman" w:hAnsi="Times New Roman"/>
          <w:sz w:val="18"/>
          <w:szCs w:val="18"/>
          <w:b w:val="1"/>
          <w:bCs w:val="1"/>
          <w:i w:val="1"/>
          <w:iCs w:val="1"/>
          <w:color w:val="auto"/>
        </w:rPr>
        <w:t>PIPE Financing</w:t>
      </w:r>
      <w:r>
        <w:rPr>
          <w:rFonts w:ascii="Times New Roman" w:cs="Times New Roman" w:eastAsia="Times New Roman" w:hAnsi="Times New Roman"/>
          <w:sz w:val="18"/>
          <w:szCs w:val="18"/>
          <w:color w:val="auto"/>
        </w:rPr>
        <w:t>”) 20,000,000 ordinary shares, 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at an offering price of $2.50 per Ordinary Share. The Company intends to use the net proceeds of the PIPE Financing for working capital, potential accretive M&amp;A opportunities, and general corporate purposes. A.G.P/Alliance Global Partners (“</w:t>
      </w:r>
      <w:r>
        <w:rPr>
          <w:rFonts w:ascii="Times New Roman" w:cs="Times New Roman" w:eastAsia="Times New Roman" w:hAnsi="Times New Roman"/>
          <w:sz w:val="18"/>
          <w:szCs w:val="18"/>
          <w:b w:val="1"/>
          <w:bCs w:val="1"/>
          <w:i w:val="1"/>
          <w:iCs w:val="1"/>
          <w:color w:val="auto"/>
        </w:rPr>
        <w:t>A.G.P</w:t>
      </w:r>
      <w:r>
        <w:rPr>
          <w:rFonts w:ascii="Times New Roman" w:cs="Times New Roman" w:eastAsia="Times New Roman" w:hAnsi="Times New Roman"/>
          <w:sz w:val="18"/>
          <w:szCs w:val="18"/>
          <w:color w:val="auto"/>
        </w:rPr>
        <w:t>”) acted as a placement agent in connection with the PIPE Financing.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Ordinary Shares are being offered pursuant to the exemption from registration under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Rule 506(b) of Regulation D promulgated thereunder, and applicable state securities 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Agreements, the Company has agreed not to issue, enter into any agreement to issue, or announce the issuance or proposed issuance of any Ordinary Shares or Ordinary Share equivalents, or file any registration statement or any amendment or supplement thereto, for a period of 60 days after the date the Initial Registration Statement (as defined below) has been declared effective by the Securities and Exchange Commission, subject to certain exceptions.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PIPE Financing closed on July 25, 2025, resulting in aggregate gross proceeds to the Company of $50 million, before deducting the placement agent’s fee and offering expenses payable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also entered into a Placement Agent Agreement (the “</w:t>
      </w:r>
      <w:r>
        <w:rPr>
          <w:rFonts w:ascii="Times New Roman" w:cs="Times New Roman" w:eastAsia="Times New Roman" w:hAnsi="Times New Roman"/>
          <w:sz w:val="18"/>
          <w:szCs w:val="18"/>
          <w:b w:val="1"/>
          <w:bCs w:val="1"/>
          <w:i w:val="1"/>
          <w:iCs w:val="1"/>
          <w:color w:val="auto"/>
        </w:rPr>
        <w:t>Placement Agent Agreement</w:t>
      </w:r>
      <w:r>
        <w:rPr>
          <w:rFonts w:ascii="Times New Roman" w:cs="Times New Roman" w:eastAsia="Times New Roman" w:hAnsi="Times New Roman"/>
          <w:sz w:val="18"/>
          <w:szCs w:val="18"/>
          <w:color w:val="auto"/>
        </w:rPr>
        <w:t>”) with A.G.P., dated July 24, 2025, pursuant to which A.G.P agreed to serve as placement agent for the Company in connection with the PIPE Financing. The Company agreed to pay A.G.P a cash fee equal to 7.0% of the gross cash proceeds received in the PIPE Financing; however, A.G.P. agreed to apply a credit to the Company equal to 3.5% of the aggregate participation from certain of the Purchasers. In addition, the Company agreed to reimburse A.G.P for up to $120,000 of its legal fees and other out-of-pocket expenses in connection with the PIPE Financing as well as non-accountable expenses incurred by A.G.P for up to $10,000 in connection with the PIPE Financing. Pursuant to the Placement Agent Agreement, the Company shall be subject to securities issuance restrictions as described in the Purchase Agreements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Placement Agent Agreement contains customary representations, warranties, and agreements by the Company, customary conditions to closing, indemnification obligations of the Company, other obligations of the parties, and termination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Purchase Agreements and the Placement Agent Agreement, on July 24, 2025, the Company and the Purchasers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agreed to file a registration statement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providing for the resale of the Ordinary Shares within 7 days of the closing of the PIPE Financing, to have such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declared effective with 30 days of the filing date (or 60 days, if the Securities and Exchange Commission conducts a full review), and to maintain the effectiveness of such registration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summaries of the Purchase Agreements, the Placement Agency Agreement, and the Registration Rights Agreement, do not purport to be complete and are qualified in their entirety by reference to the complete text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agreements, which are attached hereto as Exhibits 10.1, 10.2, and 10.3 respectively, to this Report of Foreign Private Issuer on Form 6-K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Securities Purchase Agreement</w:t>
            </w:r>
          </w:p>
        </w:tc>
        <w:tc>
          <w:tcPr>
            <w:tcW w:w="6180" w:type="dxa"/>
            <w:vAlign w:val="bottom"/>
            <w:gridSpan w:val="2"/>
          </w:tcPr>
          <w:p>
            <w:pPr>
              <w:spacing w:after="0"/>
              <w:rPr>
                <w:sz w:val="24"/>
                <w:szCs w:val="24"/>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7"/>
                <w:szCs w:val="17"/>
                <w:color w:val="auto"/>
              </w:rPr>
            </w:pPr>
          </w:p>
        </w:tc>
        <w:tc>
          <w:tcPr>
            <w:tcW w:w="81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Placement Agency Agreement, dated July 24, 2025, between Rezolve AI plc and A.G.P/Alliance Global Partners</w:t>
            </w:r>
          </w:p>
        </w:tc>
        <w:tc>
          <w:tcPr>
            <w:tcW w:w="900" w:type="dxa"/>
            <w:vAlign w:val="bottom"/>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tcPr>
          <w:p>
            <w:pPr>
              <w:spacing w:after="0"/>
              <w:rPr>
                <w:sz w:val="17"/>
                <w:szCs w:val="17"/>
                <w:color w:val="auto"/>
              </w:rPr>
            </w:pPr>
          </w:p>
        </w:tc>
        <w:tc>
          <w:tcPr>
            <w:tcW w:w="9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Form of Registration Rights Agreement</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00" w:type="dxa"/>
            <w:vAlign w:val="bottom"/>
            <w:tcBorders>
              <w:top w:val="single" w:sz="8" w:color="0000FF"/>
              <w:bottom w:val="single" w:sz="8" w:color="808080"/>
            </w:tcBorders>
          </w:tcPr>
          <w:p>
            <w:pPr>
              <w:spacing w:after="0"/>
              <w:rPr>
                <w:sz w:val="24"/>
                <w:szCs w:val="24"/>
                <w:color w:val="auto"/>
              </w:rPr>
            </w:pPr>
          </w:p>
        </w:tc>
        <w:tc>
          <w:tcPr>
            <w:tcW w:w="1960" w:type="dxa"/>
            <w:vAlign w:val="bottom"/>
            <w:tcBorders>
              <w:top w:val="single" w:sz="8" w:color="0000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r>
        <w:trPr>
          <w:trHeight w:val="232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July 24, 2025, between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506(b)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WHEREAS, contemporaneously with the sale of the securities hereunder, the parties hereto will execute and deliver a Registration Rights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will agree to provide certain registration rights in respect of the Shares (as hereinafter defined) under the Securities Act, and the rules and regulations promulgated thereunder, and applicable state securities laws;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UK Counsel</w:t>
      </w:r>
      <w:r>
        <w:rPr>
          <w:rFonts w:ascii="Times New Roman" w:cs="Times New Roman" w:eastAsia="Times New Roman" w:hAnsi="Times New Roman"/>
          <w:sz w:val="18"/>
          <w:szCs w:val="18"/>
          <w:color w:val="auto"/>
        </w:rPr>
        <w:t>” means Taylor Wessing LLP, with offices located at Hill House, 1 Little New Street, London EC4A 3TR UK.</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DLA Piper LLP (US), with offices located at 1201 W Peachtree St NE #2800, Atlanta, GA 30309, USA.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registering for resale all Shares has been declared effective by the Commission, (b) all of the Shares have been sold pursuant to Rule 144 or may be sold pursuant to Rule 144 without the requirement for the Company to be in compliance with the current public information requirement of Rule 144 and without volume or manner-of-sale restrictions, (c) following the one year anniversary of the Closing Date provided that a holder of Shares is not an Affiliate of the Company, or (d) all of the Shares may be sold pursuant to an exemption from registration under Section 4(a)(1) of the Securities Act without volume or manner-of-sale restrictions.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certain of the executive officers,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Company’s Ordinary Shares, £0.0001 nominal value per share, and any other class of securities into which such securities may hereafter be reclassified or changed.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$2.50, subject to adjustment for reverse and forward stock splits, stock dividends, stock combinations and other similar transactions of the Ordinary Shares that occur after the date of this Agreement and before the Closing Date.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A.G.P./Alliance Global Partners.</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resale registration statement meeting the requirements of the Registration Rights Agreement and covering the resale by the Purchasers of the Shares.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issued or issuable for the benefit of each Purchaser pursuant to this Agreement.</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w:t>
      </w: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Market, the Nasdaq Global Select Market, the New York Stock Exchange, OTCQB or OTCQX (or any successors to any of the foregoing).</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Registration Rights Agreement, the Lock-Up Agreement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Inc., and any successor transfer agent of the Company.</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issue, and the Purchasers, severally and not jointly, agree to purchase, up to an aggregate of approximately $50.0 million of Shares. Each Purchaser shall deliver to the Company, via wire transfer, immediately available funds equal to such Purchaser’s Subscription Amount as set forth on the signature page hereto executed by such Purchaser, and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In the event that the Closing does not occur within five (5) Business Days after the date hereof, upon the request of one or more Purchasers, the Company shall promptly (but not later than two (2) Business Days thereafter) return the previously wired amount to such respective Purchaser by wire transfer of United States dollars in immediately available funds to the account specified by such Purchaser, and any book entries for the Shares contemplated to be issued to such Purchaser shall be deemed cancelled.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243"/>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32" w:lineRule="exact"/>
        <w:rPr>
          <w:sz w:val="20"/>
          <w:szCs w:val="20"/>
          <w:color w:val="auto"/>
        </w:rPr>
      </w:pPr>
    </w:p>
    <w:p>
      <w:pPr>
        <w:ind w:right="20" w:firstLine="757"/>
        <w:spacing w:after="0" w:line="227" w:lineRule="auto"/>
        <w:tabs>
          <w:tab w:leader="none" w:pos="10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US Counsel and Company UK Counsel</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directed to the Placement Agent and the Purchasers, each in a form reasonably acceptable to the Placement Agent and the Purchasers;</w:t>
      </w:r>
    </w:p>
    <w:p>
      <w:pPr>
        <w:spacing w:after="0" w:line="197" w:lineRule="exact"/>
        <w:rPr>
          <w:rFonts w:ascii="Times New Roman" w:cs="Times New Roman" w:eastAsia="Times New Roman" w:hAnsi="Times New Roman"/>
          <w:sz w:val="18"/>
          <w:szCs w:val="18"/>
          <w:color w:val="auto"/>
        </w:rPr>
      </w:pPr>
    </w:p>
    <w:p>
      <w:pPr>
        <w:ind w:right="20" w:firstLine="757"/>
        <w:spacing w:after="0" w:line="282" w:lineRule="auto"/>
        <w:tabs>
          <w:tab w:leader="none" w:pos="11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depositary receipt certificates representing such number of depositary receipts issued by the Transfer Agent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16884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92" w:lineRule="exact"/>
        <w:rPr>
          <w:sz w:val="20"/>
          <w:szCs w:val="20"/>
          <w:color w:val="auto"/>
        </w:rPr>
      </w:pPr>
    </w:p>
    <w:p>
      <w:pPr>
        <w:ind w:right="680" w:firstLine="8"/>
        <w:spacing w:after="0" w:line="225"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TW note</w:t>
      </w:r>
      <w:r>
        <w:rPr>
          <w:rFonts w:ascii="Times New Roman" w:cs="Times New Roman" w:eastAsia="Times New Roman" w:hAnsi="Times New Roman"/>
          <w:sz w:val="18"/>
          <w:szCs w:val="18"/>
          <w:color w:val="auto"/>
        </w:rPr>
        <w:t>: We will provide a draft separately – but we will need to clear KYC with the addressees. Please provide details of the relevant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numbers and office addresses as soon as possible.</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equivalent to the number of Shares equal to such Purchaser’s Subscription Amount divided by the Per Share Purchase Price, with such depositary receipts to be registered in the name of such Purchaser;</w:t>
      </w:r>
    </w:p>
    <w:p>
      <w:pPr>
        <w:spacing w:after="0" w:line="162" w:lineRule="exact"/>
        <w:rPr>
          <w:sz w:val="20"/>
          <w:szCs w:val="20"/>
          <w:color w:val="auto"/>
        </w:rPr>
      </w:pPr>
    </w:p>
    <w:p>
      <w:pPr>
        <w:ind w:left="1060" w:hanging="30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 Officer;</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and</w:t>
      </w:r>
    </w:p>
    <w:p>
      <w:pPr>
        <w:spacing w:after="0" w:line="225"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the following:</w:t>
      </w:r>
    </w:p>
    <w:p>
      <w:pPr>
        <w:spacing w:after="0" w:line="225" w:lineRule="exact"/>
        <w:rPr>
          <w:sz w:val="20"/>
          <w:szCs w:val="20"/>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3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238" w:lineRule="exact"/>
        <w:rPr>
          <w:rFonts w:ascii="Times New Roman" w:cs="Times New Roman" w:eastAsia="Times New Roman" w:hAnsi="Times New Roman"/>
          <w:sz w:val="18"/>
          <w:szCs w:val="18"/>
          <w:color w:val="auto"/>
        </w:rPr>
      </w:pPr>
    </w:p>
    <w:p>
      <w:pPr>
        <w:ind w:left="760" w:right="2720" w:hanging="3"/>
        <w:spacing w:after="0" w:line="500" w:lineRule="auto"/>
        <w:tabs>
          <w:tab w:leader="none" w:pos="15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Subscription Amount by wire transfer to the account specified by the Company. 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jc w:val="both"/>
        <w:ind w:firstLine="757"/>
        <w:spacing w:after="0" w:line="266" w:lineRule="auto"/>
        <w:tabs>
          <w:tab w:leader="none" w:pos="9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The respective obligations of the Purchasers hereunder in connection with the Closing are subject to the following conditions being met:</w:t>
      </w:r>
    </w:p>
    <w:p>
      <w:pPr>
        <w:spacing w:after="0" w:line="225" w:lineRule="exact"/>
        <w:rPr>
          <w:sz w:val="20"/>
          <w:szCs w:val="20"/>
          <w:color w:val="auto"/>
        </w:rPr>
      </w:pPr>
    </w:p>
    <w:p>
      <w:pPr>
        <w:jc w:val="both"/>
        <w:ind w:firstLine="757"/>
        <w:spacing w:after="0" w:line="261"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w:t>
      </w:r>
    </w:p>
    <w:p>
      <w:pPr>
        <w:spacing w:after="0" w:line="206"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firstLine="757"/>
        <w:spacing w:after="0" w:line="258" w:lineRule="auto"/>
        <w:tabs>
          <w:tab w:leader="none" w:pos="10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any Trading Market, nor shall a banking moratorium have been declared either by the United States or New York State authorities nor shall there have occurred any material outbreak or escalation of hostilities or other national or international calamity of such magnitude</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its effect on, or any material adverse change in, any financial market which, in each case, in the reasonable judgment of such Purchaser, makes it impracticable or inadvisable to purchase the Securities at the Closing.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757"/>
        <w:spacing w:after="0" w:line="261" w:lineRule="auto"/>
        <w:tabs>
          <w:tab w:leader="none" w:pos="10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its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79" w:lineRule="exact"/>
        <w:rPr>
          <w:rFonts w:ascii="Times New Roman" w:cs="Times New Roman" w:eastAsia="Times New Roman" w:hAnsi="Times New Roman"/>
          <w:sz w:val="18"/>
          <w:szCs w:val="18"/>
          <w:color w:val="auto"/>
        </w:rPr>
      </w:pPr>
    </w:p>
    <w:p>
      <w:pPr>
        <w:jc w:val="both"/>
        <w:ind w:firstLine="757"/>
        <w:spacing w:after="0" w:line="253" w:lineRule="auto"/>
        <w:tabs>
          <w:tab w:leader="none" w:pos="10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7" w:lineRule="exact"/>
        <w:rPr>
          <w:sz w:val="20"/>
          <w:szCs w:val="20"/>
          <w:color w:val="auto"/>
        </w:rPr>
      </w:pPr>
    </w:p>
    <w:p>
      <w:pPr>
        <w:jc w:val="both"/>
        <w:ind w:firstLine="757"/>
        <w:spacing w:after="0" w:line="254"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additional listing application(s) to each applicable Trading Market for the listing of the Shares for trading thereon in the time and manner required thereby; (iii) the registration statement required to be filed by the Registration Rights Agreement; (iv) the filing of Form D with the Commission and such filings as are required to be made under applicable state securities laws and (v) post-Closing filings with UK Companies House notifying the issuance of the Shares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For greater certainty, the Company is not required to submit an original listing application to its Trading Market in connection with the offer and sale of the Securities.</w:t>
      </w:r>
    </w:p>
    <w:p>
      <w:pPr>
        <w:spacing w:after="0" w:line="191" w:lineRule="exact"/>
        <w:rPr>
          <w:rFonts w:ascii="Times New Roman" w:cs="Times New Roman" w:eastAsia="Times New Roman" w:hAnsi="Times New Roman"/>
          <w:sz w:val="18"/>
          <w:szCs w:val="18"/>
          <w:color w:val="auto"/>
        </w:rPr>
      </w:pPr>
    </w:p>
    <w:p>
      <w:pPr>
        <w:jc w:val="both"/>
        <w:ind w:firstLine="757"/>
        <w:spacing w:after="0" w:line="266" w:lineRule="auto"/>
        <w:tabs>
          <w:tab w:leader="none" w:pos="9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175" w:lineRule="exact"/>
        <w:rPr>
          <w:rFonts w:ascii="Times New Roman" w:cs="Times New Roman" w:eastAsia="Times New Roman" w:hAnsi="Times New Roman"/>
          <w:sz w:val="18"/>
          <w:szCs w:val="18"/>
          <w:color w:val="auto"/>
        </w:rPr>
      </w:pPr>
    </w:p>
    <w:p>
      <w:pPr>
        <w:jc w:val="both"/>
        <w:ind w:firstLine="757"/>
        <w:spacing w:after="0" w:line="251" w:lineRule="auto"/>
        <w:tabs>
          <w:tab w:leader="none" w:pos="10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Ordinary Shares owned beneficially, and of record, by Affiliates of the Company as of the date hereof.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and as disclosed in the SEC Reports,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or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both"/>
        <w:ind w:left="-40" w:firstLine="757"/>
        <w:spacing w:after="0" w:line="252" w:lineRule="auto"/>
        <w:tabs>
          <w:tab w:leader="none" w:pos="9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Except as set forth on Schedule 3.1(h),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left="-40" w:firstLine="757"/>
        <w:spacing w:after="0" w:line="253" w:lineRule="auto"/>
        <w:tabs>
          <w:tab w:leader="none" w:pos="9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left="-40" w:firstLine="757"/>
        <w:spacing w:after="0" w:line="253" w:lineRule="auto"/>
        <w:tabs>
          <w:tab w:leader="none" w:pos="9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0" w:firstLine="757"/>
        <w:spacing w:after="0" w:line="261" w:lineRule="auto"/>
        <w:tabs>
          <w:tab w:leader="none" w:pos="9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9" w:lineRule="exact"/>
        <w:rPr>
          <w:sz w:val="20"/>
          <w:szCs w:val="20"/>
          <w:color w:val="auto"/>
        </w:rPr>
      </w:pPr>
    </w:p>
    <w:p>
      <w:pPr>
        <w:jc w:val="both"/>
        <w:ind w:firstLine="757"/>
        <w:spacing w:after="0" w:line="254" w:lineRule="auto"/>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2" w:lineRule="exact"/>
        <w:rPr>
          <w:sz w:val="20"/>
          <w:szCs w:val="20"/>
          <w:color w:val="auto"/>
        </w:rPr>
      </w:pPr>
    </w:p>
    <w:p>
      <w:pPr>
        <w:jc w:val="both"/>
        <w:ind w:firstLine="757"/>
        <w:spacing w:after="0" w:line="254"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 w:lineRule="exact"/>
        <w:rPr>
          <w:rFonts w:ascii="Times New Roman" w:cs="Times New Roman" w:eastAsia="Times New Roman" w:hAnsi="Times New Roman"/>
          <w:sz w:val="18"/>
          <w:szCs w:val="18"/>
          <w:color w:val="auto"/>
        </w:rPr>
      </w:pPr>
    </w:p>
    <w:p>
      <w:pPr>
        <w:jc w:val="both"/>
        <w:ind w:firstLine="757"/>
        <w:spacing w:after="0" w:line="251" w:lineRule="auto"/>
        <w:tabs>
          <w:tab w:leader="none" w:pos="9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3" w:lineRule="exact"/>
        <w:rPr>
          <w:rFonts w:ascii="Times New Roman" w:cs="Times New Roman" w:eastAsia="Times New Roman" w:hAnsi="Times New Roman"/>
          <w:sz w:val="18"/>
          <w:szCs w:val="18"/>
          <w:color w:val="auto"/>
        </w:rPr>
      </w:pPr>
    </w:p>
    <w:p>
      <w:pPr>
        <w:jc w:val="both"/>
        <w:ind w:firstLine="757"/>
        <w:spacing w:after="0" w:line="252" w:lineRule="auto"/>
        <w:tabs>
          <w:tab w:leader="none" w:pos="10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757"/>
        <w:spacing w:after="0" w:line="261"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made by or on behalf of other Persons for fees of a type contemplated in this Section that may be due in connection with the transactions contemplated by the Transaction Documents.</w:t>
      </w:r>
    </w:p>
    <w:p>
      <w:pPr>
        <w:spacing w:after="0" w:line="162" w:lineRule="exact"/>
        <w:rPr>
          <w:sz w:val="20"/>
          <w:szCs w:val="20"/>
          <w:color w:val="auto"/>
        </w:rPr>
      </w:pPr>
    </w:p>
    <w:p>
      <w:pPr>
        <w:jc w:val="both"/>
        <w:ind w:firstLine="757"/>
        <w:spacing w:after="0" w:line="266" w:lineRule="auto"/>
        <w:tabs>
          <w:tab w:leader="none" w:pos="10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and application of the proceeds as set forth under Section 4.7,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to each of the Purchasers pursuant to the terms of the Registration Rights Agreement,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Ordinary Shares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of a class of Shares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r>
        <w:rPr>
          <w:rFonts w:ascii="Times New Roman" w:cs="Times New Roman" w:eastAsia="Times New Roman" w:hAnsi="Times New Roman"/>
          <w:sz w:val="24"/>
          <w:szCs w:val="24"/>
          <w:color w:val="auto"/>
          <w:vertAlign w:val="superscript"/>
        </w:rPr>
        <w:t>2</w:t>
      </w:r>
    </w:p>
    <w:p>
      <w:pPr>
        <w:spacing w:after="0" w:line="112"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and the representations made in Section 3.1(i),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16884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2"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to Sullivan: We are happy to coordinate a call to discuss UK Stamp Act issues, if helpful.</w:t>
      </w: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194" w:lineRule="exact"/>
        <w:rPr>
          <w:sz w:val="20"/>
          <w:szCs w:val="20"/>
          <w:color w:val="auto"/>
        </w:rPr>
      </w:pPr>
    </w:p>
    <w:p>
      <w:pPr>
        <w:jc w:val="both"/>
        <w:ind w:left="-40" w:firstLine="757"/>
        <w:spacing w:after="0" w:line="258"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3" w:lineRule="exact"/>
        <w:rPr>
          <w:rFonts w:ascii="Times New Roman" w:cs="Times New Roman" w:eastAsia="Times New Roman" w:hAnsi="Times New Roman"/>
          <w:sz w:val="18"/>
          <w:szCs w:val="18"/>
          <w:color w:val="auto"/>
        </w:rPr>
      </w:pPr>
    </w:p>
    <w:p>
      <w:pPr>
        <w:jc w:val="both"/>
        <w:ind w:left="-40" w:firstLine="757"/>
        <w:spacing w:after="0" w:line="255" w:lineRule="auto"/>
        <w:tabs>
          <w:tab w:leader="none" w:pos="10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or accrued payroll liabilities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left="-40" w:firstLine="757"/>
        <w:spacing w:after="0" w:line="256" w:lineRule="auto"/>
        <w:tabs>
          <w:tab w:leader="none" w:pos="10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7" w:lineRule="exact"/>
        <w:rPr>
          <w:rFonts w:ascii="Times New Roman" w:cs="Times New Roman" w:eastAsia="Times New Roman" w:hAnsi="Times New Roman"/>
          <w:sz w:val="18"/>
          <w:szCs w:val="18"/>
          <w:color w:val="auto"/>
        </w:rPr>
      </w:pPr>
    </w:p>
    <w:p>
      <w:pPr>
        <w:jc w:val="both"/>
        <w:ind w:left="-40" w:firstLine="757"/>
        <w:spacing w:after="0" w:line="266" w:lineRule="auto"/>
        <w:tabs>
          <w:tab w:leader="none" w:pos="10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(as such terms are defined in Regulation D under the Securities Act). The Company has offered the Securities for sale only to the Purchasers and certain other “qualified purchasers” or “qualified institutional buyers” as defined in the Securities Act.</w:t>
      </w:r>
    </w:p>
    <w:p>
      <w:pPr>
        <w:spacing w:after="0" w:line="175" w:lineRule="exact"/>
        <w:rPr>
          <w:rFonts w:ascii="Times New Roman" w:cs="Times New Roman" w:eastAsia="Times New Roman" w:hAnsi="Times New Roman"/>
          <w:sz w:val="18"/>
          <w:szCs w:val="18"/>
          <w:color w:val="auto"/>
        </w:rPr>
      </w:pPr>
    </w:p>
    <w:p>
      <w:pPr>
        <w:jc w:val="both"/>
        <w:ind w:left="-40" w:firstLine="757"/>
        <w:spacing w:after="0" w:line="253" w:lineRule="auto"/>
        <w:tabs>
          <w:tab w:leader="none" w:pos="10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5" w:lineRule="exact"/>
        <w:rPr>
          <w:rFonts w:ascii="Times New Roman" w:cs="Times New Roman" w:eastAsia="Times New Roman" w:hAnsi="Times New Roman"/>
          <w:sz w:val="18"/>
          <w:szCs w:val="18"/>
          <w:color w:val="auto"/>
        </w:rPr>
      </w:pPr>
    </w:p>
    <w:p>
      <w:pPr>
        <w:jc w:val="both"/>
        <w:ind w:left="-40" w:firstLine="757"/>
        <w:spacing w:after="0" w:line="255"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2025.</w:t>
      </w:r>
    </w:p>
    <w:p>
      <w:pPr>
        <w:spacing w:after="0" w:line="185" w:lineRule="exact"/>
        <w:rPr>
          <w:rFonts w:ascii="Times New Roman" w:cs="Times New Roman" w:eastAsia="Times New Roman" w:hAnsi="Times New Roman"/>
          <w:sz w:val="18"/>
          <w:szCs w:val="18"/>
          <w:color w:val="auto"/>
        </w:rPr>
      </w:pPr>
    </w:p>
    <w:p>
      <w:pPr>
        <w:jc w:val="both"/>
        <w:ind w:left="-40" w:firstLine="757"/>
        <w:spacing w:after="0" w:line="261" w:lineRule="auto"/>
        <w:tabs>
          <w:tab w:leader="none" w:pos="10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left="-40" w:firstLine="757"/>
        <w:spacing w:after="0" w:line="266" w:lineRule="auto"/>
        <w:tabs>
          <w:tab w:leader="none" w:pos="10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to its knowledge, each of the Purchasers is acting solely in the capacity of an arm’s length purchaser with respect to the Transaction Documents and the transactions contemplated thereby. The Company further acknowledges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that, to its knowledge,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3" w:lineRule="exact"/>
        <w:rPr>
          <w:sz w:val="20"/>
          <w:szCs w:val="20"/>
          <w:color w:val="auto"/>
        </w:rPr>
      </w:pPr>
    </w:p>
    <w:p>
      <w:pPr>
        <w:jc w:val="both"/>
        <w:ind w:firstLine="757"/>
        <w:spacing w:after="0" w:line="253" w:lineRule="auto"/>
        <w:tabs>
          <w:tab w:leader="none" w:pos="10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both"/>
        <w:ind w:firstLine="757"/>
        <w:spacing w:after="0" w:line="258" w:lineRule="auto"/>
        <w:tabs>
          <w:tab w:leader="none" w:pos="10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757"/>
        <w:spacing w:after="0" w:line="253" w:lineRule="auto"/>
        <w:tabs>
          <w:tab w:leader="none" w:pos="10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“IT Systems and Data”)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a commercially reasonable backup and disaster recovery technology.</w:t>
      </w:r>
    </w:p>
    <w:p>
      <w:pPr>
        <w:spacing w:after="0" w:line="191" w:lineRule="exact"/>
        <w:rPr>
          <w:rFonts w:ascii="Times New Roman" w:cs="Times New Roman" w:eastAsia="Times New Roman" w:hAnsi="Times New Roman"/>
          <w:sz w:val="18"/>
          <w:szCs w:val="18"/>
          <w:color w:val="auto"/>
        </w:rPr>
      </w:pPr>
    </w:p>
    <w:p>
      <w:pPr>
        <w:jc w:val="both"/>
        <w:ind w:firstLine="757"/>
        <w:spacing w:after="0" w:line="255" w:lineRule="auto"/>
        <w:tabs>
          <w:tab w:leader="none" w:pos="10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(“GDPR”) (EU 2016/679) (collectively, “Privacy Laws”);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“Policies”);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w:t>
      </w: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both"/>
        <w:ind w:firstLine="757"/>
        <w:spacing w:after="0" w:line="256" w:lineRule="auto"/>
        <w:tabs>
          <w:tab w:leader="none" w:pos="1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1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757"/>
        <w:spacing w:after="0" w:line="258" w:lineRule="auto"/>
        <w:tabs>
          <w:tab w:leader="none" w:pos="10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506(b) of Regulation D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0" w:lineRule="exact"/>
        <w:rPr>
          <w:sz w:val="20"/>
          <w:szCs w:val="20"/>
          <w:color w:val="auto"/>
        </w:rPr>
      </w:pPr>
    </w:p>
    <w:p>
      <w:pPr>
        <w:ind w:firstLine="757"/>
        <w:spacing w:after="0" w:line="282" w:lineRule="auto"/>
        <w:tabs>
          <w:tab w:leader="none" w:pos="10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Disqualification Event relating to any Issuer Covered Person and (ii) any event that would, with the passage of time, become a Disqualification Event relating to any Issuer Covered Person.</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757"/>
        <w:spacing w:after="0" w:line="253" w:lineRule="auto"/>
        <w:tabs>
          <w:tab w:leader="none" w:pos="1021"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u w:val="single" w:color="auto"/>
          <w:color w:val="auto"/>
        </w:rPr>
      </w:pPr>
    </w:p>
    <w:p>
      <w:pPr>
        <w:jc w:val="both"/>
        <w:ind w:firstLine="757"/>
        <w:spacing w:after="0" w:line="253" w:lineRule="auto"/>
        <w:tabs>
          <w:tab w:leader="none" w:pos="10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or other securities law, has no present intention of distributing any of such Securities in violation of the Securities Act or any applicable state or other securities law and has no direct or indirect arrangement or understandings with any other persons to distribute or regarding the distribution of such Securities in violation of the Securities Act or any applicable state or other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94" w:lineRule="exact"/>
        <w:rPr>
          <w:rFonts w:ascii="Times New Roman" w:cs="Times New Roman" w:eastAsia="Times New Roman" w:hAnsi="Times New Roman"/>
          <w:sz w:val="18"/>
          <w:szCs w:val="18"/>
          <w:color w:val="auto"/>
        </w:rPr>
      </w:pPr>
    </w:p>
    <w:p>
      <w:pPr>
        <w:jc w:val="both"/>
        <w:ind w:firstLine="757"/>
        <w:spacing w:after="0" w:line="258" w:lineRule="auto"/>
        <w:tabs>
          <w:tab w:leader="none" w:pos="9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(i) a “qualified purchaser” as defined in the Securities Act or (ii) a “qualified institutional buyer” as defined in Rule 144A(a)(1) under the Securities Act. Such Purchaser hereby represents that neither such Purchaser nor any of its Rule 506(d) Related Parties (as defined below) is a “bad actor” within the meaning of Rule 506(d) promulgated under the Securities Act. For purposes of this Agreement, “</w:t>
      </w:r>
      <w:r>
        <w:rPr>
          <w:rFonts w:ascii="Times New Roman" w:cs="Times New Roman" w:eastAsia="Times New Roman" w:hAnsi="Times New Roman"/>
          <w:sz w:val="18"/>
          <w:szCs w:val="18"/>
          <w:u w:val="single" w:color="auto"/>
          <w:color w:val="auto"/>
        </w:rPr>
        <w:t>Rule 506(d) Related Party</w:t>
      </w:r>
      <w:r>
        <w:rPr>
          <w:rFonts w:ascii="Times New Roman" w:cs="Times New Roman" w:eastAsia="Times New Roman" w:hAnsi="Times New Roman"/>
          <w:sz w:val="18"/>
          <w:szCs w:val="18"/>
          <w:color w:val="auto"/>
        </w:rPr>
        <w:t>” shall mean a person or entity covered by the “Bad Actor disqualification” provision of Rule 506(d) of Regulation D under the Securities Act.</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jc w:val="both"/>
        <w:ind w:firstLine="757"/>
        <w:spacing w:after="0" w:line="261" w:lineRule="auto"/>
        <w:tabs>
          <w:tab w:leader="none" w:pos="10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9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Securities as a result of any “general solicitation” or “general advertising” (as such terms are defined in Regulation D under the Securities Act), including, without limitation, any advertisement, article, notice or other communication regarding the Securities published in any newspaper, magazine or similar media or the internet or broadcast over television or radio or the internet or any seminar or meeting whose attendees have been invited by general solicitation or general advertising.</w:t>
      </w:r>
    </w:p>
    <w:p>
      <w:pPr>
        <w:spacing w:after="0" w:line="179" w:lineRule="exact"/>
        <w:rPr>
          <w:rFonts w:ascii="Times New Roman" w:cs="Times New Roman" w:eastAsia="Times New Roman" w:hAnsi="Times New Roman"/>
          <w:sz w:val="18"/>
          <w:szCs w:val="18"/>
          <w:color w:val="auto"/>
        </w:rPr>
      </w:pPr>
    </w:p>
    <w:p>
      <w:pPr>
        <w:jc w:val="both"/>
        <w:ind w:firstLine="757"/>
        <w:spacing w:after="0" w:line="253" w:lineRule="auto"/>
        <w:tabs>
          <w:tab w:leader="none" w:pos="9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10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55" w:lineRule="auto"/>
        <w:tabs>
          <w:tab w:leader="none" w:pos="10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under the Securities Act. As a condition of transfer (other than pursuant to an effective Registration Statement or Rule 144), any such transferee shall agree in writing to be bound by the terms of this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10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substantially in the following form: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of Regulation D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188" w:lineRule="exact"/>
        <w:rPr>
          <w:sz w:val="20"/>
          <w:szCs w:val="20"/>
          <w:color w:val="auto"/>
        </w:rPr>
      </w:pPr>
    </w:p>
    <w:p>
      <w:pPr>
        <w:jc w:val="both"/>
        <w:ind w:firstLine="757"/>
        <w:spacing w:after="0" w:line="261"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book-entry statements evidencing the Shares shall not contain any legend (including the legend set forth in Section 4.1(b) hereof), (i) while a registration statement (including the Registration Statement) covering the resale of such security is effective under the Securities Act,</w:t>
      </w:r>
    </w:p>
    <w:p>
      <w:pPr>
        <w:jc w:val="both"/>
        <w:ind w:firstLine="8"/>
        <w:spacing w:after="0" w:line="251" w:lineRule="auto"/>
        <w:tabs>
          <w:tab w:leader="none" w:pos="2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sale of such Shares pursuant to Rule 144 and the Company is then in compliance with the current public information required under Rule 144, (iii) if such Shares may be sold under Rule 144, without the requirement for the Company to be in compliance with the current public information required under Rule 144 as to such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the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legend is not otherwise required under applicable requirements of the Securities Act (including judicial interpretations and pronouncements issued by the staff of the Commission), then such Shares shall be issued free of all legends. The Company shall cause its counsel to issue a legal opinion to the Transfer Agent promptly after the Effective Date if required by the Transfer Agent to effect the removal of the legend hereunder or if reasonably required by a Purchaser.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or book-entry statement representing Shares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or book-entry statement representing such shares that is free from all restrictive and other legends. The Company may not make any notation on its records or give instructions to the Transfer Agent that enlarge the restrictions on transfer set forth in this Section 4.1. Certificates or book-entry statements for Securities subject to legend removal hereunder shall be transmitted by the Transfer Agent to the Purchaser by crediting the account of the Purchaser’s prime broker with the Depository Trust Company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Ordinary Shares as in effect on the date of delivery of a certificate or book-entry statement representing Shares issued with a restrictive legend.</w:t>
      </w:r>
    </w:p>
    <w:p>
      <w:pPr>
        <w:spacing w:after="0" w:line="19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(d) 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61" w:lineRule="auto"/>
        <w:tabs>
          <w:tab w:leader="none" w:pos="9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 least two years after the Closing Date, the Company covenants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7"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9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The Company understands and confirms that each Purchaser shall be relying on the foregoing covenant in effecting transactions in securities of the Company. The Company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16884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6"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to Sullivan: We understand that this paragraph creates compliance issues with UK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Note to Sullivan: We understand that the deleted paragraph creates compliance issues with UK law.</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color w:val="auto"/>
        </w:rPr>
        <w:t>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press release or filing with the Commission or any regulatory agency or Trading Market, without the prior written consent of such Purchaser, except (a) as required by federal securities law in connection with (i) any registration statement contemplated by this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and working capital purposes and shall not use such proceeds: (a) for the redemption of any Ordinary Shares or Ordinary Share Equivalents, (b) for the settlement of any outstanding litigation or (c) in violation of FCPA or OFAC regulations.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w:t>
      </w:r>
    </w:p>
    <w:p>
      <w:pPr>
        <w:spacing w:after="0" w:line="3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Shares pursuant to this Agreement.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its best efforts to maintain the listing or quotation of the Ordinary Shares on the Trading Market on which it is currently listed, and the Company shall apply to list or quote all of the Shares on such Trading Market prior to the Closing and promptly secure the listing of all of the Shares on such Trading Market prior to Closing provided that such Shares are eligible for listing on such Trading Market at the relevant time. The Company further agrees, if the Company applies to have the Ordinary Shares traded on any other Trading Market, it will then include in such application all of the Shares and will take such other action as is necessary to cause all of the Shares to be listed or quoted on such other Trading Market as promptly as possible and provided that such Shares are eligible for listing on such other Trading Market at the relevant time. The Company will then take all action reasonably necessary to maintain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4.12 [Reserved]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sixty (60) days after the Effective Date, neither the Company nor any Subsidiary shall</w:t>
      </w:r>
    </w:p>
    <w:p>
      <w:pPr>
        <w:spacing w:after="0" w:line="27" w:lineRule="exact"/>
        <w:rPr>
          <w:sz w:val="20"/>
          <w:szCs w:val="20"/>
          <w:color w:val="auto"/>
        </w:rPr>
      </w:pPr>
    </w:p>
    <w:p>
      <w:pPr>
        <w:ind w:left="220" w:hanging="212"/>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 issuance of any Ordinary Shares or Ordinary Share Equivalents, other than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of Ordinary Shares pursuant to such an agreement already in existence at the date of this Agreement and described on Schedule 3.1(bb) and (B) the issuance of Ordinary Shares in connection with strategic acquisitions, joint ventures, or other similar strategic transactions, or (ii) file any registration statement or any amendment or supplement thereto, other than (A) a registration statement on Form S-8 with respect to a shareholder approved equity incentive plan, (B) the registration statement described in the Registration Rights Agreement, (C) any post-effective amendment to an existing registration statement on Form F-1, or (D) a registration statement on Form F-3.</w:t>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5"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Commission pursuant to a Report of Foreign Private Issuer on Form 6-K.</w:t>
      </w:r>
    </w:p>
    <w:p>
      <w:pPr>
        <w:spacing w:after="0" w:line="19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Date,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w:t>
      </w: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(other than in respect of a transfer pursuant to an effective registration statement).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w:t>
      </w: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and receipt of a duly executed indemnity for lost share certificate reasonably satisfactory to the Company. The applicant for a new certificate or instrument under such circumstances shall also pay any reasonable third-party costs (including customary indemnity) associated with the issuance of such replacement Securities.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to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Rezolve AI plc</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tcBorders>
          </w:tcPr>
          <w:p>
            <w:pPr>
              <w:spacing w:after="0"/>
              <w:rPr>
                <w:sz w:val="19"/>
                <w:szCs w:val="19"/>
                <w:color w:val="auto"/>
              </w:rPr>
            </w:pPr>
          </w:p>
        </w:tc>
        <w:tc>
          <w:tcPr>
            <w:tcW w:w="364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21 Sackville Street</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8"/>
              </w:rPr>
              <w:t>London, W1S 3DN</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64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[PURCHASER SIGNATURE PAGES TO RVLZ SECURITIES PURCHASE AGREEMENT]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10160</wp:posOffset>
            </wp:positionV>
            <wp:extent cx="4277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(including depositary receipt certificates)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1622096034.1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Wagner:</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A.G.P./Alliance Global Partners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Rezolve AI plc, a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ordinary shares, £0.0001 nominal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if applicable, pre-funded warrants to purchase Ordinary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actually placed by the Placement Agent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terms of the Placement shall be mutually agreed upon by the Company and the purchaser of the Securities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nothing herein constitutes that the Placement Agent would have the power or authority to bind the Company or the Purchaser, or an obligation for the Company to issue any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the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the prospective Purchaser.</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 in the Purchase Agreement in connection with the Placement, are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(as defined below) member firm among the Company’s officers, directors or, to the knowledge of the Company, any five percent (5.0%) or greater securityholder of the Company, except as set forth in the Purchase Agreement.</w:t>
      </w:r>
    </w:p>
    <w:p>
      <w:pPr>
        <w:spacing w:after="0" w:line="19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two (2) years after the Closing Date and (ii) a competent transfer agent with respect to the Ordinary Shares for a period of five (5) years after the Closing Date. In addition, from the date hereof until 60 days after the Effective Date, neither the Company nor any Subsidiary shall (i) issue, enter into any agreement to issue or announce the issuance or proposed issuance of any Ordinary Shares or Ordinary Share Equivalents or (ii) file any registration statement or any amendment or supplement thereto, other than (A) a registration statement on Form S-8 with respect to a shareholder approved equity incentive plan, (B) the registration statement described in the Registration Rights Agreement, (C) the issuance of Ordinary Shares pursuant to such an agreement already in existence at the date of this Agreement and described on Schedule 3.1(bb) to the Securities Purchase Agreement, (D) the issuance of Ordinary Shares in connection with strategic acquisitions, joint ventures, or other similar strategic transactions, € any post-effective amendment to an existing registration statement on Form F-1, or (F) a registration statement on Form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as a broker/dealer under the Exchange Act, (iii) is licensed as a broker/dealer under the laws of the United States of America, applicable to the offers and sales of the Placement Agent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 The Placement Agent represents and warrants that, to its knowledge after reasonable investigation, each of the Purchasers is a “qualified purchaser” within the meaning of the Securities Act, and that the Placement Agent has not engaged in any marketing or sales activity that constitutes a “general solicitation” or “general advertising” within the meaning of Rule 502(c) under the Securities Act</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of the services to be provided for hereunder, the Company shall pay to the Placement Agent and/or its respective designees a cash fee of 7.0% of the aggregate gross proceeds raised from the sale of the Placement Agent Securities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A credit will be applied to the Company on the Closing Date equal to 3.5% of the aggregate participation from the Purchasers listed on Exhibit A hereto. The Cash Fee shall be paid on the Closing Date. Concurrently out of the proceeds of the closing the Company also agrees to reimburse A.G.P for accountable legal fees and other out-of-pocket expenses incurred by A.G.P in connection with the transaction in an amount not to exceed $120,000, as well as non-accountable expenses (the “</w:t>
      </w:r>
      <w:r>
        <w:rPr>
          <w:rFonts w:ascii="Times New Roman" w:cs="Times New Roman" w:eastAsia="Times New Roman" w:hAnsi="Times New Roman"/>
          <w:sz w:val="18"/>
          <w:szCs w:val="18"/>
          <w:b w:val="1"/>
          <w:bCs w:val="1"/>
          <w:color w:val="auto"/>
        </w:rPr>
        <w:t>NAE</w:t>
      </w:r>
      <w:r>
        <w:rPr>
          <w:rFonts w:ascii="Times New Roman" w:cs="Times New Roman" w:eastAsia="Times New Roman" w:hAnsi="Times New Roman"/>
          <w:sz w:val="18"/>
          <w:szCs w:val="18"/>
          <w:color w:val="auto"/>
        </w:rPr>
        <w:t>”) including, but not limited to, IPREO software related expenses, background check(s), marketing related expenses; i.e. roadshow, travel, et al. and any other expenses incurred by A.G.P. in connection with the transaction, (provided, however, that such reimbursement amount in no way limits or impairs the indemnification and contribution provisions of this Agreement). The total NAE allowances shall not exceed $10,000. A.G.P will provide an accounting of legal and out-of-pocket expenses and NAE prior to payment. The Placement Agent reserves the right to reduce any item of compensation, including the reimbursement of expenses,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Placement Agent Securities, the Company will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the Placement Agent’s fraud, willful misconduct or gross negligence in performing the services described herein.</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B. Promptly after receipt by the Placement Agent of notice of any claim or the commencement of any action or proceeding with respect to which the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fees and expenses of such counsel. Notwithstanding the preceding sentence, the Placement Agent will be entitled to employ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fees and disbursements of no more than one (1)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19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commence on the date hereof and continue through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and expenses pursuant to Section 3 hereof and fees and expenses with respect to the Placement Agent Securities, if sold in the Placement. Notwithstanding anything to the contrary contained herein, the provisions concerning the Company’s obligation to pay any fees or expenses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or expenses due to the Placement Agent shall be paid by the Company to the Placement Agent on or before the Termination Date (in the event such fees or expenses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Placement Agent Securities, and all other legal matters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this Agreement and the transactions contemplated hereby with respect to the Placement Agent Securities shall be reasonably satisfactory in all material respects to the Placement Agent.</w:t>
      </w:r>
    </w:p>
    <w:p>
      <w:pPr>
        <w:spacing w:after="0" w:line="16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B. The Placement Agent shall have received legal opinions of Company US Counsel and Company UK Counsel, directed to the Placement Agent with respect to the Placement Agent Securities, addressed to the Placement Agent and dated as of the Closing Date, in form and substance reasonably satisfactory to the Placement Agent.</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C. The Placement Agent shall have received customary certificates of the Company’s executive officers, as to the accuracy of the representations and warranties contained in the Purchase Agreement, and a certificate of the Company’s secretary certifying that each of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D. The Ordinary Shares shall be registered under the Exchange Act in accordance with the terms of the Purchase Agreement and, as of the Closing Date, the Shares and Ordinary Shares issuable upon exercise of the Pre-Funded Warrants, if any, shall be of a class of securities listed and admitted and authorized for trading on the Trading Market or other applicable U.S. national exchange and a copy of the irrevocable instructions to the Transfer Agent in accordance with the terms of the Purchase Agreement shall have been provided to the Placement Agent. The Company shall have taken no action designed to, or likely to have the effect of terminating the registration of the Ordinary Shares under the Exchange Act or delisting or suspending from trading the Ordinary Shares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E.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3"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F. The Company shall have entered into a Purchase Agreement with the Purchasers of the Placement Agent Securities and such agreement shall be in full force and effect and shall contain representations, warranties and covenants of the Company as agreed upon between the Company and the Purchasers.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G. FINRA shall have raised no objection to the fairness and reasonableness of the terms and arrangements of this Agreement. In addition, the Company shall, if requested by the Placement Agent, make or authorize Placement Agent’s counsel to make on the Company’s behalf, any necessary filing with the FINRA Corporate Financing Department with respect to the Placement and pay all filing fees required in connection therewith.</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its conflict of laws principles.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Dates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w:t>
      </w: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Higgins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Higgins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Attn: Thomas J. Higgins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thiggins@allianceg.com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Rezolve AI plc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24, 2025, between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July 24,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right="380" w:firstLine="1505"/>
        <w:spacing w:after="0" w:line="282"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left="7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Ordinary Shares, £0.0001 nominal value per share, and any other class of securities into which such securities may hereafter be reclassified or changed.</w:t>
      </w:r>
    </w:p>
    <w:p>
      <w:pPr>
        <w:spacing w:after="0" w:line="165" w:lineRule="exact"/>
        <w:rPr>
          <w:sz w:val="20"/>
          <w:szCs w:val="20"/>
          <w:color w:val="auto"/>
        </w:rPr>
      </w:pPr>
    </w:p>
    <w:p>
      <w:pPr>
        <w:jc w:val="both"/>
        <w:ind w:left="760" w:firstLine="749"/>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calendar day following the Closing Date (or, in the event of a “full review” by the Commission, the 60th calendar day following the Closing Date) and with</w:t>
      </w:r>
    </w:p>
    <w:p>
      <w:pPr>
        <w:spacing w:after="0" w:line="2" w:lineRule="exact"/>
        <w:rPr>
          <w:sz w:val="20"/>
          <w:szCs w:val="20"/>
          <w:color w:val="auto"/>
        </w:rPr>
      </w:pPr>
    </w:p>
    <w:p>
      <w:pPr>
        <w:jc w:val="both"/>
        <w:ind w:left="760"/>
        <w:spacing w:after="0" w:line="219" w:lineRule="auto"/>
        <w:rPr>
          <w:sz w:val="20"/>
          <w:szCs w:val="20"/>
          <w:color w:val="auto"/>
        </w:rPr>
      </w:pPr>
      <w:r>
        <w:rPr>
          <w:rFonts w:ascii="Times New Roman" w:cs="Times New Roman" w:eastAsia="Times New Roman" w:hAnsi="Times New Roman"/>
          <w:sz w:val="17"/>
          <w:szCs w:val="17"/>
          <w:color w:val="auto"/>
        </w:rPr>
        <w:t>respect to any additional Registration Statements which may be required pursuant to Section 2(c) or Section 3(c),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on which an additional Registration Statement is required to be filed hereunder (or, in the event of a “full review” by the Commission,</w:t>
      </w:r>
    </w:p>
    <w:p>
      <w:pPr>
        <w:jc w:val="both"/>
        <w:ind w:left="760"/>
        <w:spacing w:after="0" w:line="229" w:lineRule="auto"/>
        <w:rPr>
          <w:sz w:val="20"/>
          <w:szCs w:val="20"/>
          <w:color w:val="auto"/>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calendar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8" w:lineRule="exact"/>
        <w:rPr>
          <w:sz w:val="20"/>
          <w:szCs w:val="20"/>
          <w:color w:val="auto"/>
        </w:rPr>
      </w:pPr>
    </w:p>
    <w:p>
      <w:pPr>
        <w:jc w:val="both"/>
        <w:ind w:left="760" w:firstLine="749"/>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calendar day following the Closing Date. With respect to any additional Registration Statements which may be required pursuant to Section 2(c) or Section 3(c), “Filing Date” means the earliest practical date on which the Company is permitted by SEC Guidance to file such additional Registration Statement related to the Registrable Securities.</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jc w:val="both"/>
        <w:ind w:left="72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72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the Shares and (b) any securities issued or then issuable upon any share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2" w:lineRule="exact"/>
        <w:rPr>
          <w:sz w:val="20"/>
          <w:szCs w:val="20"/>
          <w:color w:val="auto"/>
        </w:rPr>
      </w:pPr>
    </w:p>
    <w:p>
      <w:pPr>
        <w:jc w:val="both"/>
        <w:ind w:left="7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7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72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Shareholder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left="7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640" w:hanging="175"/>
        <w:spacing w:after="0"/>
        <w:tabs>
          <w:tab w:leader="none" w:pos="1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720" w:firstLine="1494"/>
        <w:spacing w:after="0" w:line="253" w:lineRule="auto"/>
        <w:tabs>
          <w:tab w:leader="none" w:pos="24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F-1 or such other appropriate form in accordance herewith, subject to the provisions of Section 2(e)) and shall contain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section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39" w:name="page40"/>
    <w:bookmarkEnd w:id="39"/>
    <w:p>
      <w:pPr>
        <w:jc w:val="both"/>
        <w:ind w:left="720"/>
        <w:spacing w:after="0" w:line="252" w:lineRule="auto"/>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196" w:lineRule="exact"/>
        <w:rPr>
          <w:sz w:val="20"/>
          <w:szCs w:val="20"/>
          <w:color w:val="auto"/>
        </w:rPr>
      </w:pPr>
    </w:p>
    <w:p>
      <w:pPr>
        <w:jc w:val="both"/>
        <w:ind w:left="720" w:firstLine="1494"/>
        <w:spacing w:after="0" w:line="253" w:lineRule="auto"/>
        <w:tabs>
          <w:tab w:leader="none" w:pos="24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F-1 or such other form available to register for resale the Registrable Securities as a secondary offering, subject to the provisions of Section 2(e); with respect to filing on Form F-1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Securities Act Rules Compliance and Disclosure Interpretation Question 612.09.</w:t>
      </w:r>
    </w:p>
    <w:p>
      <w:pPr>
        <w:spacing w:after="0" w:line="194" w:lineRule="exact"/>
        <w:rPr>
          <w:rFonts w:ascii="Times New Roman" w:cs="Times New Roman" w:eastAsia="Times New Roman" w:hAnsi="Times New Roman"/>
          <w:sz w:val="18"/>
          <w:szCs w:val="18"/>
          <w:color w:val="auto"/>
        </w:rPr>
      </w:pPr>
    </w:p>
    <w:p>
      <w:pPr>
        <w:jc w:val="both"/>
        <w:ind w:left="720" w:firstLine="1494"/>
        <w:spacing w:after="0" w:line="258" w:lineRule="auto"/>
        <w:tabs>
          <w:tab w:leader="none" w:pos="24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3200" w:hanging="237"/>
        <w:spacing w:after="0"/>
        <w:tabs>
          <w:tab w:leader="none" w:pos="32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7"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460" w:right="20" w:firstLine="1503"/>
        <w:spacing w:after="0" w:line="312" w:lineRule="auto"/>
        <w:tabs>
          <w:tab w:leader="none" w:pos="3223"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140" w:lineRule="exact"/>
        <w:rPr>
          <w:sz w:val="20"/>
          <w:szCs w:val="20"/>
          <w:color w:val="auto"/>
        </w:rPr>
      </w:pPr>
    </w:p>
    <w:p>
      <w:pPr>
        <w:jc w:val="both"/>
        <w:ind w:left="720" w:firstLine="749"/>
        <w:spacing w:after="0" w:line="256"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F-1 or such other form available to register for resale those Registrable Securities that were not registered for resale on the Initial Registration Statement, as amended, and to use its reasonable best efforts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0" w:name="page41"/>
    <w:bookmarkEnd w:id="40"/>
    <w:p>
      <w:pPr>
        <w:ind w:left="720" w:right="20"/>
        <w:spacing w:after="0" w:line="282" w:lineRule="auto"/>
        <w:rPr>
          <w:sz w:val="20"/>
          <w:szCs w:val="20"/>
          <w:color w:val="auto"/>
        </w:rPr>
      </w:pPr>
      <w:r>
        <w:rPr>
          <w:rFonts w:ascii="Times New Roman" w:cs="Times New Roman" w:eastAsia="Times New Roman" w:hAnsi="Times New Roman"/>
          <w:sz w:val="18"/>
          <w:szCs w:val="18"/>
          <w:color w:val="auto"/>
        </w:rPr>
        <w:t>to cause the Commission to declare such registration statement covering the Shares that were not registered for resale on the Initial Registration Statement, as amended, effective as soon as practicable after the date.</w:t>
      </w:r>
    </w:p>
    <w:p>
      <w:pPr>
        <w:spacing w:after="0" w:line="162" w:lineRule="exact"/>
        <w:rPr>
          <w:sz w:val="20"/>
          <w:szCs w:val="20"/>
          <w:color w:val="auto"/>
        </w:rPr>
      </w:pPr>
    </w:p>
    <w:p>
      <w:pPr>
        <w:jc w:val="both"/>
        <w:ind w:left="720" w:firstLine="1494"/>
        <w:spacing w:after="0" w:line="251" w:lineRule="auto"/>
        <w:tabs>
          <w:tab w:leader="none" w:pos="25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provided that the failure to file the Initial Registration Statement on or prior to the Filing Date is not due to any delay caused by any Holder,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subject to the cutback limitations set forth in Section 2(c) of this Agreement,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(A) 1.0%; (B) the Per Share Purchase Price; and (C) the number of Shares held by the Purchaser on the Event Date.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3" w:lineRule="exact"/>
        <w:rPr>
          <w:rFonts w:ascii="Times New Roman" w:cs="Times New Roman" w:eastAsia="Times New Roman" w:hAnsi="Times New Roman"/>
          <w:sz w:val="18"/>
          <w:szCs w:val="18"/>
          <w:color w:val="auto"/>
        </w:rPr>
      </w:pPr>
    </w:p>
    <w:p>
      <w:pPr>
        <w:ind w:left="2460" w:hanging="246"/>
        <w:spacing w:after="0"/>
        <w:tabs>
          <w:tab w:leader="none" w:pos="2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Form F-3 is not available for the registration of the resale of Registrable Securities hereunder, the Company shall</w:t>
      </w:r>
    </w:p>
    <w:p>
      <w:pPr>
        <w:spacing w:after="0" w:line="27" w:lineRule="exact"/>
        <w:rPr>
          <w:rFonts w:ascii="Times New Roman" w:cs="Times New Roman" w:eastAsia="Times New Roman" w:hAnsi="Times New Roman"/>
          <w:sz w:val="18"/>
          <w:szCs w:val="18"/>
          <w:color w:val="auto"/>
        </w:rPr>
      </w:pPr>
    </w:p>
    <w:p>
      <w:pPr>
        <w:jc w:val="both"/>
        <w:ind w:left="720" w:hanging="3"/>
        <w:spacing w:after="0" w:line="253" w:lineRule="auto"/>
        <w:tabs>
          <w:tab w:leader="none" w:pos="9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resale of the Registrable Securities on another appropriate form and (ii) undertake to register the Registrable Securities on Form F-3 as soon as such form is available, provided that the Company shall maintain and effectiveness of and update as required the Registration Statement then in effect until such time as a Registration Statement on Form F-3 covering the Registrable Securities has been declared effective by the Commission.</w:t>
      </w:r>
    </w:p>
    <w:p>
      <w:pPr>
        <w:spacing w:after="0" w:line="188" w:lineRule="exact"/>
        <w:rPr>
          <w:rFonts w:ascii="Times New Roman" w:cs="Times New Roman" w:eastAsia="Times New Roman" w:hAnsi="Times New Roman"/>
          <w:sz w:val="18"/>
          <w:szCs w:val="18"/>
          <w:color w:val="auto"/>
        </w:rPr>
      </w:pPr>
    </w:p>
    <w:p>
      <w:pPr>
        <w:ind w:left="720" w:firstLine="1494"/>
        <w:spacing w:after="0" w:line="282" w:lineRule="auto"/>
        <w:tabs>
          <w:tab w:leader="none" w:pos="24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2" w:lineRule="exact"/>
        <w:rPr>
          <w:sz w:val="20"/>
          <w:szCs w:val="20"/>
          <w:color w:val="auto"/>
        </w:rPr>
      </w:pPr>
    </w:p>
    <w:p>
      <w:pPr>
        <w:ind w:left="1640" w:hanging="175"/>
        <w:spacing w:after="0"/>
        <w:tabs>
          <w:tab w:leader="none" w:pos="1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07" w:lineRule="exact"/>
        <w:rPr>
          <w:sz w:val="20"/>
          <w:szCs w:val="20"/>
          <w:color w:val="auto"/>
        </w:rPr>
      </w:pPr>
    </w:p>
    <w:p>
      <w:pPr>
        <w:jc w:val="both"/>
        <w:ind w:left="720" w:firstLine="1494"/>
        <w:spacing w:after="0" w:line="266" w:lineRule="auto"/>
        <w:tabs>
          <w:tab w:leader="none" w:pos="24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1" w:name="page42"/>
    <w:bookmarkEnd w:id="41"/>
    <w:p>
      <w:pPr>
        <w:jc w:val="both"/>
        <w:ind w:left="720"/>
        <w:spacing w:after="0" w:line="267" w:lineRule="auto"/>
        <w:rPr>
          <w:sz w:val="20"/>
          <w:szCs w:val="20"/>
          <w:color w:val="auto"/>
        </w:rPr>
      </w:pPr>
      <w:r>
        <w:rPr>
          <w:rFonts w:ascii="Times New Roman" w:cs="Times New Roman" w:eastAsia="Times New Roman" w:hAnsi="Times New Roman"/>
          <w:sz w:val="17"/>
          <w:szCs w:val="17"/>
          <w:color w:val="auto"/>
        </w:rPr>
        <w:t xml:space="preserve">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Selling Shareholder Questionnaire</w:t>
      </w:r>
      <w:r>
        <w:rPr>
          <w:rFonts w:ascii="Times New Roman" w:cs="Times New Roman" w:eastAsia="Times New Roman" w:hAnsi="Times New Roman"/>
          <w:sz w:val="17"/>
          <w:szCs w:val="17"/>
          <w:color w:val="auto"/>
        </w:rPr>
        <w:t>”) on a date that is not less than two (2) Trading Days prior to</w:t>
      </w:r>
    </w:p>
    <w:p>
      <w:pPr>
        <w:spacing w:after="0" w:line="5" w:lineRule="exact"/>
        <w:rPr>
          <w:sz w:val="20"/>
          <w:szCs w:val="20"/>
          <w:color w:val="auto"/>
        </w:rPr>
      </w:pPr>
    </w:p>
    <w:p>
      <w:pPr>
        <w:jc w:val="both"/>
        <w:ind w:left="720"/>
        <w:spacing w:after="0" w:line="205" w:lineRule="auto"/>
        <w:rPr>
          <w:sz w:val="20"/>
          <w:szCs w:val="20"/>
          <w:color w:val="auto"/>
        </w:rPr>
      </w:pPr>
      <w:r>
        <w:rPr>
          <w:rFonts w:ascii="Times New Roman" w:cs="Times New Roman" w:eastAsia="Times New Roman" w:hAnsi="Times New Roman"/>
          <w:sz w:val="18"/>
          <w:szCs w:val="18"/>
          <w:color w:val="auto"/>
        </w:rPr>
        <w:t>the Filing Date or by the end of the fourth (4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199" w:lineRule="exact"/>
        <w:rPr>
          <w:sz w:val="20"/>
          <w:szCs w:val="20"/>
          <w:color w:val="auto"/>
        </w:rPr>
      </w:pPr>
    </w:p>
    <w:p>
      <w:pPr>
        <w:jc w:val="both"/>
        <w:ind w:left="720" w:firstLine="1494"/>
        <w:spacing w:after="0" w:line="253" w:lineRule="auto"/>
        <w:tabs>
          <w:tab w:leader="none" w:pos="2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7" w:lineRule="exact"/>
        <w:rPr>
          <w:rFonts w:ascii="Times New Roman" w:cs="Times New Roman" w:eastAsia="Times New Roman" w:hAnsi="Times New Roman"/>
          <w:sz w:val="18"/>
          <w:szCs w:val="18"/>
          <w:color w:val="auto"/>
        </w:rPr>
      </w:pPr>
    </w:p>
    <w:p>
      <w:pPr>
        <w:jc w:val="both"/>
        <w:ind w:left="720" w:firstLine="1494"/>
        <w:spacing w:after="0" w:line="261" w:lineRule="auto"/>
        <w:tabs>
          <w:tab w:leader="none" w:pos="24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9" w:lineRule="exact"/>
        <w:rPr>
          <w:rFonts w:ascii="Times New Roman" w:cs="Times New Roman" w:eastAsia="Times New Roman" w:hAnsi="Times New Roman"/>
          <w:sz w:val="18"/>
          <w:szCs w:val="18"/>
          <w:color w:val="auto"/>
        </w:rPr>
      </w:pPr>
    </w:p>
    <w:p>
      <w:pPr>
        <w:jc w:val="both"/>
        <w:ind w:left="720" w:firstLine="1494"/>
        <w:spacing w:after="0" w:line="252" w:lineRule="auto"/>
        <w:tabs>
          <w:tab w:leader="none" w:pos="248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w:t>
      </w:r>
    </w:p>
    <w:p>
      <w:pPr>
        <w:spacing w:after="0" w:line="5" w:lineRule="exact"/>
        <w:rPr>
          <w:rFonts w:ascii="Times New Roman" w:cs="Times New Roman" w:eastAsia="Times New Roman" w:hAnsi="Times New Roman"/>
          <w:sz w:val="18"/>
          <w:szCs w:val="18"/>
          <w:color w:val="auto"/>
        </w:rPr>
      </w:pPr>
    </w:p>
    <w:p>
      <w:pPr>
        <w:jc w:val="both"/>
        <w:ind w:left="720" w:hanging="3"/>
        <w:spacing w:after="0" w:line="255" w:lineRule="auto"/>
        <w:tabs>
          <w:tab w:leader="none" w:pos="10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2" w:name="page43"/>
    <w:bookmarkEnd w:id="42"/>
    <w:p>
      <w:pPr>
        <w:jc w:val="both"/>
        <w:ind w:left="720"/>
        <w:spacing w:after="0" w:line="253" w:lineRule="auto"/>
        <w:rPr>
          <w:sz w:val="20"/>
          <w:szCs w:val="20"/>
          <w:color w:val="auto"/>
        </w:rPr>
      </w:pPr>
      <w:r>
        <w:rPr>
          <w:rFonts w:ascii="Times New Roman" w:cs="Times New Roman" w:eastAsia="Times New Roman" w:hAnsi="Times New Roman"/>
          <w:sz w:val="18"/>
          <w:szCs w:val="18"/>
          <w:color w:val="auto"/>
        </w:rPr>
        <w:t xml:space="preserve">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194" w:lineRule="exact"/>
        <w:rPr>
          <w:sz w:val="20"/>
          <w:szCs w:val="20"/>
          <w:color w:val="auto"/>
        </w:rPr>
      </w:pPr>
    </w:p>
    <w:p>
      <w:pPr>
        <w:jc w:val="both"/>
        <w:ind w:left="720" w:firstLine="1494"/>
        <w:spacing w:after="0" w:line="266" w:lineRule="auto"/>
        <w:tabs>
          <w:tab w:leader="none" w:pos="24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left="720" w:firstLine="1494"/>
        <w:spacing w:after="0" w:line="258" w:lineRule="auto"/>
        <w:tabs>
          <w:tab w:leader="none" w:pos="24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720" w:firstLine="1494"/>
        <w:spacing w:after="0" w:line="266" w:lineRule="auto"/>
        <w:tabs>
          <w:tab w:leader="none" w:pos="24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jc w:val="both"/>
        <w:ind w:left="720" w:firstLine="1494"/>
        <w:spacing w:after="0" w:line="266" w:lineRule="auto"/>
        <w:tabs>
          <w:tab w:leader="none" w:pos="25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any broker-dealer through which a Holder proposes to resell its Registrable Securities in effecting a filing with the FINRA Corporate Financing Department pursuant to FINRA Rule 5110, as requested by any such Holder, and the Company shall pay the filing fee required by such filing within two (2) Business Days of receipt of a request therefor.</w:t>
      </w:r>
    </w:p>
    <w:p>
      <w:pPr>
        <w:spacing w:after="0" w:line="175" w:lineRule="exact"/>
        <w:rPr>
          <w:rFonts w:ascii="Times New Roman" w:cs="Times New Roman" w:eastAsia="Times New Roman" w:hAnsi="Times New Roman"/>
          <w:sz w:val="18"/>
          <w:szCs w:val="18"/>
          <w:color w:val="auto"/>
        </w:rPr>
      </w:pPr>
    </w:p>
    <w:p>
      <w:pPr>
        <w:jc w:val="both"/>
        <w:ind w:left="720" w:firstLine="1494"/>
        <w:spacing w:after="0" w:line="254" w:lineRule="auto"/>
        <w:tabs>
          <w:tab w:leader="none" w:pos="24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jc w:val="both"/>
        <w:ind w:left="720" w:firstLine="1494"/>
        <w:spacing w:after="0" w:line="261" w:lineRule="auto"/>
        <w:tabs>
          <w:tab w:leader="none" w:pos="24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ind w:left="720" w:firstLine="1494"/>
        <w:spacing w:after="0" w:line="282" w:lineRule="auto"/>
        <w:tabs>
          <w:tab w:leader="none" w:pos="2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3" w:name="page44"/>
    <w:bookmarkEnd w:id="43"/>
    <w:p>
      <w:pPr>
        <w:jc w:val="both"/>
        <w:ind w:left="720"/>
        <w:spacing w:after="0" w:line="253" w:lineRule="auto"/>
        <w:rPr>
          <w:sz w:val="20"/>
          <w:szCs w:val="20"/>
          <w:color w:val="auto"/>
        </w:rPr>
      </w:pPr>
      <w:r>
        <w:rPr>
          <w:rFonts w:ascii="Times New Roman" w:cs="Times New Roman" w:eastAsia="Times New Roman" w:hAnsi="Times New Roman"/>
          <w:sz w:val="18"/>
          <w:szCs w:val="18"/>
          <w:color w:val="auto"/>
        </w:rPr>
        <w:t>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3(k) to suspend the availability of a Registration Statement and Prospectus, subject to the payment of partial liquidated damages otherwise required pursuant to Section 2(d), for the time periods set forth in, and subject to the payment of liquidated damages if so required pursuant to, Section 2(d) hereof.</w:t>
      </w:r>
    </w:p>
    <w:p>
      <w:pPr>
        <w:spacing w:after="0" w:line="192" w:lineRule="exact"/>
        <w:rPr>
          <w:sz w:val="20"/>
          <w:szCs w:val="20"/>
          <w:color w:val="auto"/>
        </w:rPr>
      </w:pPr>
    </w:p>
    <w:p>
      <w:pPr>
        <w:jc w:val="both"/>
        <w:ind w:left="720" w:firstLine="1494"/>
        <w:spacing w:after="0" w:line="256" w:lineRule="auto"/>
        <w:tabs>
          <w:tab w:leader="none" w:pos="24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720" w:firstLine="1494"/>
        <w:spacing w:after="0" w:line="282" w:lineRule="auto"/>
        <w:tabs>
          <w:tab w:leader="none" w:pos="25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obtain and maintain eligibility for use of Form F-3 (or any successor form thereto) for the registration of the resale of the Registrable Securities.</w:t>
      </w:r>
    </w:p>
    <w:p>
      <w:pPr>
        <w:spacing w:after="0" w:line="161" w:lineRule="exact"/>
        <w:rPr>
          <w:rFonts w:ascii="Times New Roman" w:cs="Times New Roman" w:eastAsia="Times New Roman" w:hAnsi="Times New Roman"/>
          <w:sz w:val="18"/>
          <w:szCs w:val="18"/>
          <w:color w:val="auto"/>
        </w:rPr>
      </w:pPr>
    </w:p>
    <w:p>
      <w:pPr>
        <w:jc w:val="both"/>
        <w:ind w:left="720" w:firstLine="1494"/>
        <w:spacing w:after="0" w:line="256" w:lineRule="auto"/>
        <w:tabs>
          <w:tab w:leader="none" w:pos="24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left="-40" w:firstLine="1505"/>
        <w:spacing w:after="0" w:line="252" w:lineRule="auto"/>
        <w:tabs>
          <w:tab w:leader="none" w:pos="16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shares of Common Stock are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if not previously paid by the Company with respect to any filing that may be required to be made by any broker through which a Holder intends to make sales of Registrable Securities with FINRA pursuant to FINRA Rule 5110,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responsible for any broker or similar commissions of any Holder or, except to the extent provided for in the Transaction Documents, any legal fees or other costs of the Holders.</w:t>
      </w:r>
    </w:p>
    <w:p>
      <w:pPr>
        <w:spacing w:after="0" w:line="162" w:lineRule="exact"/>
        <w:rPr>
          <w:sz w:val="20"/>
          <w:szCs w:val="20"/>
          <w:color w:val="auto"/>
        </w:rPr>
      </w:pPr>
    </w:p>
    <w:p>
      <w:pPr>
        <w:ind w:left="1680" w:hanging="175"/>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1494"/>
        <w:spacing w:after="0" w:line="251" w:lineRule="auto"/>
        <w:tabs>
          <w:tab w:leader="none" w:pos="251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in investigating, preparing or defending against any litigation, commence or threatened, or any claim,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4" w:lineRule="exact"/>
        <w:rPr>
          <w:rFonts w:ascii="Times New Roman" w:cs="Times New Roman" w:eastAsia="Times New Roman" w:hAnsi="Times New Roman"/>
          <w:sz w:val="18"/>
          <w:szCs w:val="18"/>
          <w:color w:val="auto"/>
        </w:rPr>
      </w:pPr>
    </w:p>
    <w:p>
      <w:pPr>
        <w:jc w:val="both"/>
        <w:ind w:left="760" w:firstLine="1494"/>
        <w:spacing w:after="0" w:line="253" w:lineRule="auto"/>
        <w:tabs>
          <w:tab w:leader="none" w:pos="251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Shareholder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both"/>
        <w:ind w:left="720"/>
        <w:spacing w:after="0" w:line="266" w:lineRule="auto"/>
        <w:rPr>
          <w:sz w:val="20"/>
          <w:szCs w:val="20"/>
          <w:color w:val="auto"/>
        </w:rPr>
      </w:pPr>
      <w:r>
        <w:rPr>
          <w:rFonts w:ascii="Times New Roman" w:cs="Times New Roman" w:eastAsia="Times New Roman" w:hAnsi="Times New Roman"/>
          <w:sz w:val="18"/>
          <w:szCs w:val="18"/>
          <w:color w:val="auto"/>
        </w:rPr>
        <w:t>(net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76" w:lineRule="exact"/>
        <w:rPr>
          <w:sz w:val="20"/>
          <w:szCs w:val="20"/>
          <w:color w:val="auto"/>
        </w:rPr>
      </w:pPr>
    </w:p>
    <w:p>
      <w:pPr>
        <w:jc w:val="both"/>
        <w:ind w:left="720" w:firstLine="1494"/>
        <w:spacing w:after="0" w:line="255" w:lineRule="auto"/>
        <w:tabs>
          <w:tab w:leader="none" w:pos="24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left="720" w:firstLine="749"/>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7" w:lineRule="exact"/>
        <w:rPr>
          <w:sz w:val="20"/>
          <w:szCs w:val="20"/>
          <w:color w:val="auto"/>
        </w:rPr>
      </w:pPr>
    </w:p>
    <w:p>
      <w:pPr>
        <w:jc w:val="both"/>
        <w:ind w:left="720" w:firstLine="749"/>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720" w:firstLine="1494"/>
        <w:spacing w:after="0" w:line="253" w:lineRule="auto"/>
        <w:tabs>
          <w:tab w:leader="none" w:pos="24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6" w:name="page47"/>
    <w:bookmarkEnd w:id="46"/>
    <w:p>
      <w:pPr>
        <w:ind w:left="720"/>
        <w:spacing w:after="0"/>
        <w:rPr>
          <w:sz w:val="20"/>
          <w:szCs w:val="20"/>
          <w:color w:val="auto"/>
        </w:rPr>
      </w:pPr>
      <w:r>
        <w:rPr>
          <w:rFonts w:ascii="Times New Roman" w:cs="Times New Roman" w:eastAsia="Times New Roman" w:hAnsi="Times New Roman"/>
          <w:sz w:val="18"/>
          <w:szCs w:val="18"/>
          <w:color w:val="auto"/>
        </w:rPr>
        <w:t>indemnified for such fees or expenses if the indemnification provided for in this Section was available to such party in accordance with its terms.</w:t>
      </w:r>
    </w:p>
    <w:p>
      <w:pPr>
        <w:spacing w:after="0" w:line="225" w:lineRule="exact"/>
        <w:rPr>
          <w:sz w:val="20"/>
          <w:szCs w:val="20"/>
          <w:color w:val="auto"/>
        </w:rPr>
      </w:pPr>
    </w:p>
    <w:p>
      <w:pPr>
        <w:jc w:val="both"/>
        <w:ind w:left="720" w:firstLine="749"/>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720" w:firstLine="749"/>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1640" w:hanging="175"/>
        <w:spacing w:after="0"/>
        <w:tabs>
          <w:tab w:leader="none" w:pos="1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20" w:firstLine="1494"/>
        <w:spacing w:after="0" w:line="256" w:lineRule="auto"/>
        <w:tabs>
          <w:tab w:leader="none" w:pos="24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jc w:val="both"/>
        <w:ind w:left="720" w:firstLine="1494"/>
        <w:spacing w:after="0" w:line="256" w:lineRule="auto"/>
        <w:tabs>
          <w:tab w:leader="none" w:pos="24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87" w:lineRule="exact"/>
        <w:rPr>
          <w:rFonts w:ascii="Times New Roman" w:cs="Times New Roman" w:eastAsia="Times New Roman" w:hAnsi="Times New Roman"/>
          <w:sz w:val="18"/>
          <w:szCs w:val="18"/>
          <w:color w:val="auto"/>
        </w:rPr>
      </w:pPr>
    </w:p>
    <w:p>
      <w:pPr>
        <w:jc w:val="both"/>
        <w:ind w:left="720" w:firstLine="1494"/>
        <w:spacing w:after="0" w:line="253" w:lineRule="auto"/>
        <w:tabs>
          <w:tab w:leader="none" w:pos="246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2(e).</w:t>
      </w:r>
    </w:p>
    <w:p>
      <w:pPr>
        <w:spacing w:after="0" w:line="2" w:lineRule="exact"/>
        <w:rPr>
          <w:rFonts w:ascii="Times New Roman" w:cs="Times New Roman" w:eastAsia="Times New Roman" w:hAnsi="Times New Roman"/>
          <w:sz w:val="18"/>
          <w:szCs w:val="18"/>
          <w:color w:val="auto"/>
        </w:rPr>
      </w:pPr>
    </w:p>
    <w:p>
      <w:pPr>
        <w:jc w:val="both"/>
        <w:ind w:left="720" w:firstLine="1494"/>
        <w:spacing w:after="0" w:line="268" w:lineRule="auto"/>
        <w:tabs>
          <w:tab w:leader="none" w:pos="2472"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Piggy Back Registrations</w:t>
      </w:r>
      <w:r>
        <w:rPr>
          <w:rFonts w:ascii="Times New Roman" w:cs="Times New Roman" w:eastAsia="Times New Roman" w:hAnsi="Times New Roman"/>
          <w:sz w:val="17"/>
          <w:szCs w:val="17"/>
          <w:color w:val="auto"/>
        </w:rPr>
        <w:t>.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the Holder a written notice of such determination and, if within fifteen (15) days after the date of the delivery of such notice, any such Holder shall so request in writing, the Company shall include in such registration statement all or any part of such Registrable Securities such Holder requests to be registered; provided, however, that the Company shall not be required to register any Registrable Securities pursuant to this Section 6(d) that are eligible for resale pursuant to Rule 144 (without volume restrictions or current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7" w:name="page48"/>
    <w:bookmarkEnd w:id="47"/>
    <w:p>
      <w:pPr>
        <w:ind w:left="720" w:right="20"/>
        <w:spacing w:after="0" w:line="282" w:lineRule="auto"/>
        <w:rPr>
          <w:sz w:val="20"/>
          <w:szCs w:val="20"/>
          <w:color w:val="auto"/>
        </w:rPr>
      </w:pPr>
      <w:r>
        <w:rPr>
          <w:rFonts w:ascii="Times New Roman" w:cs="Times New Roman" w:eastAsia="Times New Roman" w:hAnsi="Times New Roman"/>
          <w:sz w:val="18"/>
          <w:szCs w:val="18"/>
          <w:color w:val="auto"/>
        </w:rPr>
        <w:t>public information requirements) promulgated by the Commission pursuant to the Securities Act or that are the subject of a then effective Registration Statement.</w:t>
      </w:r>
    </w:p>
    <w:p>
      <w:pPr>
        <w:spacing w:after="0" w:line="162" w:lineRule="exact"/>
        <w:rPr>
          <w:sz w:val="20"/>
          <w:szCs w:val="20"/>
          <w:color w:val="auto"/>
        </w:rPr>
      </w:pPr>
    </w:p>
    <w:p>
      <w:pPr>
        <w:jc w:val="both"/>
        <w:ind w:left="720" w:firstLine="1494"/>
        <w:spacing w:after="0" w:line="252" w:lineRule="auto"/>
        <w:tabs>
          <w:tab w:leader="none" w:pos="24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rFonts w:ascii="Times New Roman" w:cs="Times New Roman" w:eastAsia="Times New Roman" w:hAnsi="Times New Roman"/>
          <w:sz w:val="18"/>
          <w:szCs w:val="18"/>
          <w:color w:val="auto"/>
        </w:rPr>
      </w:pPr>
    </w:p>
    <w:p>
      <w:pPr>
        <w:ind w:left="720" w:firstLine="1494"/>
        <w:spacing w:after="0" w:line="282" w:lineRule="auto"/>
        <w:tabs>
          <w:tab w:leader="none" w:pos="24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left="720" w:firstLine="1494"/>
        <w:spacing w:after="0" w:line="258" w:lineRule="auto"/>
        <w:tabs>
          <w:tab w:leader="none" w:pos="24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subject to any successor entity assuming in writing all of the obligations of the Company under this Agreement)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3" w:lineRule="exact"/>
        <w:rPr>
          <w:rFonts w:ascii="Times New Roman" w:cs="Times New Roman" w:eastAsia="Times New Roman" w:hAnsi="Times New Roman"/>
          <w:sz w:val="18"/>
          <w:szCs w:val="18"/>
          <w:color w:val="auto"/>
        </w:rPr>
      </w:pPr>
    </w:p>
    <w:p>
      <w:pPr>
        <w:jc w:val="both"/>
        <w:ind w:left="720" w:firstLine="1494"/>
        <w:spacing w:after="0" w:line="258" w:lineRule="auto"/>
        <w:tabs>
          <w:tab w:leader="none" w:pos="24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jc w:val="both"/>
        <w:ind w:left="720" w:firstLine="1494"/>
        <w:spacing w:after="0" w:line="256" w:lineRule="auto"/>
        <w:tabs>
          <w:tab w:leader="none" w:pos="24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87" w:lineRule="exact"/>
        <w:rPr>
          <w:rFonts w:ascii="Times New Roman" w:cs="Times New Roman" w:eastAsia="Times New Roman" w:hAnsi="Times New Roman"/>
          <w:sz w:val="18"/>
          <w:szCs w:val="18"/>
          <w:color w:val="auto"/>
        </w:rPr>
      </w:pPr>
    </w:p>
    <w:p>
      <w:pPr>
        <w:ind w:left="720" w:firstLine="1494"/>
        <w:spacing w:after="0" w:line="261" w:lineRule="auto"/>
        <w:tabs>
          <w:tab w:leader="none" w:pos="24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ind w:left="2460" w:hanging="246"/>
        <w:spacing w:after="0"/>
        <w:tabs>
          <w:tab w:leader="none" w:pos="2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law.</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8" w:name="page49"/>
    <w:bookmarkEnd w:id="48"/>
    <w:p>
      <w:pPr>
        <w:jc w:val="both"/>
        <w:ind w:left="720" w:firstLine="1494"/>
        <w:spacing w:after="0" w:line="256" w:lineRule="auto"/>
        <w:tabs>
          <w:tab w:leader="none" w:pos="24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720" w:right="20" w:firstLine="1494"/>
        <w:spacing w:after="0" w:line="282" w:lineRule="auto"/>
        <w:tabs>
          <w:tab w:leader="none" w:pos="25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left="720" w:firstLine="1494"/>
        <w:spacing w:after="0" w:line="253" w:lineRule="auto"/>
        <w:tabs>
          <w:tab w:leader="none" w:pos="24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200" w:lineRule="exact"/>
        <w:rPr>
          <w:sz w:val="20"/>
          <w:szCs w:val="20"/>
          <w:color w:val="auto"/>
        </w:rPr>
      </w:pPr>
    </w:p>
    <w:p>
      <w:pPr>
        <w:spacing w:after="0" w:line="20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7" w:right="339" w:bottom="1440" w:gutter="0" w:footer="0" w:header="0"/>
        </w:sectPr>
      </w:pPr>
    </w:p>
    <w:bookmarkStart w:id="49" w:name="page50"/>
    <w:bookmarkEnd w:id="49"/>
    <w:p>
      <w:pPr>
        <w:ind w:left="72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3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-1905</wp:posOffset>
            </wp:positionV>
            <wp:extent cx="32061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18"/>
          <w:szCs w:val="18"/>
          <w:color w:val="auto"/>
        </w:rPr>
        <w:t>Na</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me</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le:</w:t>
      </w:r>
    </w:p>
    <w:p>
      <w:pPr>
        <w:spacing w:after="0" w:line="200" w:lineRule="exact"/>
        <w:rPr>
          <w:sz w:val="20"/>
          <w:szCs w:val="20"/>
          <w:color w:val="auto"/>
        </w:rPr>
      </w:pPr>
    </w:p>
    <w:p>
      <w:pPr>
        <w:spacing w:after="0" w:line="2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568325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17" w:right="1440" w:bottom="1440" w:gutter="0" w:footer="0" w:header="0"/>
        </w:sectPr>
      </w:pPr>
    </w:p>
    <w:bookmarkStart w:id="50" w:name="page51"/>
    <w:bookmarkEnd w:id="50"/>
    <w:p>
      <w:pPr>
        <w:ind w:left="3620"/>
        <w:spacing w:after="0"/>
        <w:rPr>
          <w:sz w:val="20"/>
          <w:szCs w:val="20"/>
          <w:color w:val="auto"/>
        </w:rPr>
      </w:pPr>
      <w:r>
        <w:rPr>
          <w:rFonts w:ascii="Times New Roman" w:cs="Times New Roman" w:eastAsia="Times New Roman" w:hAnsi="Times New Roman"/>
          <w:sz w:val="18"/>
          <w:szCs w:val="18"/>
          <w:color w:val="auto"/>
        </w:rPr>
        <w:t>[SIGNATURE PAGE OF HOLDERS TO RZLV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Each Selling Shareholder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0" w:lineRule="exact"/>
        <w:rPr>
          <w:sz w:val="20"/>
          <w:szCs w:val="20"/>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20" w:hanging="237"/>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920" w:right="20" w:hanging="237"/>
        <w:spacing w:after="0" w:line="282" w:lineRule="auto"/>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Selling Shareholders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has informed the Company that it does not have any written or oral agreement or understanding, directly or indirectly, with any person to distribute the securities.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shares of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SELLING SHAREHOLDERS</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shares of Common Stock being offered by the selling shareholders are those previously issued to the selling shareholders. For additional information regarding the issuances of those shares of Common Stock, see “Private Placement”. We are registering the shares of Common Stock in order to permit the selling shareholders to offer the shares for resale from time to time. Except for the ownership of the shares of common stock and warrants, the selling shareholders have not had any material relationship with us within the past three years.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as of ________,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generally covers the resale of the sum of the number of shares of common stock issued to the selling stockholders in the “Private Placement” described in the Purchase Agreement. The fourth column assumes the sale of all of the shares offered by the selling stockholders pursuant to this prospectus.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4160" w:type="dxa"/>
            <w:vAlign w:val="bottom"/>
          </w:tcPr>
          <w:p>
            <w:pPr>
              <w:spacing w:after="0"/>
              <w:rPr>
                <w:sz w:val="18"/>
                <w:szCs w:val="18"/>
                <w:color w:val="auto"/>
              </w:rPr>
            </w:pP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Common Stock Owned Prior</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 Stock to be Sold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Owned After</w:t>
            </w:r>
          </w:p>
        </w:tc>
      </w:tr>
      <w:tr>
        <w:trPr>
          <w:trHeight w:val="245"/>
        </w:trPr>
        <w:tc>
          <w:tcPr>
            <w:tcW w:w="4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Offering</w:t>
            </w: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 Notice and Questionnaire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shares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Rezolve AI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shareholder in the Registration Statement and the related prospectus. Accordingly, holders and beneficial owners of Registrable Securities are advised to consult their own securities law counsel regarding the consequences of being named or not being named as a selling shareholder in the Registration Statement and the related prospectus.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QUESTIONNAIRE</w:t>
      </w:r>
    </w:p>
    <w:p>
      <w:pPr>
        <w:spacing w:after="0" w:line="225" w:lineRule="exact"/>
        <w:rPr>
          <w:sz w:val="20"/>
          <w:szCs w:val="20"/>
          <w:color w:val="auto"/>
        </w:rPr>
      </w:pPr>
    </w:p>
    <w:p>
      <w:pPr>
        <w:ind w:left="880" w:hanging="872"/>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80" w:hanging="335"/>
        <w:spacing w:after="0"/>
        <w:tabs>
          <w:tab w:leader="none" w:pos="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-1273810</wp:posOffset>
            </wp:positionV>
            <wp:extent cx="67036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-442595</wp:posOffset>
            </wp:positionV>
            <wp:extent cx="67036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525780</wp:posOffset>
            </wp:positionV>
            <wp:extent cx="6703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ind w:left="880" w:hanging="872"/>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859790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154305</wp:posOffset>
            </wp:positionV>
            <wp:extent cx="6060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880" w:hanging="872"/>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00" w:lineRule="exact"/>
        <w:rPr>
          <w:rFonts w:ascii="Times New Roman" w:cs="Times New Roman" w:eastAsia="Times New Roman" w:hAnsi="Times New Roman"/>
          <w:sz w:val="18"/>
          <w:szCs w:val="18"/>
          <w:b w:val="1"/>
          <w:bCs w:val="1"/>
          <w:color w:val="auto"/>
        </w:rPr>
      </w:pPr>
    </w:p>
    <w:p>
      <w:pPr>
        <w:spacing w:after="0" w:line="245" w:lineRule="exact"/>
        <w:rPr>
          <w:rFonts w:ascii="Times New Roman" w:cs="Times New Roman" w:eastAsia="Times New Roman" w:hAnsi="Times New Roman"/>
          <w:sz w:val="18"/>
          <w:szCs w:val="18"/>
          <w:b w:val="1"/>
          <w:bCs w:val="1"/>
          <w:color w:val="auto"/>
        </w:rPr>
      </w:pPr>
    </w:p>
    <w:p>
      <w:pPr>
        <w:ind w:left="680" w:hanging="335"/>
        <w:spacing w:after="0"/>
        <w:tabs>
          <w:tab w:leader="none" w:pos="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If “no” to Section 3(b), the Commission’s staff has indicated that you should be identified as an underwriter in the Registration Statement.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400"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ind w:left="680" w:hanging="335"/>
        <w:spacing w:after="0" w:line="26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35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If “no” to Section 3(d), the Commission’s staff has indicated that you should be identified as an underwriter in the Registration Statement.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w:t>
      </w:r>
    </w:p>
    <w:p>
      <w:pPr>
        <w:spacing w:after="0" w:line="203" w:lineRule="exact"/>
        <w:rPr>
          <w:sz w:val="20"/>
          <w:szCs w:val="20"/>
          <w:color w:val="auto"/>
        </w:rPr>
      </w:pPr>
    </w:p>
    <w:p>
      <w:pPr>
        <w:ind w:left="880" w:hanging="872"/>
        <w:spacing w:after="0"/>
        <w:tabs>
          <w:tab w:leader="none" w:pos="8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Shareholder.</w:t>
      </w:r>
    </w:p>
    <w:p>
      <w:pPr>
        <w:spacing w:after="0" w:line="227" w:lineRule="exact"/>
        <w:rPr>
          <w:sz w:val="20"/>
          <w:szCs w:val="20"/>
          <w:color w:val="auto"/>
        </w:rPr>
      </w:pPr>
    </w:p>
    <w:p>
      <w:pPr>
        <w:ind w:left="7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194" w:lineRule="exact"/>
        <w:rPr>
          <w:sz w:val="20"/>
          <w:szCs w:val="20"/>
          <w:color w:val="auto"/>
        </w:rPr>
      </w:pPr>
    </w:p>
    <w:p>
      <w:pPr>
        <w:ind w:left="680" w:hanging="335"/>
        <w:spacing w:after="0"/>
        <w:tabs>
          <w:tab w:leader="none" w:pos="6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Shareholder: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8"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-545465</wp:posOffset>
            </wp:positionV>
            <wp:extent cx="67036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-399415</wp:posOffset>
            </wp:positionV>
            <wp:extent cx="67036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7"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291465</wp:posOffset>
            </wp:positionV>
            <wp:extent cx="6917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437515</wp:posOffset>
            </wp:positionV>
            <wp:extent cx="6917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37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FAX A COPY (OR EMAIL A .PDF COPY) OF THE COMPLETED AND EXECUTED NOTICE AND QUESTIONNAIRE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1622096609.1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Letter"/>
      <w:start w:val="1"/>
    </w:lvl>
  </w:abstractNum>
  <w:abstractNum w:abstractNumId="1">
    <w:nsid w:val="2901D82"/>
    <w:multiLevelType w:val="hybridMultilevel"/>
    <w:lvl w:ilvl="0">
      <w:lvlJc w:val="left"/>
      <w:lvlText w:val="(%1)"/>
      <w:numFmt w:val="lowerLetter"/>
      <w:start w:val="9"/>
    </w:lvl>
  </w:abstractNum>
  <w:abstractNum w:abstractNumId="2">
    <w:nsid w:val="3A95F874"/>
    <w:multiLevelType w:val="hybridMultilevel"/>
    <w:lvl w:ilvl="0">
      <w:lvlJc w:val="left"/>
      <w:lvlText w:val="(%1)"/>
      <w:numFmt w:val="lowerRoman"/>
      <w:start w:val="2"/>
    </w:lvl>
  </w:abstractNum>
  <w:abstractNum w:abstractNumId="3">
    <w:nsid w:val="8138641"/>
    <w:multiLevelType w:val="hybridMultilevel"/>
    <w:lvl w:ilvl="0">
      <w:lvlJc w:val="left"/>
      <w:lvlText w:val="1"/>
      <w:numFmt w:val="bullet"/>
      <w:start w:val="1"/>
    </w:lvl>
  </w:abstractNum>
  <w:abstractNum w:abstractNumId="4">
    <w:nsid w:val="1E7FF521"/>
    <w:multiLevelType w:val="hybridMultilevel"/>
    <w:lvl w:ilvl="0">
      <w:lvlJc w:val="left"/>
      <w:lvlText w:val="(%1)"/>
      <w:numFmt w:val="lowerRoman"/>
      <w:start w:val="4"/>
    </w:lvl>
  </w:abstractNum>
  <w:abstractNum w:abstractNumId="5">
    <w:nsid w:val="7C3DBD3D"/>
    <w:multiLevelType w:val="hybridMultilevel"/>
    <w:lvl w:ilvl="0">
      <w:lvlJc w:val="left"/>
      <w:lvlText w:val="(%1)"/>
      <w:numFmt w:val="lowerRoman"/>
      <w:start w:val="1"/>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Letter"/>
      <w:start w:val="5"/>
    </w:lvl>
  </w:abstractNum>
  <w:abstractNum w:abstractNumId="10">
    <w:nsid w:val="3006C83E"/>
    <w:multiLevelType w:val="hybridMultilevel"/>
    <w:lvl w:ilvl="0">
      <w:lvlJc w:val="left"/>
      <w:lvlText w:val="(%1)"/>
      <w:numFmt w:val="lowerLetter"/>
      <w:start w:val="8"/>
    </w:lvl>
  </w:abstractNum>
  <w:abstractNum w:abstractNumId="11">
    <w:nsid w:val="614FD4A1"/>
    <w:multiLevelType w:val="hybridMultilevel"/>
    <w:lvl w:ilvl="0">
      <w:lvlJc w:val="left"/>
      <w:lvlText w:val="(%1)"/>
      <w:numFmt w:val="lowerLetter"/>
      <w:start w:val="12"/>
    </w:lvl>
  </w:abstractNum>
  <w:abstractNum w:abstractNumId="12">
    <w:nsid w:val="419AC241"/>
    <w:multiLevelType w:val="hybridMultilevel"/>
    <w:lvl w:ilvl="0">
      <w:lvlJc w:val="left"/>
      <w:lvlText w:val="(%1)"/>
      <w:numFmt w:val="lowerLetter"/>
      <w:start w:val="17"/>
    </w:lvl>
  </w:abstractNum>
  <w:abstractNum w:abstractNumId="13">
    <w:nsid w:val="5577F8E1"/>
    <w:multiLevelType w:val="hybridMultilevel"/>
    <w:lvl w:ilvl="0">
      <w:lvlJc w:val="left"/>
      <w:lvlText w:val="(%1)"/>
      <w:numFmt w:val="lowerLetter"/>
      <w:start w:val="21"/>
    </w:lvl>
  </w:abstractNum>
  <w:abstractNum w:abstractNumId="14">
    <w:nsid w:val="440BADFC"/>
    <w:multiLevelType w:val="hybridMultilevel"/>
    <w:lvl w:ilvl="0">
      <w:lvlJc w:val="left"/>
      <w:lvlText w:val="2"/>
      <w:numFmt w:val="bullet"/>
      <w:start w:val="1"/>
    </w:lvl>
  </w:abstractNum>
  <w:abstractNum w:abstractNumId="15">
    <w:nsid w:val="5072367"/>
    <w:multiLevelType w:val="hybridMultilevel"/>
    <w:lvl w:ilvl="0">
      <w:lvlJc w:val="left"/>
      <w:lvlText w:val="(%1)"/>
      <w:numFmt w:val="lowerLetter"/>
      <w:start w:val="27"/>
    </w:lvl>
  </w:abstractNum>
  <w:abstractNum w:abstractNumId="16">
    <w:nsid w:val="3804823E"/>
    <w:multiLevelType w:val="hybridMultilevel"/>
    <w:lvl w:ilvl="0">
      <w:lvlJc w:val="left"/>
      <w:lvlText w:val="%1"/>
      <w:numFmt w:val="lowerRoman"/>
      <w:start w:val="1"/>
    </w:lvl>
    <w:lvl w:ilvl="1">
      <w:lvlJc w:val="left"/>
      <w:lvlText w:val="(%2)"/>
      <w:numFmt w:val="lowerRoman"/>
      <w:start w:val="2"/>
    </w:lvl>
  </w:abstractNum>
  <w:abstractNum w:abstractNumId="17">
    <w:nsid w:val="77465F01"/>
    <w:multiLevelType w:val="hybridMultilevel"/>
    <w:lvl w:ilvl="0">
      <w:lvlJc w:val="left"/>
      <w:lvlText w:val="(%1)"/>
      <w:numFmt w:val="lowerRoman"/>
      <w:start w:val="4"/>
    </w:lvl>
    <w:lvl w:ilvl="1">
      <w:lvlJc w:val="left"/>
      <w:lvlText w:val="%2"/>
      <w:numFmt w:val="lowerRoman"/>
      <w:start w:val="1"/>
    </w:lvl>
  </w:abstractNum>
  <w:abstractNum w:abstractNumId="18">
    <w:nsid w:val="7724C67E"/>
    <w:multiLevelType w:val="hybridMultilevel"/>
    <w:lvl w:ilvl="0">
      <w:lvlJc w:val="left"/>
      <w:lvlText w:val="(%1)"/>
      <w:numFmt w:val="lowerLetter"/>
      <w:start w:val="36"/>
    </w:lvl>
  </w:abstractNum>
  <w:abstractNum w:abstractNumId="19">
    <w:nsid w:val="5C482A97"/>
    <w:multiLevelType w:val="hybridMultilevel"/>
    <w:lvl w:ilvl="0">
      <w:lvlJc w:val="left"/>
      <w:lvlText w:val="(%1)"/>
      <w:numFmt w:val="lowerLetter"/>
      <w:start w:val="39"/>
    </w:lvl>
  </w:abstractNum>
  <w:abstractNum w:abstractNumId="20">
    <w:nsid w:val="2463B9EA"/>
    <w:multiLevelType w:val="hybridMultilevel"/>
    <w:lvl w:ilvl="0">
      <w:lvlJc w:val="left"/>
      <w:lvlText w:val="%1"/>
      <w:numFmt w:val="lowerLetter"/>
      <w:start w:val="1"/>
    </w:lvl>
    <w:lvl w:ilvl="1">
      <w:lvlJc w:val="left"/>
      <w:lvlText w:val="(%2)"/>
      <w:numFmt w:val="lowerLetter"/>
      <w:start w:val="45"/>
    </w:lvl>
  </w:abstractNum>
  <w:abstractNum w:abstractNumId="21">
    <w:nsid w:val="5E884ADC"/>
    <w:multiLevelType w:val="hybridMultilevel"/>
    <w:lvl w:ilvl="0">
      <w:lvlJc w:val="left"/>
      <w:lvlText w:val="(%1)"/>
      <w:numFmt w:val="lowerLetter"/>
      <w:start w:val="9"/>
    </w:lvl>
    <w:lvl w:ilvl="1">
      <w:lvlJc w:val="left"/>
      <w:lvlText w:val="%2"/>
      <w:numFmt w:val="lowerLetter"/>
      <w:start w:val="1"/>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Letter"/>
      <w:start w:val="4"/>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lvl w:ilvl="1">
      <w:lvlJc w:val="left"/>
      <w:lvlText w:val="(%2)"/>
      <w:numFmt w:val="lowerLetter"/>
      <w:start w:val="3"/>
    </w:lvl>
  </w:abstractNum>
  <w:abstractNum w:abstractNumId="26">
    <w:nsid w:val="3855585C"/>
    <w:multiLevelType w:val="hybridMultilevel"/>
    <w:lvl w:ilvl="0">
      <w:lvlJc w:val="left"/>
      <w:lvlText w:val="(%1)"/>
      <w:numFmt w:val="lowerLetter"/>
      <w:start w:val="35"/>
    </w:lvl>
    <w:lvl w:ilvl="1">
      <w:lvlJc w:val="left"/>
      <w:lvlText w:val="%2"/>
      <w:numFmt w:val="lowerLetter"/>
      <w:start w:val="1"/>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3"/>
      <w:numFmt w:val="bullet"/>
      <w:start w:val="1"/>
    </w:lvl>
  </w:abstractNum>
  <w:abstractNum w:abstractNumId="29">
    <w:nsid w:val="2A487CB0"/>
    <w:multiLevelType w:val="hybridMultilevel"/>
    <w:lvl w:ilvl="0">
      <w:lvlJc w:val="left"/>
      <w:lvlText w:val="(%1)"/>
      <w:numFmt w:val="lowerRoman"/>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2"/>
    </w:lvl>
    <w:lvl w:ilvl="1">
      <w:lvlJc w:val="left"/>
      <w:lvlText w:val="(%2)"/>
      <w:numFmt w:val="lowerLetter"/>
      <w:start w:val="1"/>
    </w:lvl>
  </w:abstractNum>
  <w:abstractNum w:abstractNumId="32">
    <w:nsid w:val="2CD89A32"/>
    <w:multiLevelType w:val="hybridMultilevel"/>
    <w:lvl w:ilvl="0">
      <w:lvlJc w:val="left"/>
      <w:lvlText w:val="(%1)"/>
      <w:numFmt w:val="lowerLetter"/>
      <w:start w:val="2"/>
    </w:lvl>
    <w:lvl w:ilvl="1">
      <w:lvlJc w:val="left"/>
      <w:lvlText w:val="(%2)"/>
      <w:numFmt w:val="lowerRoman"/>
      <w:start w:val="1"/>
    </w:lvl>
  </w:abstractNum>
  <w:abstractNum w:abstractNumId="33">
    <w:nsid w:val="57E4CCAF"/>
    <w:multiLevelType w:val="hybridMultilevel"/>
    <w:lvl w:ilvl="0">
      <w:lvlJc w:val="left"/>
      <w:lvlText w:val="%1"/>
      <w:numFmt w:val="lowerLetter"/>
      <w:start w:val="1"/>
    </w:lvl>
    <w:lvl w:ilvl="1">
      <w:lvlJc w:val="left"/>
      <w:lvlText w:val="(%2)"/>
      <w:numFmt w:val="lowerLetter"/>
      <w:start w:val="4"/>
    </w:lvl>
  </w:abstractNum>
  <w:abstractNum w:abstractNumId="34">
    <w:nsid w:val="7A6D8D3C"/>
    <w:multiLevelType w:val="hybridMultilevel"/>
    <w:lvl w:ilvl="0">
      <w:lvlJc w:val="left"/>
      <w:lvlText w:val="(%1)"/>
      <w:numFmt w:val="lowerLetter"/>
      <w:start w:val="9"/>
    </w:lvl>
    <w:lvl w:ilvl="1">
      <w:lvlJc w:val="left"/>
      <w:lvlText w:val="(%2)"/>
      <w:numFmt w:val="lowerLetter"/>
      <w:start w:val="6"/>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Roman"/>
      <w:start w:val="1"/>
    </w:lvl>
    <w:lvl w:ilvl="1">
      <w:lvlJc w:val="left"/>
      <w:lvlText w:val="(%2)"/>
      <w:numFmt w:val="lowerLetter"/>
      <w:start w:val="2"/>
    </w:lvl>
  </w:abstractNum>
  <w:abstractNum w:abstractNumId="38">
    <w:nsid w:val="38437FDB"/>
    <w:multiLevelType w:val="hybridMultilevel"/>
    <w:lvl w:ilvl="0">
      <w:lvlJc w:val="left"/>
      <w:lvlText w:val="(%1)"/>
      <w:numFmt w:val="lowerRoman"/>
      <w:start w:val="4"/>
    </w:lvl>
    <w:lvl w:ilvl="1">
      <w:lvlJc w:val="left"/>
      <w:lvlText w:val="%2"/>
      <w:numFmt w:val="lowerLetter"/>
      <w:start w:val="1"/>
    </w:lvl>
  </w:abstractNum>
  <w:abstractNum w:abstractNumId="39">
    <w:nsid w:val="7644A45C"/>
    <w:multiLevelType w:val="hybridMultilevel"/>
    <w:lvl w:ilvl="0">
      <w:lvlJc w:val="left"/>
      <w:lvlText w:val="(%1)"/>
      <w:numFmt w:val="lowerLetter"/>
      <w:start w:val="5"/>
    </w:lvl>
  </w:abstractNum>
  <w:abstractNum w:abstractNumId="40">
    <w:nsid w:val="32FFF902"/>
    <w:multiLevelType w:val="hybridMultilevel"/>
    <w:lvl w:ilvl="0">
      <w:lvlJc w:val="left"/>
      <w:lvlText w:val="%1"/>
      <w:numFmt w:val="decimal"/>
      <w:start w:val="1"/>
    </w:lvl>
    <w:lvl w:ilvl="1">
      <w:lvlJc w:val="left"/>
      <w:lvlText w:val="(%2)"/>
      <w:numFmt w:val="lowerLetter"/>
      <w:start w:val="12"/>
    </w:lvl>
  </w:abstractNum>
  <w:abstractNum w:abstractNumId="41">
    <w:nsid w:val="684A481A"/>
    <w:multiLevelType w:val="hybridMultilevel"/>
    <w:lvl w:ilvl="0">
      <w:lvlJc w:val="left"/>
      <w:lvlText w:val="%1."/>
      <w:numFmt w:val="decimal"/>
      <w:start w:val="4"/>
    </w:lvl>
    <w:lvl w:ilvl="1">
      <w:lvlJc w:val="left"/>
      <w:lvlText w:val="%2"/>
      <w:numFmt w:val="lowerLetter"/>
      <w:start w:val="1"/>
    </w:lvl>
  </w:abstractNum>
  <w:abstractNum w:abstractNumId="42">
    <w:nsid w:val="579478FE"/>
    <w:multiLevelType w:val="hybridMultilevel"/>
    <w:lvl w:ilvl="0">
      <w:lvlJc w:val="left"/>
      <w:lvlText w:val="%1."/>
      <w:numFmt w:val="decimal"/>
      <w:start w:val="5"/>
    </w:lvl>
    <w:lvl w:ilvl="1">
      <w:lvlJc w:val="left"/>
      <w:lvlText w:val="(%2)"/>
      <w:numFmt w:val="lowerLetter"/>
      <w:start w:val="1"/>
    </w:lvl>
  </w:abstractNum>
  <w:abstractNum w:abstractNumId="43">
    <w:nsid w:val="749ABB43"/>
    <w:multiLevelType w:val="hybridMultilevel"/>
    <w:lvl w:ilvl="0">
      <w:lvlJc w:val="left"/>
      <w:lvlText w:val="(%1)"/>
      <w:numFmt w:val="lowerLetter"/>
      <w:start w:val="3"/>
    </w:lvl>
  </w:abstractNum>
  <w:abstractNum w:abstractNumId="44">
    <w:nsid w:val="3DC240FB"/>
    <w:multiLevelType w:val="hybridMultilevel"/>
    <w:lvl w:ilvl="0">
      <w:lvlJc w:val="left"/>
      <w:lvlText w:val="(%1)"/>
      <w:numFmt w:val="lowerLetter"/>
      <w:start w:val="4"/>
    </w:lvl>
  </w:abstractNum>
  <w:abstractNum w:abstractNumId="45">
    <w:nsid w:val="1BA026FA"/>
    <w:multiLevelType w:val="hybridMultilevel"/>
    <w:lvl w:ilvl="0">
      <w:lvlJc w:val="left"/>
      <w:lvlText w:val="%1."/>
      <w:numFmt w:val="decimal"/>
      <w:start w:val="6"/>
    </w:lvl>
    <w:lvl w:ilvl="1">
      <w:lvlJc w:val="left"/>
      <w:lvlText w:val="(%2)"/>
      <w:numFmt w:val="lowerLetter"/>
      <w:start w:val="1"/>
    </w:lvl>
  </w:abstractNum>
  <w:abstractNum w:abstractNumId="46">
    <w:nsid w:val="79A1DEAA"/>
    <w:multiLevelType w:val="hybridMultilevel"/>
    <w:lvl w:ilvl="0">
      <w:lvlJc w:val="left"/>
      <w:lvlText w:val="(%1)"/>
      <w:numFmt w:val="lowerLetter"/>
      <w:start w:val="5"/>
    </w:lvl>
  </w:abstractNum>
  <w:abstractNum w:abstractNumId="47">
    <w:nsid w:val="75C6C33A"/>
    <w:multiLevelType w:val="hybridMultilevel"/>
    <w:lvl w:ilvl="0">
      <w:lvlJc w:val="left"/>
      <w:lvlText w:val="(%1)"/>
      <w:numFmt w:val="lowerLetter"/>
      <w:start w:val="12"/>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1."/>
      <w:numFmt w:val="decimal"/>
      <w:start w:val="3"/>
    </w:lvl>
    <w:lvl w:ilvl="1">
      <w:lvlJc w:val="left"/>
      <w:lvlText w:val="(%2)"/>
      <w:numFmt w:val="lowerLetter"/>
      <w:start w:val="1"/>
    </w:lvl>
  </w:abstractNum>
  <w:abstractNum w:abstractNumId="52">
    <w:nsid w:val="4F4EF005"/>
    <w:multiLevelType w:val="hybridMultilevel"/>
    <w:lvl w:ilvl="0">
      <w:lvlJc w:val="left"/>
      <w:lvlText w:val="(%1)"/>
      <w:numFmt w:val="lowerLetter"/>
      <w:start w:val="4"/>
    </w:lvl>
  </w:abstractNum>
  <w:abstractNum w:abstractNumId="53">
    <w:nsid w:val="23F9C13C"/>
    <w:multiLevelType w:val="hybridMultilevel"/>
    <w:lvl w:ilvl="0">
      <w:lvlJc w:val="left"/>
      <w:lvlText w:val="%1."/>
      <w:numFmt w:val="decimal"/>
      <w:start w:val="4"/>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2025-07-25T15:31:06Z</dcterms:created>
  <dcterms:modified xsi:type="dcterms:W3CDTF">2025-07-25T15:31:06Z</dcterms:modified>
</cp:coreProperties>
</file>