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pro_supp_nov_2025.htm"/>
      <w:bookmarkStart w:id="1" w:name="kspro_supp_nov_2025"/>
      <w:bookmarkEnd w:id="0"/>
      <w:bookmarkEnd w:id="1"/>
      <w:r>
        <w:rPr/>
        <w:t> </w:t>
      </w:r>
    </w:p>
    <w:p>
      <w:pPr>
        <w:pStyle w:val="TextBody"/>
        <w:bidi w:val="0"/>
        <w:jc w:val="left"/>
        <w:rPr>
          <w:rFonts w:ascii="Times New Roman" w:hAnsi="Times New Roman"/>
          <w:sz w:val="20"/>
        </w:rPr>
      </w:pPr>
      <w:r>
        <w:rPr>
          <w:rFonts w:ascii="Times New Roman" w:hAnsi="Times New Roman"/>
          <w:b/>
          <w:color w:val="000000"/>
          <w:sz w:val="20"/>
        </w:rPr>
        <w:t>Prospectus Supplement No. 2 Filed Pursuant to Rule 424(b)(7)</w:t>
        <w:br/>
        <w:t>(to Prospectus dated September 30, 2025) Registration No. 333-290523</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Up to 7,499,994 Ordinary Shares </w:t>
      </w:r>
      <w:r>
        <w:rPr>
          <w:rFonts w:ascii="Times New Roman" w:hAnsi="Times New Roman"/>
          <w:b/>
          <w:i/>
          <w:color w:val="000000"/>
          <w:sz w:val="20"/>
        </w:rPr>
        <w:t>(for issuance)</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Up to 164,775,654 Ordinary Shares </w:t>
      </w:r>
      <w:r>
        <w:rPr>
          <w:rFonts w:ascii="Times New Roman" w:hAnsi="Times New Roman"/>
          <w:b/>
          <w:i/>
          <w:color w:val="000000"/>
          <w:sz w:val="20"/>
        </w:rPr>
        <w:t>(for resale)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prospectus supplement (this “Supplement No. 2”) updates and supplements the prospectus dated September 30, 2025 (as supplemented, the “Prospectus”), which forms a part of our Registration Statement on Form F-3 (Registration No. 333-290523). This Supplement No. 2 is being filed to supplement the information in the Prospectus related to the selling securityholders table in the Prospectus to reflect, among other things, (i) the sale by Sir David Wright of 250,000 ordinary shares, par value £0.0001 (“Ordinary Shares”), to DBLP Sea Cow Limited; and (2) the sale of 150,000 Ordinary Shares by Anthony Sharp.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relates to the previous registration for issuance by us of up to 7,499,994 Ordinary Shares issuable upon the exercise of public warrants to purchase Ordinary Shares at a price of $11.50 per share (“Public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Prospectus also relates to previous registration for resale, from time to time, by the selling security holders named herein (the “Selling Holders”) of an aggregate of up to 164,775,654 Ordinary Shares issued or issuable to the Selling Holders, as described in the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Supplement No. 2 updates and supplements the information in the Prospectus and is not complete without, and may not be delivered or utilized except in combination with, the Prospectus, including any amendments or supplements thereto. This Supplement No. 1 should be read in conjunction with the Prospectus and if there is any inconsistency between the information in the Prospectus and this Supplement No. 2, you should rely on the information in this Supplement No. 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Ordinary Shares and the Public Warrants are traded on The Nasdaq Stock Market LLC (“Nasdaq”) under the symbols “RZLV” and “RZLVW,”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Investing in our securities involves risks. See </w:t>
      </w:r>
      <w:r>
        <w:rPr>
          <w:rFonts w:ascii="Times New Roman" w:hAnsi="Times New Roman"/>
          <w:color w:val="000000"/>
          <w:sz w:val="20"/>
        </w:rPr>
        <w:t>“</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beginning on page 8 of the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 of the U.S. Securities and Exchange Commission or any state securities commission has approved or disapproved of the securities to be issued under the Prospectus or this Supplement No. 2 or determined if this prospectus is accurate or adequate. Any representation to the contrary is a criminal offense.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date of this prospectus supplement is November 7,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SELLING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prospectus relates to the resale by certain of the Selling Holders of up to 164,775,654 Ordinary Shares, consisting of (i) 95,384,522 Ordinary Shares; (ii ) 569,982 Ordinary Shares underlying the Private Warrants; (iii) 23,074,054 Ordinary Shares issued upon conversion of the Convertible Notes; (iv) 15,207,479 Ordinary Shares issued upon conversion of the Advance Subscriptions; (v) 695,033 Ordinary Shares issued upon the conversion of the Promissory Notes; (vi) 3,043,735 Ordinary Shares issuable upon conversion of the Cohen Note; (vii) 5,027,508 Ordinary Shares issuable upon conversion of the J.V.B. Note; (viii) 2,760,848 Ordinary Shares issued in connection with the Bluedot Acquisition; (ix) 3,986,531 Ordinary Shares issued in connection with the GroupBy Acquisition; (x) 5,857,143 Ordinary Shares issuable to WAB; (xi) 89,290 Ordinary Shares issuable to Roth Capital Partners, LLC as transaction-based compensation for the performance of advisory services rendered to the Company in connection with the Business Combination; (xii) 300,000 Ordinary Shares issued to Radio Group Holding GmbH and certain other holders in connection with the settlement of an agreement; (xiii) 800,000 Ordinary Shares issued to DBLP in connection with the DBLP Settlement Agreement; and (xiv) 7,979,499 Ordinary Shares issued in connection with the PIPE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30, 2025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business address of each of the following owners is 21 Sackville Street, London, United Kingdom, W1S 3DN.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8"/>
        <w:gridCol w:w="1934"/>
        <w:gridCol w:w="1904"/>
        <w:gridCol w:w="2402"/>
        <w:gridCol w:w="1797"/>
      </w:tblGrid>
      <w:tr>
        <w:trPr/>
        <w:tc>
          <w:tcPr>
            <w:tcW w:w="2168" w:type="dxa"/>
            <w:tcBorders/>
            <w:shd w:fill="FFFFFF" w:val="clear"/>
            <w:vAlign w:val="center"/>
          </w:tcPr>
          <w:p>
            <w:pPr>
              <w:pStyle w:val="TableContents"/>
              <w:bidi w:val="0"/>
              <w:spacing w:before="0" w:after="283"/>
              <w:jc w:val="left"/>
              <w:rPr>
                <w:sz w:val="4"/>
                <w:szCs w:val="4"/>
              </w:rPr>
            </w:pPr>
            <w:r>
              <w:rPr>
                <w:sz w:val="4"/>
                <w:szCs w:val="4"/>
              </w:rPr>
            </w:r>
          </w:p>
        </w:tc>
        <w:tc>
          <w:tcPr>
            <w:tcW w:w="1934" w:type="dxa"/>
            <w:tcBorders/>
            <w:shd w:fill="FFFFFF" w:val="clear"/>
            <w:vAlign w:val="center"/>
          </w:tcPr>
          <w:p>
            <w:pPr>
              <w:pStyle w:val="TableContents"/>
              <w:bidi w:val="0"/>
              <w:spacing w:before="0" w:after="283"/>
              <w:jc w:val="left"/>
              <w:rPr>
                <w:sz w:val="4"/>
                <w:szCs w:val="4"/>
              </w:rPr>
            </w:pPr>
            <w:r>
              <w:rPr>
                <w:sz w:val="4"/>
                <w:szCs w:val="4"/>
              </w:rPr>
            </w:r>
          </w:p>
        </w:tc>
        <w:tc>
          <w:tcPr>
            <w:tcW w:w="1904" w:type="dxa"/>
            <w:tcBorders/>
            <w:shd w:fill="FFFFFF" w:val="clear"/>
            <w:vAlign w:val="center"/>
          </w:tcPr>
          <w:p>
            <w:pPr>
              <w:pStyle w:val="TableContents"/>
              <w:bidi w:val="0"/>
              <w:spacing w:before="0" w:after="283"/>
              <w:jc w:val="left"/>
              <w:rPr>
                <w:sz w:val="4"/>
                <w:szCs w:val="4"/>
              </w:rPr>
            </w:pPr>
            <w:r>
              <w:rPr>
                <w:sz w:val="4"/>
                <w:szCs w:val="4"/>
              </w:rPr>
            </w:r>
          </w:p>
        </w:tc>
        <w:tc>
          <w:tcPr>
            <w:tcW w:w="2402" w:type="dxa"/>
            <w:tcBorders/>
            <w:shd w:fill="FFFFFF" w:val="clear"/>
            <w:vAlign w:val="center"/>
          </w:tcPr>
          <w:p>
            <w:pPr>
              <w:pStyle w:val="TableContents"/>
              <w:bidi w:val="0"/>
              <w:spacing w:before="0" w:after="283"/>
              <w:jc w:val="left"/>
              <w:rPr>
                <w:sz w:val="4"/>
                <w:szCs w:val="4"/>
              </w:rPr>
            </w:pPr>
            <w:r>
              <w:rPr>
                <w:sz w:val="4"/>
                <w:szCs w:val="4"/>
              </w:rPr>
            </w:r>
          </w:p>
        </w:tc>
        <w:tc>
          <w:tcPr>
            <w:tcW w:w="1797" w:type="dxa"/>
            <w:tcBorders/>
            <w:shd w:fill="FFFFFF" w:val="clear"/>
            <w:vAlign w:val="center"/>
          </w:tcPr>
          <w:p>
            <w:pPr>
              <w:pStyle w:val="TableContents"/>
              <w:bidi w:val="0"/>
              <w:spacing w:before="0" w:after="283"/>
              <w:jc w:val="left"/>
              <w:rPr>
                <w:sz w:val="4"/>
                <w:szCs w:val="4"/>
              </w:rPr>
            </w:pPr>
            <w:r>
              <w:rPr>
                <w:sz w:val="4"/>
                <w:szCs w:val="4"/>
              </w:rPr>
            </w:r>
          </w:p>
        </w:tc>
      </w:tr>
      <w:tr>
        <w:trPr/>
        <w:tc>
          <w:tcPr>
            <w:tcW w:w="21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8037" w:type="dxa"/>
            <w:gridSpan w:val="4"/>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Ordinary Shares(1)</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Prior to Offering</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Maximum Number Registered for Sale Hereby</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After the Offered Shares are Sold(2)</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Percent Owned After the Offered Shares are Sold</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Wagner(3)</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4,698,505(11)</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4,698,504</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Estate of John Wagner(4)</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819,958(11)</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819,958</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Sharp(5)</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1,787,643 </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1,787,643 </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Wright(6)</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245,343</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245,343</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Perry(7)</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991,556</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791,556</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200,000</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Lurio(8)</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357,647</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357,647</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Herbert(9)</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199,971</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199,971</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Vesco(10)</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1,153,633</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1,153,633</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DBLP Sea Cow Limited(11)</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42,773,621</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26,915,689</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15,857,932</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Igor Lychagov(12)</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35,843,258</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35,843,258</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Apeiron Investment Group Limited (13)</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25,097,545</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25,097,545</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 Alameda Special Purpose Investment Fund II LP(14)</w:t>
            </w:r>
          </w:p>
        </w:tc>
        <w:tc>
          <w:tcPr>
            <w:tcW w:w="19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45,634</w:t>
            </w:r>
          </w:p>
        </w:tc>
        <w:tc>
          <w:tcPr>
            <w:tcW w:w="19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45,634</w:t>
            </w:r>
          </w:p>
        </w:tc>
        <w:tc>
          <w:tcPr>
            <w:tcW w:w="24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2"/>
        <w:gridCol w:w="1936"/>
        <w:gridCol w:w="1906"/>
        <w:gridCol w:w="2404"/>
        <w:gridCol w:w="1797"/>
      </w:tblGrid>
      <w:tr>
        <w:trPr/>
        <w:tc>
          <w:tcPr>
            <w:tcW w:w="2162" w:type="dxa"/>
            <w:tcBorders/>
            <w:shd w:fill="FFFFFF" w:val="clear"/>
            <w:vAlign w:val="center"/>
          </w:tcPr>
          <w:p>
            <w:pPr>
              <w:pStyle w:val="TableContents"/>
              <w:bidi w:val="0"/>
              <w:spacing w:before="0" w:after="283"/>
              <w:jc w:val="left"/>
              <w:rPr>
                <w:sz w:val="4"/>
                <w:szCs w:val="4"/>
              </w:rPr>
            </w:pPr>
            <w:r>
              <w:rPr>
                <w:sz w:val="4"/>
                <w:szCs w:val="4"/>
              </w:rPr>
            </w:r>
          </w:p>
        </w:tc>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906" w:type="dxa"/>
            <w:tcBorders/>
            <w:shd w:fill="FFFFFF" w:val="clear"/>
            <w:vAlign w:val="center"/>
          </w:tcPr>
          <w:p>
            <w:pPr>
              <w:pStyle w:val="TableContents"/>
              <w:bidi w:val="0"/>
              <w:spacing w:before="0" w:after="283"/>
              <w:jc w:val="left"/>
              <w:rPr>
                <w:sz w:val="4"/>
                <w:szCs w:val="4"/>
              </w:rPr>
            </w:pPr>
            <w:r>
              <w:rPr>
                <w:sz w:val="4"/>
                <w:szCs w:val="4"/>
              </w:rPr>
            </w:r>
          </w:p>
        </w:tc>
        <w:tc>
          <w:tcPr>
            <w:tcW w:w="2404" w:type="dxa"/>
            <w:tcBorders/>
            <w:shd w:fill="FFFFFF" w:val="clear"/>
            <w:vAlign w:val="center"/>
          </w:tcPr>
          <w:p>
            <w:pPr>
              <w:pStyle w:val="TableContents"/>
              <w:bidi w:val="0"/>
              <w:spacing w:before="0" w:after="283"/>
              <w:jc w:val="left"/>
              <w:rPr>
                <w:sz w:val="4"/>
                <w:szCs w:val="4"/>
              </w:rPr>
            </w:pPr>
            <w:r>
              <w:rPr>
                <w:sz w:val="4"/>
                <w:szCs w:val="4"/>
              </w:rPr>
            </w:r>
          </w:p>
        </w:tc>
        <w:tc>
          <w:tcPr>
            <w:tcW w:w="1797" w:type="dxa"/>
            <w:tcBorders/>
            <w:shd w:fill="FFFFFF" w:val="clear"/>
            <w:vAlign w:val="center"/>
          </w:tcPr>
          <w:p>
            <w:pPr>
              <w:pStyle w:val="TableContents"/>
              <w:bidi w:val="0"/>
              <w:spacing w:before="0" w:after="283"/>
              <w:jc w:val="left"/>
              <w:rPr>
                <w:sz w:val="4"/>
                <w:szCs w:val="4"/>
              </w:rPr>
            </w:pPr>
            <w:r>
              <w:rPr>
                <w:sz w:val="4"/>
                <w:szCs w:val="4"/>
              </w:rPr>
            </w:r>
          </w:p>
        </w:tc>
      </w:tr>
      <w:tr>
        <w:trPr/>
        <w:tc>
          <w:tcPr>
            <w:tcW w:w="216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8043" w:type="dxa"/>
            <w:gridSpan w:val="4"/>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Ordinary Shares(1)</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Prior to Offering</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Maximum Number Registered for Sale Hereby</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After the Offered Shares are Sold(2)</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Percent Owned After the Offered Shares are Sold</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 Alamosa (Cayman) Holdco LP(15)</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51,889</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51,889</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 ASOF VII (Cayman) Holdco LP(16)</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48,967</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48,967</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Krupczynski(17)</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111,913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67,113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44,800</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Wagner(18)</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906,250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6,250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900,000</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Antara Capital Total Return SPAC(19)</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265,483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131,250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134,233</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Aperitus Limited(20)</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1,665,310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33,333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1,631,977</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Yao(21)</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1,311,816</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119,481</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1,192,335</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ASJC Global LLC - Series 14 (22)</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1,036,863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1,036,863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Atalaya Special Purpose Investment Fund II LP(23)</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35,177</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35,177</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Berenberg Capital Markets LLC(24)</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Bradley Wickens(25)</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25,764,806</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20,431,834</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5,332,972</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1.65</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Brooks Newmark(26)</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17,395,676</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17,070,000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325,676</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Cecil Levy(27)</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30,553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20,553</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Celso L. White(28)</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Cohen &amp; Company Financial Management LLC(29)</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t>
            </w:r>
          </w:p>
          <w:p>
            <w:pPr>
              <w:pStyle w:val="TableContents"/>
              <w:bidi w:val="0"/>
              <w:spacing w:before="0" w:after="283"/>
              <w:jc w:val="left"/>
              <w:rPr/>
            </w:pPr>
            <w:r>
              <w:rPr/>
              <w:t> </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3,043,735</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Cohen Sponsor LLC - A14 RS(30) </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157,987</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157,987</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Context Partners Master Fund LP(31)</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131,250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131,250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Corbin ERISA Opportunity Fund, Ltd. (32)</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24,583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24,583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Julius Meller Management Services LTD(33)</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27,812</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27,812</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Weinberger(34)</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201,300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Smith(35)</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33,334</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33,334</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Dionysios Kolyris(36)</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65,209</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11,951</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53,258</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DXG Deutsche Digital GmbH(37)</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7,333</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7,333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EF Hutton LLC(38) </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Ercan Kilic(39) </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18,175</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18,175</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FT SOF XIII (SPAC) Holdings, LLC(40)</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6,921</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6,921</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Fujian Limatong XinXi Keji Youxian Gongsi(41) </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325,411</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325,411</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Bellow(42)</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Jamie Beadle(43)</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10,286</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10,286</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 LLC(44)</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5,027,508</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King(45)</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42,509</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35,321</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7,188</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Julien Nurse(46)</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59,102</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59,102</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Kantor Investment Company LLC(47)</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79,785</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69,785</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Karen Kalaris(48)</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111,632</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46,353</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65,279</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Israel(49)</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71,785</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31,785</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 Group LLC(50)</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Meteora Capital Partners, L.P. (51)</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131,250</w:t>
            </w:r>
          </w:p>
        </w:tc>
        <w:tc>
          <w:tcPr>
            <w:tcW w:w="19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131,250</w:t>
            </w:r>
          </w:p>
        </w:tc>
        <w:tc>
          <w:tcPr>
            <w:tcW w:w="24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9"/>
        <w:gridCol w:w="1977"/>
        <w:gridCol w:w="1919"/>
        <w:gridCol w:w="2470"/>
        <w:gridCol w:w="1850"/>
      </w:tblGrid>
      <w:tr>
        <w:trPr/>
        <w:tc>
          <w:tcPr>
            <w:tcW w:w="1989" w:type="dxa"/>
            <w:tcBorders/>
            <w:shd w:fill="FFFFFF" w:val="clear"/>
            <w:vAlign w:val="center"/>
          </w:tcPr>
          <w:p>
            <w:pPr>
              <w:pStyle w:val="TableContents"/>
              <w:bidi w:val="0"/>
              <w:spacing w:before="0" w:after="283"/>
              <w:jc w:val="left"/>
              <w:rPr>
                <w:sz w:val="4"/>
                <w:szCs w:val="4"/>
              </w:rPr>
            </w:pPr>
            <w:r>
              <w:rPr>
                <w:sz w:val="4"/>
                <w:szCs w:val="4"/>
              </w:rPr>
            </w:r>
          </w:p>
        </w:tc>
        <w:tc>
          <w:tcPr>
            <w:tcW w:w="1977"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c>
          <w:tcPr>
            <w:tcW w:w="2470" w:type="dxa"/>
            <w:tcBorders/>
            <w:shd w:fill="FFFFFF" w:val="clear"/>
            <w:vAlign w:val="center"/>
          </w:tcPr>
          <w:p>
            <w:pPr>
              <w:pStyle w:val="TableContents"/>
              <w:bidi w:val="0"/>
              <w:spacing w:before="0" w:after="283"/>
              <w:jc w:val="left"/>
              <w:rPr>
                <w:sz w:val="4"/>
                <w:szCs w:val="4"/>
              </w:rPr>
            </w:pPr>
            <w:r>
              <w:rPr>
                <w:sz w:val="4"/>
                <w:szCs w:val="4"/>
              </w:rPr>
            </w:r>
          </w:p>
        </w:tc>
        <w:tc>
          <w:tcPr>
            <w:tcW w:w="1850" w:type="dxa"/>
            <w:tcBorders/>
            <w:shd w:fill="FFFFFF" w:val="clear"/>
            <w:vAlign w:val="center"/>
          </w:tcPr>
          <w:p>
            <w:pPr>
              <w:pStyle w:val="TableContents"/>
              <w:bidi w:val="0"/>
              <w:spacing w:before="0" w:after="283"/>
              <w:jc w:val="left"/>
              <w:rPr>
                <w:sz w:val="4"/>
                <w:szCs w:val="4"/>
              </w:rPr>
            </w:pPr>
            <w:r>
              <w:rPr>
                <w:sz w:val="4"/>
                <w:szCs w:val="4"/>
              </w:rPr>
            </w:r>
          </w:p>
        </w:tc>
      </w:tr>
      <w:tr>
        <w:trPr/>
        <w:tc>
          <w:tcPr>
            <w:tcW w:w="19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8216" w:type="dxa"/>
            <w:gridSpan w:val="4"/>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Ordinary Shares(1)</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Prior to Offering</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Maximum Number Registered for Sale Hereby</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After the Offered Shares are Sold(2)</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Percent Owned After the Offered Shares are Sold</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Mohammad Anwar Khan(52)</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Patel Family Investment LLC(53)</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206,398</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166,667</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39,731</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Quality Kiosk(54)</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35,402</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35,402</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Radcliffe SPAC Master Fund, L.P. (55)</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175,566</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175,566</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JingQian Hou (56)</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2,321</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2,321</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Roth Capital Partners, LLC(57)</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89,290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89,290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Rong Lin(58)</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25,603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9,283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16,320</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 Lewis(59)</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137,832</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117,832</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Sandia Investment Management LP(60)</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53,503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53,503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Sharat Williams(61)</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3,372</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3,372</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Briggs(62)</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128,530 </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128,530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Techouts Solutions India Pvt ltd(63)</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17,078</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17,078</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Decker(64)</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Trustees of Risol Limited Pension(65)</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486,987</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46,353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440,634</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UBIRY GmbH(66)</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Vellar Opportunities Fund Master, Ltd.(67)</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Yi-Han Pao(68)</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Zedfesto Holding Ltd.(69)</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Zheng Jie(70)</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1,857</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1,857</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Radio Group Holding GmbH(71)</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120,000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120,000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Stephan Schwenk(72)</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180,000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180,000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Tanist Group Limited(73)</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2,731,566</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1,966,111</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765,455</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Alliance Bank(74)</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5,857,143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Warren(75)</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52,838 </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52,838</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Jerome Cheung-Bret(76)</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44,031</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44,031</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Gossage(77)</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168,587</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168,587</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Roland Gossage(78)</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203,020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203,020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Susanne Bundy(79)</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708</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708</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Amanda Young(80)</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14,506</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14,506</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Grange(81)</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14,319</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14,319</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A. Devlin(82)</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6,173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6,173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Long(83)</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6,173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6,173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Estate of Gerd Opderbeck(84)</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12,346</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12,346</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 Belcourt Consulting Group Inc.(85)</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18,519</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18,519</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ITF KKLM Investments CO. Ltd.(86)</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8,025</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8,025</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2432332 Ontario Inc.(87)</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53,024</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53,024</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Opderbeck(88)</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24,691</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24,691</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Austin Ventures X, L.P.(89)</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9,114</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9,114</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Dejan Mircevski(90)</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10,058</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10,058</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Dunlap(91)</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79,093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79,093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Leonard Meloff(92)</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59,451</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59,451</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Stibbe(93)</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205,803</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205,803</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Srikant Nayak(94)</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21,610</w:t>
            </w:r>
          </w:p>
        </w:tc>
        <w:tc>
          <w:tcPr>
            <w:tcW w:w="19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21,610</w:t>
            </w:r>
          </w:p>
        </w:tc>
        <w:tc>
          <w:tcPr>
            <w:tcW w:w="24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8"/>
        <w:gridCol w:w="1972"/>
        <w:gridCol w:w="1913"/>
        <w:gridCol w:w="2461"/>
        <w:gridCol w:w="1841"/>
      </w:tblGrid>
      <w:tr>
        <w:trPr/>
        <w:tc>
          <w:tcPr>
            <w:tcW w:w="2018" w:type="dxa"/>
            <w:tcBorders/>
            <w:shd w:fill="FFFFFF" w:val="clear"/>
            <w:vAlign w:val="center"/>
          </w:tcPr>
          <w:p>
            <w:pPr>
              <w:pStyle w:val="TableContents"/>
              <w:bidi w:val="0"/>
              <w:spacing w:before="0" w:after="283"/>
              <w:jc w:val="left"/>
              <w:rPr>
                <w:sz w:val="4"/>
                <w:szCs w:val="4"/>
              </w:rPr>
            </w:pPr>
            <w:r>
              <w:rPr>
                <w:sz w:val="4"/>
                <w:szCs w:val="4"/>
              </w:rPr>
            </w:r>
          </w:p>
        </w:tc>
        <w:tc>
          <w:tcPr>
            <w:tcW w:w="1972" w:type="dxa"/>
            <w:tcBorders/>
            <w:shd w:fill="FFFFFF" w:val="clear"/>
            <w:vAlign w:val="center"/>
          </w:tcPr>
          <w:p>
            <w:pPr>
              <w:pStyle w:val="TableContents"/>
              <w:bidi w:val="0"/>
              <w:spacing w:before="0" w:after="283"/>
              <w:jc w:val="left"/>
              <w:rPr>
                <w:sz w:val="4"/>
                <w:szCs w:val="4"/>
              </w:rPr>
            </w:pPr>
            <w:r>
              <w:rPr>
                <w:sz w:val="4"/>
                <w:szCs w:val="4"/>
              </w:rPr>
            </w:r>
          </w:p>
        </w:tc>
        <w:tc>
          <w:tcPr>
            <w:tcW w:w="1913" w:type="dxa"/>
            <w:tcBorders/>
            <w:shd w:fill="FFFFFF" w:val="clear"/>
            <w:vAlign w:val="center"/>
          </w:tcPr>
          <w:p>
            <w:pPr>
              <w:pStyle w:val="TableContents"/>
              <w:bidi w:val="0"/>
              <w:spacing w:before="0" w:after="283"/>
              <w:jc w:val="left"/>
              <w:rPr>
                <w:sz w:val="4"/>
                <w:szCs w:val="4"/>
              </w:rPr>
            </w:pPr>
            <w:r>
              <w:rPr>
                <w:sz w:val="4"/>
                <w:szCs w:val="4"/>
              </w:rPr>
            </w:r>
          </w:p>
        </w:tc>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841" w:type="dxa"/>
            <w:tcBorders/>
            <w:shd w:fill="FFFFFF" w:val="clear"/>
            <w:vAlign w:val="center"/>
          </w:tcPr>
          <w:p>
            <w:pPr>
              <w:pStyle w:val="TableContents"/>
              <w:bidi w:val="0"/>
              <w:spacing w:before="0" w:after="283"/>
              <w:jc w:val="left"/>
              <w:rPr>
                <w:sz w:val="4"/>
                <w:szCs w:val="4"/>
              </w:rPr>
            </w:pPr>
            <w:r>
              <w:rPr>
                <w:sz w:val="4"/>
                <w:szCs w:val="4"/>
              </w:rPr>
            </w:r>
          </w:p>
        </w:tc>
      </w:tr>
      <w:tr>
        <w:trPr/>
        <w:tc>
          <w:tcPr>
            <w:tcW w:w="20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8187" w:type="dxa"/>
            <w:gridSpan w:val="4"/>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Ordinary Shares(1)</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Prior to Offering</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Maximum Number Registered for Sale Hereby</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Number Beneficially Owned After the Offered Shares are Sold(2)</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Percent Owned After the Offered Shares are Sold</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Alder(95)</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2,379</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2,379</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Gorstidge Consulting Inc.(96)</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36,278</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36,278</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Shashikant Nayak(97)</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10,824</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10,824</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Deepa Shashikant(98)</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4,937</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4,937</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Jacquie Estey(99)</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44,733</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44,733</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Jian Yang(100)</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43,404</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43,404</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D’Souza(101)</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21,601</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21,601</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Cole(102)</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16,468 </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16,468</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PeakSpan Capital Growth Partners I, L.P.(103)</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2,071,294</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2,071,294</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PeakSpan Capital Growth Partners l-A, L.P.(104)</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14,251</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14,251</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Ramona D’Souza(105)</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21,601</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21,601</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Randy Cornelisse(106)</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11,203</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11,203</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Ravish Diwakar Kamath(107)</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15,788</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15,788</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Srinivasan Kesavan(108)</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10,769</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10,769</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J Halpenny(109)</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51,593</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51,593</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CHC Direct Investment Fund I, L.P.(110)</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597,375</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597,375</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Citadel CEMF Investments Ltd. (111)</w:t>
            </w:r>
          </w:p>
        </w:tc>
        <w:tc>
          <w:tcPr>
            <w:tcW w:w="19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20,579,499</w:t>
            </w:r>
          </w:p>
        </w:tc>
        <w:tc>
          <w:tcPr>
            <w:tcW w:w="19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7,979,499</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12,600,000</w:t>
            </w:r>
          </w:p>
        </w:tc>
        <w:tc>
          <w:tcPr>
            <w:tcW w:w="1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 Less than 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percentage of Ordinary Shares to be beneficially owned after completion of this offering is calculated on the basis of 322,174,536 Ordinary Shares outstanding, which includes the issuance of all Ordinary Shares issuable upon the exercise of all currently outstanding Warrants, the sale of all securities offered hereby by that particular Selling Holder and does not assume the exercise, conversion or sale, as applicable, by any other Selling 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Assumes the sale of all Ordinary Shares being offered pursuant to this prospectus.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4,698,504 Ordinary Shares directly held by Mr. Daniel Wagner. Mr. Daniel Wagner is the CEO and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815,989 Ordinary Shares and (ii) 3,969 Ordinary Shares underlying the Private Warrants held by Mr. John Wagner's estate. Mr. John Wagner was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1,729,352 Ordinary Shares; (ii) 42,441 Ordinary Shares issued upon the conversion of the Advance Subscription made by Mr. Sharp; and (iii) 15,850 Ordinary Shares underlying the Private Warrants held by Mr. Sharp. Mr. Sharp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245,343 Ordinary Shares directly held by Sir David Wright. Sir David Wright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Shares beneficially held consist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(v) 69,526 Ordinary Shares issued upon conversion of the Convertible Note held by Mr. Perry; and (vi) 200,000 Ordinary Shares underlying options issued pursuant to Rezolve's equity incentive plan. Mr. Perry is a director of Rezolve.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357,647 Ordinary Shares directly held by Mr. Lurio. 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199,971 Ordinary Shares directly held by Mr. Herbert. Mr. Herbert was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1,142,384 Ordinary Shares and (ii) 11,249 Ordinary Shares issued upon conversion of the Advance Subscription made by Mr. Vesco. Mr. Vesco is the Chief Commercial Officer and General Manager (EMEA)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pPr>
      <w:r>
        <w:rPr>
          <w:rFonts w:ascii="Times New Roman" w:hAnsi="Times New Roman"/>
          <w:color w:val="000000"/>
          <w:sz w:val="20"/>
        </w:rPr>
        <w:t>Shares registered hereby consist of (i) 20,895,952 Ordinary Shares; (ii) 4,150,000 Ordinary Shares issued upon the conversion of the Advanced Subscription made by DBLP, (iii) 250,000 Ordinary Shares underlying the Private Warrants held by DBLP, (iv) 819,737 shares DBLP received in connection with the Blue Dot Acquisition and (v) 800,000 shares issued pursuant to a settlement agreement. Shares beneficially held consist of 42,523,621 Ordinary Shares held by DBLP Sea Cow Ltd (“</w:t>
      </w:r>
      <w:r>
        <w:rPr>
          <w:rFonts w:ascii="Times New Roman" w:hAnsi="Times New Roman"/>
          <w:b/>
          <w:i/>
          <w:color w:val="000000"/>
          <w:sz w:val="20"/>
        </w:rPr>
        <w:t>DBLP</w:t>
      </w:r>
      <w:r>
        <w:rPr>
          <w:color w:val="000000"/>
        </w:rPr>
        <w:t>”</w:t>
      </w:r>
      <w:r>
        <w:rPr>
          <w:rFonts w:ascii="Times New Roman" w:hAnsi="Times New Roman"/>
          <w:color w:val="000000"/>
          <w:sz w:val="20"/>
        </w:rPr>
        <w:t>). DBLP is wholly legally owned by Daniel Wagner and is wholly beneficially owned by the Estate of John Wagner. Daniel Wagner is a director of DBLP and may be deemed to share voting and investment power over the shares held by DBLP. Daniel Wagner is also a director of Rezolve. The percentage of Ordinary Shares to be beneficially owned after completion of this offering is calculated on the basis of 15,857,932 Ordinary Shares held after the shares registered hereby are sold divided 322,174,536 Ordinary Shares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(i) 34,649,207 Ordinary Shares and (ii) 1,194,051 Ordinary Shares of the issued upon conversion of the Convertible Note held by Mr. Lychagov. 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pPr>
      <w:r>
        <w:rPr>
          <w:rFonts w:ascii="Times New Roman" w:hAnsi="Times New Roman"/>
          <w:color w:val="000000"/>
          <w:sz w:val="20"/>
        </w:rPr>
        <w:t>Shares registered hereby consist of (i) 10,712,645 Ordinary Shares, (ii) 182,886 Ordinary Shares with respect to Ordinary Shares issuable upon potential conversion of the Promissory Note held by Apeiron Investment Group Limited (“</w:t>
      </w:r>
      <w:r>
        <w:rPr>
          <w:rFonts w:ascii="Times New Roman" w:hAnsi="Times New Roman"/>
          <w:b/>
          <w:i/>
          <w:color w:val="000000"/>
          <w:sz w:val="20"/>
        </w:rPr>
        <w:t>Apeiron</w:t>
      </w:r>
      <w:r>
        <w:rPr>
          <w:color w:val="000000"/>
        </w:rPr>
        <w:t>”</w:t>
      </w:r>
      <w:r>
        <w:rPr>
          <w:rFonts w:ascii="Times New Roman" w:hAnsi="Times New Roman"/>
          <w:color w:val="000000"/>
          <w:sz w:val="20"/>
        </w:rPr>
        <w:t>),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 Christian Angermayer is the majority shareholder of Apeiron and may be deemed to share beneficial ownership of the securities beneficially owned by Apeiron. The principal business address of Apeiron and Mr. Angermayer is 66 &amp; 67, Beatrice, Amery Street, Sliema SLM1707, Malta.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pPr>
      <w:r>
        <w:rPr>
          <w:rFonts w:ascii="Times New Roman" w:hAnsi="Times New Roman"/>
          <w:color w:val="000000"/>
          <w:sz w:val="20"/>
        </w:rPr>
        <w:t>Shares registered hereby consist of 45,634 Ordinary Shares directly held by ACM Almeda Special Purpose Investment Fund II LP. The principal business address of ACM Almeda Special Purpose Investment Fund II LP is One Rockefeller Center, 32</w:t>
      </w:r>
      <w:r>
        <w:rPr>
          <w:rFonts w:ascii="Times New Roman" w:hAnsi="Times New Roman"/>
          <w:color w:val="000000"/>
          <w:sz w:val="13"/>
        </w:rPr>
        <w:t xml:space="preserve">nd </w:t>
      </w:r>
      <w:r>
        <w:rPr>
          <w:rFonts w:ascii="Times New Roman" w:hAnsi="Times New Roman"/>
          <w:color w:val="000000"/>
          <w:sz w:val="20"/>
        </w:rPr>
        <w:t xml:space="preserve">Floor, New York, NY 10020.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pPr>
      <w:r>
        <w:rPr>
          <w:rFonts w:ascii="Times New Roman" w:hAnsi="Times New Roman"/>
          <w:color w:val="000000"/>
          <w:sz w:val="20"/>
        </w:rPr>
        <w:t>Shares registered hereby consist of 51,889 Ordinary Shares directly held by ACM Alamosa (Cayman) Holdco LP (“</w:t>
      </w:r>
      <w:r>
        <w:rPr>
          <w:rFonts w:ascii="Times New Roman" w:hAnsi="Times New Roman"/>
          <w:b/>
          <w:i/>
          <w:color w:val="000000"/>
          <w:sz w:val="20"/>
        </w:rPr>
        <w:t>ACM Alamosa</w:t>
      </w:r>
      <w:r>
        <w:rPr>
          <w:color w:val="000000"/>
        </w:rPr>
        <w:t>”</w:t>
      </w:r>
      <w:r>
        <w:rPr>
          <w:rFonts w:ascii="Times New Roman" w:hAnsi="Times New Roman"/>
          <w:color w:val="000000"/>
          <w:sz w:val="20"/>
        </w:rPr>
        <w:t>). Mr. Ivan Zinn may be deemed to share beneficial ownership of the securities beneficially owned by ACM Alamosa. The principal business address of ACM Alamosa is One Rockefeller Center, 32</w:t>
      </w:r>
      <w:r>
        <w:rPr>
          <w:rFonts w:ascii="Times New Roman" w:hAnsi="Times New Roman"/>
          <w:color w:val="000000"/>
          <w:sz w:val="13"/>
        </w:rPr>
        <w:t xml:space="preserve">nd </w:t>
      </w:r>
      <w:r>
        <w:rPr>
          <w:rFonts w:ascii="Times New Roman" w:hAnsi="Times New Roman"/>
          <w:color w:val="000000"/>
          <w:sz w:val="20"/>
        </w:rPr>
        <w:t>Floor, New York, NY 10020.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pPr>
      <w:r>
        <w:rPr>
          <w:rFonts w:ascii="Times New Roman" w:hAnsi="Times New Roman"/>
          <w:color w:val="000000"/>
          <w:sz w:val="20"/>
        </w:rPr>
        <w:t>Shares registered hereby consist of 48,967 Ordinary Shares directly held by ACM ASOF VII (Cayman) Holdco LP (“</w:t>
      </w:r>
      <w:r>
        <w:rPr>
          <w:rFonts w:ascii="Times New Roman" w:hAnsi="Times New Roman"/>
          <w:b/>
          <w:i/>
          <w:color w:val="000000"/>
          <w:sz w:val="20"/>
        </w:rPr>
        <w:t>ACM ASOF</w:t>
      </w:r>
      <w:r>
        <w:rPr>
          <w:color w:val="000000"/>
        </w:rPr>
        <w:t>”</w:t>
      </w:r>
      <w:r>
        <w:rPr>
          <w:rFonts w:ascii="Times New Roman" w:hAnsi="Times New Roman"/>
          <w:color w:val="000000"/>
          <w:sz w:val="20"/>
        </w:rPr>
        <w:t>). Mr. Ivan Zinn may be deemed to share beneficial ownership of the securities beneficially owned by ACM ASOF. The principal business address of ACM ASOF is One Rockefeller Center, 32</w:t>
      </w:r>
      <w:r>
        <w:rPr>
          <w:rFonts w:ascii="Times New Roman" w:hAnsi="Times New Roman"/>
          <w:color w:val="000000"/>
          <w:sz w:val="13"/>
        </w:rPr>
        <w:t>nd</w:t>
      </w:r>
      <w:r>
        <w:rPr>
          <w:color w:val="000000"/>
        </w:rPr>
        <w:t xml:space="preserve"> </w:t>
      </w:r>
      <w:r>
        <w:rPr>
          <w:rFonts w:ascii="Times New Roman" w:hAnsi="Times New Roman"/>
          <w:color w:val="000000"/>
          <w:sz w:val="20"/>
        </w:rPr>
        <w:t>Floor, New York, NY 10020.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67,113 Ordinary Shares directly held by Mr. Krupczynski. Mr. Krupczynski is a long-term employee of Rezolve and currently holds an active employment contract with the Company. The principal business address for Mr. Krupczynski is Przy Agorze 26/191, 01-930 Warsaw, Poland.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6,250 Ordinary Shares underlying the Private Warrants held by Mr. Adam Wagner. Shares beneficially held consist of (i) 900,000 Ordinary Shares, and (ii) 6,250 Ordinary Shares underlying the Private Warrants held by Mr. Adam Wagner.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(19)</w:t>
      </w:r>
    </w:p>
    <w:p>
      <w:pPr>
        <w:pStyle w:val="TextBody"/>
        <w:bidi w:val="0"/>
        <w:spacing w:before="120" w:after="283"/>
        <w:jc w:val="left"/>
        <w:rPr/>
      </w:pPr>
      <w:r>
        <w:rPr>
          <w:rFonts w:ascii="Times New Roman" w:hAnsi="Times New Roman"/>
          <w:color w:val="000000"/>
          <w:sz w:val="20"/>
        </w:rPr>
        <w:t>Shares registered hereby consist of 131,250 Ordinary Shares directly held by Antara Capital Total Return. Shares beneficially held consist of 265,483 Ordinary Shares directly held by Antara Capital Total Return SPAC Master Fund L.P. (“</w:t>
      </w:r>
      <w:r>
        <w:rPr>
          <w:rFonts w:ascii="Times New Roman" w:hAnsi="Times New Roman"/>
          <w:b/>
          <w:i/>
          <w:color w:val="000000"/>
          <w:sz w:val="20"/>
        </w:rPr>
        <w:t>Antara Capital Total Return</w:t>
      </w:r>
      <w:r>
        <w:rPr>
          <w:color w:val="000000"/>
        </w:rPr>
        <w:t>”</w:t>
      </w:r>
      <w:r>
        <w:rPr>
          <w:rFonts w:ascii="Times New Roman" w:hAnsi="Times New Roman"/>
          <w:color w:val="000000"/>
          <w:sz w:val="20"/>
        </w:rPr>
        <w:t xml:space="preserve">). Mr. Himanshu Gulati is the Managing Member of the general partner of Antara Capital Total Return and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be deemed to beneficially own the securities owned by Antara Capital Total Return. The principal business address of Antara Capital Total Return is 2005 Market Street, Suite 3120, Philadelphia, PA 19103.</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33,333 Ordinary Shares issued upon the conversion of the Advance Subscription made by Aperitus Limited. Shares beneficially held consist of (i) 1,631,977 Ordinary Shares and (ii) 33,333 Ordinary Shares issued upon the conversion of the Advance Subscription made by Aperitus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(i) 50,780 Ordinary Shares issued upon conversion of the Promissory Note held by Mr. Yao; (ii) 49,951 Ordinary Shares issued upon conversion of the Advance Subscription made by Mr. Yao; and (iii) 18,750 Ordinary Shares underlying the Private Warrants held by Mr. Yao. Shares beneficially held consist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Mr. Yao is the Chief Executive Officer of Rezolve’s China office. The principal business address for Mr. Yao is No. 2 Zhuang, 268 Hao, Qinggong Lu, Fengxianqu, Shanghai,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(22)</w:t>
      </w:r>
    </w:p>
    <w:p>
      <w:pPr>
        <w:pStyle w:val="TextBody"/>
        <w:bidi w:val="0"/>
        <w:spacing w:before="120" w:after="283"/>
        <w:jc w:val="left"/>
        <w:rPr/>
      </w:pPr>
      <w:r>
        <w:rPr>
          <w:rFonts w:ascii="Times New Roman" w:hAnsi="Times New Roman"/>
          <w:color w:val="000000"/>
          <w:sz w:val="20"/>
        </w:rPr>
        <w:t>Shares registered herby consist of 1,036,863 Ordinary Shares directly held by ASJC Global LLC - Series 14 (“ASJC Global”). Mr. Andrew Davilman, in his capacity as the Chief Operating Officer, may be deemed to control the securities owned by ASJC Global.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Floor, New York, NY 10019.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w:t>
      </w:r>
    </w:p>
    <w:p>
      <w:pPr>
        <w:pStyle w:val="TextBody"/>
        <w:bidi w:val="0"/>
        <w:spacing w:before="120" w:after="283"/>
        <w:jc w:val="left"/>
        <w:rPr/>
      </w:pPr>
      <w:r>
        <w:rPr>
          <w:rFonts w:ascii="Times New Roman" w:hAnsi="Times New Roman"/>
          <w:color w:val="000000"/>
          <w:sz w:val="20"/>
        </w:rPr>
        <w:t>Shares registered hereby consist of 35,177 Ordinary Shares directly held by Atalaya Special Purpose Investment Fund II LP. The principal business address of Atalaya Special Purpose Investment Fund II LP is One Rockefeller Center, 32</w:t>
      </w:r>
      <w:r>
        <w:rPr>
          <w:rFonts w:ascii="Times New Roman" w:hAnsi="Times New Roman"/>
          <w:color w:val="000000"/>
          <w:sz w:val="13"/>
        </w:rPr>
        <w:t xml:space="preserve">nd </w:t>
      </w:r>
      <w:r>
        <w:rPr>
          <w:rFonts w:ascii="Times New Roman" w:hAnsi="Times New Roman"/>
          <w:color w:val="000000"/>
          <w:sz w:val="20"/>
        </w:rPr>
        <w:t>Floor, New York, NY 10020.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(24)</w:t>
      </w:r>
    </w:p>
    <w:p>
      <w:pPr>
        <w:pStyle w:val="TextBody"/>
        <w:bidi w:val="0"/>
        <w:spacing w:before="120" w:after="283"/>
        <w:jc w:val="left"/>
        <w:rPr/>
      </w:pPr>
      <w:r>
        <w:rPr>
          <w:rFonts w:ascii="Times New Roman" w:hAnsi="Times New Roman"/>
          <w:color w:val="000000"/>
          <w:sz w:val="20"/>
        </w:rPr>
        <w:t>Shares registered hereby consist of the maximum number of Ordinary Shares that may be issued in relation to those Ordinary Shares the Company issued to Berenberg Capital Markets LLC (“</w:t>
      </w:r>
      <w:r>
        <w:rPr>
          <w:rFonts w:ascii="Times New Roman" w:hAnsi="Times New Roman"/>
          <w:b/>
          <w:i/>
          <w:color w:val="000000"/>
          <w:sz w:val="20"/>
        </w:rPr>
        <w:t>Berenberg</w:t>
      </w:r>
      <w:r>
        <w:rPr>
          <w:color w:val="000000"/>
        </w:rPr>
        <w:t>”</w:t>
      </w:r>
      <w:r>
        <w:rPr>
          <w:rFonts w:ascii="Times New Roman" w:hAnsi="Times New Roman"/>
          <w:color w:val="000000"/>
          <w:sz w:val="20"/>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hAnsi="Times New Roman"/>
          <w:b/>
          <w:i/>
          <w:color w:val="000000"/>
          <w:sz w:val="20"/>
        </w:rPr>
        <w:t>BAM</w:t>
      </w:r>
      <w:r>
        <w:rPr>
          <w:color w:val="000000"/>
        </w:rPr>
        <w:t>”</w:t>
      </w:r>
      <w:r>
        <w:rPr>
          <w:rFonts w:ascii="Times New Roman" w:hAnsi="Times New Roman"/>
          <w:color w:val="000000"/>
          <w:sz w:val="20"/>
        </w:rPr>
        <w:t>). BAM’s sole member is Berenberg Americas LLC, which in turn is a wholly owned subsidiary of Berenberg Beteiligungsholding GmbH (“</w:t>
      </w:r>
      <w:r>
        <w:rPr>
          <w:rFonts w:ascii="Times New Roman" w:hAnsi="Times New Roman"/>
          <w:b/>
          <w:i/>
          <w:color w:val="000000"/>
          <w:sz w:val="20"/>
        </w:rPr>
        <w:t>BBH</w:t>
      </w:r>
      <w:r>
        <w:rPr>
          <w:color w:val="000000"/>
        </w:rPr>
        <w:t>”</w:t>
      </w:r>
      <w:r>
        <w:rPr>
          <w:rFonts w:ascii="Times New Roman" w:hAnsi="Times New Roman"/>
          <w:color w:val="000000"/>
          <w:sz w:val="20"/>
        </w:rPr>
        <w:t xml:space="preserve">).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7,897,913 Ordinary Shares, (ii) 1,140,865 Ordinary Shares received from Apeiron, (iii)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Shares beneficially held consist of (i) 9,638,692 Ordinary Shares; (ii) 1,140,865 Ordinary Shares received from Apeiron;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7,870,000 Ordinary Shares and (ii) 9,200,000 Ordinary Shares issued upon the conversion of the Advance Subscription made by Mr. Newmark. Shares beneficially held consist of 17,395,676 Ordinary Shares directly held by Mr. Newmark, as reported on the Schedule 13G/A filed by Mr. Newmark on June 3,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10,000 Ordinary Shares issued upon the conversion of the Advance Subscription made by Cecil Levy. Shares beneficially held consist of (i) 20,553 Ordinary Shares and (ii) 10,000 Ordinary Shares issued upon the conversion of the Advance Subscription made by Cecil Levy.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125,000 Ordinary Shares directly held by Mr. White. Mr. White served as a director of Armada, which became a wholly owned subsidiary of the Company in connection with the Business Combination, since August 2021. Mr. White’s principal business address is 34 N. Calibogue Cay Road, Hilton Head Island, SC 29928.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w:t>
      </w:r>
    </w:p>
    <w:p>
      <w:pPr>
        <w:pStyle w:val="TextBody"/>
        <w:bidi w:val="0"/>
        <w:spacing w:before="120" w:after="283"/>
        <w:jc w:val="left"/>
        <w:rPr/>
      </w:pPr>
      <w:r>
        <w:rPr>
          <w:rFonts w:ascii="Times New Roman" w:hAnsi="Times New Roman"/>
          <w:color w:val="000000"/>
          <w:sz w:val="20"/>
        </w:rPr>
        <w:t>Shares registered hereby consist of 3,043,735 (Ordinary Shares, which is the maximum number of remaining Ordinary Shares issuable upon the conversion of the unsecured convertible loan (the “</w:t>
      </w:r>
      <w:r>
        <w:rPr>
          <w:rFonts w:ascii="Times New Roman" w:hAnsi="Times New Roman"/>
          <w:b/>
          <w:i/>
          <w:color w:val="000000"/>
          <w:sz w:val="20"/>
        </w:rPr>
        <w:t>Cohen Note</w:t>
      </w:r>
      <w:r>
        <w:rPr>
          <w:color w:val="000000"/>
        </w:rPr>
        <w:t>”</w:t>
      </w:r>
      <w:r>
        <w:rPr>
          <w:rFonts w:ascii="Times New Roman" w:hAnsi="Times New Roman"/>
          <w:color w:val="000000"/>
          <w:sz w:val="20"/>
        </w:rPr>
        <w:t>) issued to Cohen &amp; Company Financial Management LLC (“</w:t>
      </w:r>
      <w:r>
        <w:rPr>
          <w:rFonts w:ascii="Times New Roman" w:hAnsi="Times New Roman"/>
          <w:b/>
          <w:i/>
          <w:color w:val="000000"/>
          <w:sz w:val="20"/>
        </w:rPr>
        <w:t>Cohen</w:t>
      </w:r>
      <w:r>
        <w:rPr>
          <w:color w:val="000000"/>
        </w:rPr>
        <w:t>”</w:t>
      </w:r>
      <w:r>
        <w:rPr>
          <w:rFonts w:ascii="Times New Roman" w:hAnsi="Times New Roman"/>
          <w:color w:val="000000"/>
          <w:sz w:val="20"/>
        </w:rPr>
        <w:t>)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 The Coehn Note was settled on February 10, 2025, by issuing ordinary shares, and no further amounts remain outstanding. Cohen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494,203 Ordinary Shares directly held by Cohen Sponsor LLC – A14 RS. 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131,250 Ordinary Shares directly held by Context Partners Master Fund, LP. The principal business address of Context Partners Master Fund, LP is 772 Girard Ave. Suite 300, La Jolla, CA 92037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(32)</w:t>
      </w:r>
    </w:p>
    <w:p>
      <w:pPr>
        <w:pStyle w:val="TextBody"/>
        <w:bidi w:val="0"/>
        <w:spacing w:before="120" w:after="283"/>
        <w:jc w:val="left"/>
        <w:rPr/>
      </w:pPr>
      <w:r>
        <w:rPr>
          <w:rFonts w:ascii="Times New Roman" w:hAnsi="Times New Roman"/>
          <w:color w:val="000000"/>
          <w:sz w:val="20"/>
        </w:rPr>
        <w:t>Shares registered hereby consist of 24,583 Ordinary Shares directly held by Corbin Capital Partners, L.P. (“</w:t>
      </w:r>
      <w:r>
        <w:rPr>
          <w:rFonts w:ascii="Times New Roman" w:hAnsi="Times New Roman"/>
          <w:b/>
          <w:i/>
          <w:color w:val="000000"/>
          <w:sz w:val="20"/>
        </w:rPr>
        <w:t>Corbin</w:t>
      </w:r>
      <w:r>
        <w:rPr>
          <w:color w:val="000000"/>
        </w:rPr>
        <w:t>”</w:t>
      </w:r>
      <w:r>
        <w:rPr>
          <w:rFonts w:ascii="Times New Roman" w:hAnsi="Times New Roman"/>
          <w:color w:val="000000"/>
          <w:sz w:val="20"/>
        </w:rPr>
        <w:t>). Corbin is the investment manager of Corbin ERISA Opportunity Fund, Ltd (“</w:t>
      </w:r>
      <w:r>
        <w:rPr>
          <w:rFonts w:ascii="Times New Roman" w:hAnsi="Times New Roman"/>
          <w:b/>
          <w:i/>
          <w:color w:val="000000"/>
          <w:sz w:val="20"/>
        </w:rPr>
        <w:t>Corbin ERISA</w:t>
      </w:r>
      <w:r>
        <w:rPr>
          <w:color w:val="000000"/>
        </w:rPr>
        <w:t>”</w:t>
      </w:r>
      <w:r>
        <w:rPr>
          <w:rFonts w:ascii="Times New Roman" w:hAnsi="Times New Roman"/>
          <w:color w:val="000000"/>
          <w:sz w:val="20"/>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hAnsi="Times New Roman"/>
          <w:color w:val="000000"/>
          <w:sz w:val="13"/>
        </w:rPr>
        <w:t>st</w:t>
      </w:r>
      <w:r>
        <w:rPr>
          <w:color w:val="000000"/>
        </w:rPr>
        <w:t xml:space="preserve"> </w:t>
      </w:r>
      <w:r>
        <w:rPr>
          <w:rFonts w:ascii="Times New Roman" w:hAnsi="Times New Roman"/>
          <w:color w:val="000000"/>
          <w:sz w:val="20"/>
        </w:rPr>
        <w:t xml:space="preserve">Floor, New York, NY 10022.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(i) 20,312 Ordinary Shares underlying the Promissory Note held by Mr. Meller; and (ii) the 7,500 Shares underlying the Private Warrants held by Mr. Meller.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201,000 Ordinary Shares issued upon conversion of the Advance Subscription made by Mr. Weinberger. Shares beneficially held consist of (i) 300 Ordinary Shares and (ii) 201,000 Ordinary Shares issued upon conversion of the Advance Subscription made by Mr. Weinberger.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33,334 Ordinary Shares issued upon the conversion of the Advance Subscription made by Mr. Smith.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11,951 Ordinary Shares beneficially owned by Mr. Kolyris and is the number of Ordinary Shares issued upon the conversion of the Advance Subscription made by Nadenco P.C., a company Mr. Kolyris may be deemed to control. Shares beneficially held consist of 65,209 Ordinary Shares, of which 11,951 Ordinary Shares are beneficially owned by Mr. Kolyris and is the number of Ordinary Shares issued upon the conversion of the Advance Subscription made by Nadenco P.C., a company Mr. Kolyris may be deemed to control. Mr. Kolyris has provided services to Rezolve as a contractor since November 2018. The principal business address for Mr. Kolyris is Noyaroy 12, Maroysi, 15126, Athens, Greece.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7,333 Ordinary Shares issued upon the conversion of the Advance Subscription made by DXG Deutsche Digital GmbH.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(38)</w:t>
      </w:r>
    </w:p>
    <w:p>
      <w:pPr>
        <w:pStyle w:val="TextBody"/>
        <w:bidi w:val="0"/>
        <w:spacing w:before="120" w:after="283"/>
        <w:jc w:val="left"/>
        <w:rPr/>
      </w:pPr>
      <w:r>
        <w:rPr>
          <w:rFonts w:ascii="Times New Roman" w:hAnsi="Times New Roman"/>
          <w:color w:val="000000"/>
          <w:sz w:val="20"/>
        </w:rPr>
        <w:t>Shares registered hereby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 Mr. David Boral, CEO and Manager of EF Hutton LLC (“</w:t>
      </w:r>
      <w:r>
        <w:rPr>
          <w:rFonts w:ascii="Times New Roman" w:hAnsi="Times New Roman"/>
          <w:b/>
          <w:i/>
          <w:color w:val="000000"/>
          <w:sz w:val="20"/>
        </w:rPr>
        <w:t>EF Hutton</w:t>
      </w:r>
      <w:r>
        <w:rPr>
          <w:color w:val="000000"/>
        </w:rPr>
        <w:t>”</w:t>
      </w:r>
      <w:r>
        <w:rPr>
          <w:rFonts w:ascii="Times New Roman" w:hAnsi="Times New Roman"/>
          <w:color w:val="000000"/>
          <w:sz w:val="20"/>
        </w:rPr>
        <w:t xml:space="preserve">), may be deemed to beneficially own the securities owned by EF Hutton. Mr. Ben Reed, in his capacity as the Head of Wealth Management and Power of Attorney, may also be deemed to control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securities owned by EF Hutton and thereby may be deemed to beneficially own the securities owned by EF Hutton. Mr. Reed has sole investment power over these securities. The principal address of EF Hutton LLC is 590 Madison Avenue, 39</w:t>
      </w:r>
      <w:r>
        <w:rPr>
          <w:rFonts w:ascii="Times New Roman" w:hAnsi="Times New Roman"/>
          <w:color w:val="000000"/>
          <w:sz w:val="13"/>
        </w:rPr>
        <w:t>th</w:t>
      </w:r>
      <w:r>
        <w:rPr>
          <w:color w:val="000000"/>
        </w:rPr>
        <w:t xml:space="preserve"> </w:t>
      </w:r>
      <w:r>
        <w:rPr>
          <w:rFonts w:ascii="Times New Roman" w:hAnsi="Times New Roman"/>
          <w:color w:val="000000"/>
          <w:sz w:val="20"/>
        </w:rPr>
        <w:t>Floor New York, NY 10022.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18,175 Ordinary Shares issued upon conversion of the Advanced Subscription made by Mr. Kilic. Mr. Kilic is employed as Vice President Global Head of Payments and Director DACH &amp; TR at Rezolve. The principal business address for Mr. Kilic is Manstedtener Berg 19, 50259, Pulheim, Germany.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(40)</w:t>
      </w:r>
    </w:p>
    <w:p>
      <w:pPr>
        <w:pStyle w:val="TextBody"/>
        <w:bidi w:val="0"/>
        <w:spacing w:before="120" w:after="283"/>
        <w:jc w:val="left"/>
        <w:rPr/>
      </w:pPr>
      <w:r>
        <w:rPr>
          <w:rFonts w:ascii="Times New Roman" w:hAnsi="Times New Roman"/>
          <w:color w:val="000000"/>
          <w:sz w:val="20"/>
        </w:rPr>
        <w:t>Shares registered hereby consist of 6,921 Ordinary Shares directly held by FT SOF XIII (SPAC) Holdings, LLC. The principal business address of FT SOF XIII (SPAC) Holdings, LLC is 500 Fifth Ave, 9</w:t>
      </w:r>
      <w:r>
        <w:rPr>
          <w:rFonts w:ascii="Times New Roman" w:hAnsi="Times New Roman"/>
          <w:color w:val="000000"/>
          <w:sz w:val="13"/>
        </w:rPr>
        <w:t>th</w:t>
      </w:r>
      <w:r>
        <w:rPr>
          <w:rFonts w:ascii="Times New Roman" w:hAnsi="Times New Roman"/>
          <w:color w:val="000000"/>
          <w:sz w:val="20"/>
        </w:rPr>
        <w:t xml:space="preserve">Floor, New York, NY 10110.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w:t>
      </w:r>
    </w:p>
    <w:p>
      <w:pPr>
        <w:pStyle w:val="TextBody"/>
        <w:bidi w:val="0"/>
        <w:spacing w:before="120" w:after="283"/>
        <w:jc w:val="left"/>
        <w:rPr/>
      </w:pPr>
      <w:r>
        <w:rPr>
          <w:rFonts w:ascii="Times New Roman" w:hAnsi="Times New Roman"/>
          <w:color w:val="000000"/>
          <w:sz w:val="20"/>
        </w:rPr>
        <w:t>Shares registered hereby consist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hAnsi="Times New Roman"/>
          <w:b/>
          <w:i/>
          <w:color w:val="000000"/>
          <w:sz w:val="20"/>
        </w:rPr>
        <w:t>Fujian Limatong XinXi Keji Youxian Gongsi</w:t>
      </w:r>
      <w:r>
        <w:rPr>
          <w:color w:val="00000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8,000 Ordinary Shares issued upon the conversion of the Advance Subscription made by Mr. Bellow.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10,286 Ordinary Shares issued upon the conversion of the Advance Subscription made by Jamie Beadle.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w:t>
      </w:r>
    </w:p>
    <w:p>
      <w:pPr>
        <w:pStyle w:val="TextBody"/>
        <w:bidi w:val="0"/>
        <w:spacing w:before="120" w:after="283"/>
        <w:jc w:val="left"/>
        <w:rPr/>
      </w:pPr>
      <w:r>
        <w:rPr>
          <w:rFonts w:ascii="Times New Roman" w:hAnsi="Times New Roman"/>
          <w:color w:val="000000"/>
          <w:sz w:val="20"/>
        </w:rPr>
        <w:t>Shares registered hereby consist of up to 5,027,508 of Ordinary Shares that may be issued upon conversion of the convertible note issued to J.V.B. Financial Group, LLC (“</w:t>
      </w:r>
      <w:r>
        <w:rPr>
          <w:rFonts w:ascii="Times New Roman" w:hAnsi="Times New Roman"/>
          <w:b/>
          <w:i/>
          <w:color w:val="000000"/>
          <w:sz w:val="20"/>
        </w:rPr>
        <w:t>JVB</w:t>
      </w:r>
      <w:r>
        <w:rPr>
          <w:color w:val="000000"/>
        </w:rPr>
        <w:t>”</w:t>
      </w:r>
      <w:r>
        <w:rPr>
          <w:rFonts w:ascii="Times New Roman" w:hAnsi="Times New Roman"/>
          <w:color w:val="000000"/>
          <w:sz w:val="20"/>
        </w:rPr>
        <w:t>), a registered broker-dealer, on August 14, 2024 (the “</w:t>
      </w:r>
      <w:r>
        <w:rPr>
          <w:rFonts w:ascii="Times New Roman" w:hAnsi="Times New Roman"/>
          <w:b/>
          <w:i/>
          <w:color w:val="000000"/>
          <w:sz w:val="20"/>
        </w:rPr>
        <w:t>JVB Note</w:t>
      </w:r>
      <w:r>
        <w:rPr>
          <w:color w:val="000000"/>
        </w:rPr>
        <w:t>”</w:t>
      </w:r>
      <w:r>
        <w:rPr>
          <w:rFonts w:ascii="Times New Roman" w:hAnsi="Times New Roman"/>
          <w:color w:val="000000"/>
          <w:sz w:val="20"/>
        </w:rPr>
        <w:t xml:space="preserve">).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25,796 Ordinary Shares underlying the Promissory Note held by Mr. King; and (ii) 9,525 Ordinary Share underlying the Private Warrants. Shares beneficially held consist of (i) 7,188 Ordinary Shares; (ii) 25,796 Ordinary Shares issued upon conversion of the Promissory Note held by Mr. King; and (iii) 9,525 Ordinary Shares underlying the Private Warrants held by Mr. King.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herby consist of (i) 21,497 Ordinary Shares issued upon conversion of the Promissory Note held by Mr. Nurse; (ii) 29,667 Ordinary Shares issued upon the conversion of the Advance Subscription made by Mr. Nurse; and (iii) 7,938 Ordinary Shares underlying the Private Warrants held by Julian Nurse.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10,000 Ordinary Shares issued upon the conversion of the Advance Subscription made by Kantor Investment Company LLC. Shares beneficially held consist of (i) 69,785 Ordinary Shares and (ii) 10,000 Ordinary Shares issued upon the conversion of the Advance Subscription made by Kantor Investment Company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33,853 Ordinary Shares underlying the Promissory Note held by Ms. Kalaris; and (ii) the 12,500 Ordinary Shares underlying the Private Warrants held by Ms. Kalaris. Shares beneficially held consist of (i) 65,279 Ordinary Shares; (ii) 33,853 Ordinary Shares issued upon the conversion of the Promissory Note held by Ms. Kalaris, and (iii) 12,500 Ordinary Shares underlying the Private Warrants held by Ms. Kalaris.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40,000 Ordinary Shares issued upon the conversion of the Advance Subscription made by Mr. Israel. Shares beneficially held consist of (i) 31,785 Ordinary Shares and (ii) 40,000 Ordinary Shares issued upon the conversion of the Advance Subscription made by Mr. Israel.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w:t>
      </w:r>
    </w:p>
    <w:p>
      <w:pPr>
        <w:pStyle w:val="TextBody"/>
        <w:bidi w:val="0"/>
        <w:spacing w:before="120" w:after="283"/>
        <w:jc w:val="left"/>
        <w:rPr/>
      </w:pPr>
      <w:r>
        <w:rPr>
          <w:rFonts w:ascii="Times New Roman" w:hAnsi="Times New Roman"/>
          <w:color w:val="000000"/>
          <w:sz w:val="20"/>
        </w:rPr>
        <w:t>Shares registered hereby consist of the maximum number of Ordinary Shares that may be issued in relation to those Ordinary Shares the Company issued to Maxim Group LLC (“</w:t>
      </w:r>
      <w:r>
        <w:rPr>
          <w:rFonts w:ascii="Times New Roman" w:hAnsi="Times New Roman"/>
          <w:b/>
          <w:i/>
          <w:color w:val="000000"/>
          <w:sz w:val="20"/>
        </w:rPr>
        <w:t>Maxim</w:t>
      </w:r>
      <w:r>
        <w:rPr>
          <w:color w:val="000000"/>
        </w:rPr>
        <w:t>”</w:t>
      </w:r>
      <w:r>
        <w:rPr>
          <w:rFonts w:ascii="Times New Roman" w:hAnsi="Times New Roman"/>
          <w:color w:val="000000"/>
          <w:sz w:val="20"/>
        </w:rPr>
        <w:t>), a registered broker-dealer, as transaction-based compensation for the performance of advisory services rendered to the Company in connection with the recently completed Business Combination. The business address of Maxim is 300 Park Ave., 16</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Floor, New York, NY 10022.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(51)</w:t>
      </w:r>
    </w:p>
    <w:p>
      <w:pPr>
        <w:pStyle w:val="TextBody"/>
        <w:bidi w:val="0"/>
        <w:spacing w:before="120" w:after="283"/>
        <w:jc w:val="left"/>
        <w:rPr/>
      </w:pPr>
      <w:r>
        <w:rPr>
          <w:rFonts w:ascii="Times New Roman" w:hAnsi="Times New Roman"/>
          <w:color w:val="000000"/>
          <w:sz w:val="20"/>
        </w:rPr>
        <w:t>Shares registered hereby consist of 131,250 Ordinary Shares directly held by Meteora Capital Partners, L.P. (“</w:t>
      </w:r>
      <w:r>
        <w:rPr>
          <w:rFonts w:ascii="Times New Roman" w:hAnsi="Times New Roman"/>
          <w:b/>
          <w:i/>
          <w:color w:val="000000"/>
          <w:sz w:val="20"/>
        </w:rPr>
        <w:t>Meteora</w:t>
      </w:r>
      <w:r>
        <w:rPr>
          <w:color w:val="000000"/>
        </w:rPr>
        <w:t>”</w:t>
      </w:r>
      <w:r>
        <w:rPr>
          <w:rFonts w:ascii="Times New Roman" w:hAnsi="Times New Roman"/>
          <w:color w:val="000000"/>
          <w:sz w:val="20"/>
        </w:rPr>
        <w:t xml:space="preserve">). Vikas Mittal is the Managing Member of Meteora and in such capacity may be deemed to be the beneficial owner having shared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5,000 Ordinary Shares directly held by Mr. Khan. Mr. Khan served as a director of Armada, which became a wholly owned subsidiary of the Company in connection with the Business Combination, since August 2021. Mr. Khan’s principal business address is 2238 Bentley Ridge Drive, San Jose, CA 95138.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166,667 Ordinary Shares issued upon the conversion of the Advance Subscription made by Patel Family Investment LLC. Shares beneficially held consist of (i) 39,731 Ordinary Shares and (ii) 166,667 Ordinary Shares issued upon the conversion of the Advance Subscription made by Patel Family Investment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35,402 Ordinary Shares issued upon the conversion of the Advance Subscription made by Quality Kiosk.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(55)</w:t>
      </w:r>
    </w:p>
    <w:p>
      <w:pPr>
        <w:pStyle w:val="TextBody"/>
        <w:bidi w:val="0"/>
        <w:spacing w:before="120" w:after="283"/>
        <w:jc w:val="left"/>
        <w:rPr/>
      </w:pPr>
      <w:r>
        <w:rPr>
          <w:rFonts w:ascii="Times New Roman" w:hAnsi="Times New Roman"/>
          <w:color w:val="000000"/>
          <w:sz w:val="20"/>
        </w:rPr>
        <w:t>Shares registered hereby consist of 175,566 Ordinary Shares directly held by Radcliffe SPAC Master Fund, L.P. (“</w:t>
      </w:r>
      <w:r>
        <w:rPr>
          <w:rFonts w:ascii="Times New Roman" w:hAnsi="Times New Roman"/>
          <w:b/>
          <w:i/>
          <w:color w:val="000000"/>
          <w:sz w:val="20"/>
        </w:rPr>
        <w:t>Radcliffe Fund</w:t>
      </w:r>
      <w:r>
        <w:rPr>
          <w:color w:val="000000"/>
        </w:rPr>
        <w:t>”</w:t>
      </w:r>
      <w:r>
        <w:rPr>
          <w:rFonts w:ascii="Times New Roman" w:hAnsi="Times New Roman"/>
          <w:color w:val="000000"/>
          <w:sz w:val="20"/>
        </w:rPr>
        <w:t>). Pursuant to an investment management agreement, Radcliffe Capital Management, L.P. (“</w:t>
      </w:r>
      <w:r>
        <w:rPr>
          <w:rFonts w:ascii="Times New Roman" w:hAnsi="Times New Roman"/>
          <w:b/>
          <w:i/>
          <w:color w:val="000000"/>
          <w:sz w:val="20"/>
        </w:rPr>
        <w:t>RCM</w:t>
      </w:r>
      <w:r>
        <w:rPr>
          <w:color w:val="000000"/>
        </w:rPr>
        <w:t>”</w:t>
      </w:r>
      <w:r>
        <w:rPr>
          <w:rFonts w:ascii="Times New Roman" w:hAnsi="Times New Roman"/>
          <w:color w:val="000000"/>
          <w:sz w:val="20"/>
        </w:rPr>
        <w:t>) serves as the investment manager of the Radcliffe Fund. RGC Management Company, LLC (“</w:t>
      </w:r>
      <w:r>
        <w:rPr>
          <w:rFonts w:ascii="Times New Roman" w:hAnsi="Times New Roman"/>
          <w:b/>
          <w:i/>
          <w:color w:val="000000"/>
          <w:sz w:val="20"/>
        </w:rPr>
        <w:t>Management</w:t>
      </w:r>
      <w:r>
        <w:rPr>
          <w:color w:val="000000"/>
        </w:rPr>
        <w:t>”</w:t>
      </w:r>
      <w:r>
        <w:rPr>
          <w:rFonts w:ascii="Times New Roman" w:hAnsi="Times New Roman"/>
          <w:color w:val="000000"/>
          <w:sz w:val="20"/>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2,321 Ordinary Shares issued upon the conversion of the Advance Subscription made by JingQian Hou. The principal business address of JingQian Hou is 610, Haitian Ge, Haiwaihuayuan, Ligang Lu, Haizhuqu, Guangzhou, Zhongguo.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(57)</w:t>
      </w:r>
    </w:p>
    <w:p>
      <w:pPr>
        <w:pStyle w:val="TextBody"/>
        <w:bidi w:val="0"/>
        <w:spacing w:before="120" w:after="283"/>
        <w:jc w:val="left"/>
        <w:rPr/>
      </w:pPr>
      <w:r>
        <w:rPr>
          <w:rFonts w:ascii="Times New Roman" w:hAnsi="Times New Roman"/>
          <w:color w:val="000000"/>
          <w:sz w:val="20"/>
        </w:rPr>
        <w:t>Shares registered hereby consist of the maximum number of Ordinary Shares that may be issued in relation to those Ordinary Shares the Company issued to Roth Capital Partners, LLC (“</w:t>
      </w:r>
      <w:r>
        <w:rPr>
          <w:rFonts w:ascii="Times New Roman" w:hAnsi="Times New Roman"/>
          <w:b/>
          <w:i/>
          <w:color w:val="000000"/>
          <w:sz w:val="20"/>
        </w:rPr>
        <w:t>Roth Capital</w:t>
      </w:r>
      <w:r>
        <w:rPr>
          <w:color w:val="000000"/>
        </w:rPr>
        <w:t>”</w:t>
      </w:r>
      <w:r>
        <w:rPr>
          <w:rFonts w:ascii="Times New Roman" w:hAnsi="Times New Roman"/>
          <w:color w:val="000000"/>
          <w:sz w:val="20"/>
        </w:rPr>
        <w:t xml:space="preserve">),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9,283 Ordinary Shares issued upon the conversion of the Advance Subscription made by Mr. Lin. Shares beneficially held consist of (i) 16,320 Ordinary Shares and (ii) 9,283 Ordinary Shares issued upon the conversion of the Advance Subscription made by Mr. Lin.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20,000 Ordinary Shares issued upon the conversion of the Advance Subscription made by Sam Lewis. Shares beneficially held consist of (i) 117,832 Ordinary Shares and (ii) 20,000 Ordinary Shares issued upon the conversion of the Advance Subscription made by Sam Lewis.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(60)</w:t>
      </w:r>
    </w:p>
    <w:p>
      <w:pPr>
        <w:pStyle w:val="TextBody"/>
        <w:bidi w:val="0"/>
        <w:spacing w:before="120" w:after="283"/>
        <w:jc w:val="left"/>
        <w:rPr/>
      </w:pPr>
      <w:r>
        <w:rPr>
          <w:rFonts w:ascii="Times New Roman" w:hAnsi="Times New Roman"/>
          <w:color w:val="000000"/>
          <w:sz w:val="20"/>
        </w:rPr>
        <w:t>Shares registered hereby consist of an aggregate of 53,503 Ordinary Shares allocated to investors managed by Sandia Investment Management LP (“</w:t>
      </w:r>
      <w:r>
        <w:rPr>
          <w:rFonts w:ascii="Times New Roman" w:hAnsi="Times New Roman"/>
          <w:b/>
          <w:i/>
          <w:color w:val="000000"/>
          <w:sz w:val="20"/>
        </w:rPr>
        <w:t>Sandia</w:t>
      </w:r>
      <w:r>
        <w:rPr>
          <w:color w:val="000000"/>
        </w:rPr>
        <w:t>”</w:t>
      </w:r>
      <w:r>
        <w:rPr>
          <w:rFonts w:ascii="Times New Roman" w:hAnsi="Times New Roman"/>
          <w:color w:val="000000"/>
          <w:sz w:val="20"/>
        </w:rPr>
        <w:t xml:space="preserve">).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Suite 2600, Boston, MA 02108.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3,372 Ordinary Shares issued upon the conversion of the Advance Subscription made by Sharat Williams.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128,530 Ordinary Shares issued upon conversion of the Convertible Note held by Ms. Briggs.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17,078 Ordinary Shares issued upon the conversion of the Advance Subscription made by Techouts Solutions India Pvt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125,000 Ordinary Shares directly held by Mr. Decker. Mr. Decker served as a director of Armada, which became a wholly owned subsidiary of the Company in connection with the Business Combination, since August 2021. The principal business office of Mr. Decker is 517 Old Gulph Road, Bryn Mawr, PA 19010.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33,853 Ordinary Shares underlying the Promissory Note held by Trustees of Risol Limited Pension and (ii) the 12,500 Ordinary Shares underlying the Private Warrants held by Trustees of Risol Limited Pension. Shares beneficially held consist of (i) 440,634 Ordinary Shares, (ii) 33,853 Ordinary Shares issued upon the conversion of the Promissory Note held by Trustees of Risol Limited Pension; and (iii) 12,500 Ordinary Shares underlying the Private Warrants held by Trustees of Risol Limited Pension.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S-9</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12,500 Ordinary Shares underlying the Private Warrants held by UBIRY GmbH.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(67)</w:t>
      </w:r>
    </w:p>
    <w:p>
      <w:pPr>
        <w:pStyle w:val="TextBody"/>
        <w:bidi w:val="0"/>
        <w:spacing w:before="120" w:after="283"/>
        <w:jc w:val="left"/>
        <w:rPr/>
      </w:pPr>
      <w:r>
        <w:rPr>
          <w:rFonts w:ascii="Times New Roman" w:hAnsi="Times New Roman"/>
          <w:color w:val="000000"/>
          <w:sz w:val="20"/>
        </w:rPr>
        <w:t>Shares registered hereby consist of 33,000 Ordinary Shares directly held by Vellar Opportunities Fund Master, Ltd. (“</w:t>
      </w:r>
      <w:r>
        <w:rPr>
          <w:rFonts w:ascii="Times New Roman" w:hAnsi="Times New Roman"/>
          <w:b/>
          <w:i/>
          <w:color w:val="000000"/>
          <w:sz w:val="20"/>
        </w:rPr>
        <w:t>Vellar</w:t>
      </w:r>
      <w:r>
        <w:rPr>
          <w:color w:val="000000"/>
        </w:rPr>
        <w:t>”</w:t>
      </w:r>
      <w:r>
        <w:rPr>
          <w:rFonts w:ascii="Times New Roman" w:hAnsi="Times New Roman"/>
          <w:color w:val="000000"/>
          <w:sz w:val="20"/>
        </w:rPr>
        <w:t>). Solomon J. Cohen, in his capacity as Director of Vellar,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w:t>
      </w:r>
      <w:r>
        <w:rPr>
          <w:rFonts w:ascii="Times New Roman" w:hAnsi="Times New Roman"/>
          <w:color w:val="000000"/>
          <w:sz w:val="13"/>
        </w:rPr>
        <w:t>th</w:t>
      </w:r>
      <w:r>
        <w:rPr>
          <w:rFonts w:ascii="Times New Roman" w:hAnsi="Times New Roman"/>
          <w:color w:val="000000"/>
          <w:sz w:val="20"/>
        </w:rPr>
        <w:t xml:space="preserve">Floor, New York, NY 10019.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1,000 Ordinary Shares held by Ms. Pao. Ms. Pao has been employed as a junior employee at the Taiwan branch of Rezolve since April 2022. The principal business address for Ms. Pao is 5F., No. 15, Ln. 128, Xinhu 1st Rd., Neihu District, Taipei City 114065, Taiwan (R.O.C.).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100,000 Ordinary Shares issued upon the conversion of the Advance Subscription made by Zedfesto Holding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1,857 Ordinary Shares issued upon the conversion of the Advance Subscription made by Zheng Jie.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120,000 Ordinary Shares issued to Radio Group Holding GmbH in connection with the termination and settlement of 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up to 180,000 Ordinary Shares issued to Stephan Schwenk in connection with the termination and settlement of 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(i) 1,941,111 Ordinary Shares issued to Tanist Group Limited as consideration for the BlueDot Acquisition; and (ii) 25,000 Ordinary Shares issuable upon the conversion of Private Warrants. Shares beneficially held consist of (i) 765,455 Ordinary Shares directly held and (ii) up to 1,941,111 Ordinary Shares issued to Tanist Group Limited as consideration for the BlueDot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up to 5,857,143 Ordinary Shares issuable to WAB in connection with the WAB Subscription Letter. The business address of WAB is One East Washington Street, Suite 1400, Phoenix, Arizona 85004.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52,838 Ordinary Shares received by Mr. Warren as consideration for the GroupBy Acquisition. The business address of Mr. Warren is 6545 Helgesen Road, Sooke, BC V9Z OV7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44,031 Ordinary Shares received by Mr. Cheung-Bret as consideration for the GroupBy Acquisition. The business address of Mr. Cheung-Bret is 219 Roslin Avenue, Toronto, ON M4N 1Z5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168,587 Ordinary Shares received by Ms. Gossage as consideration for the GroupBy Acquisition. The business address of Ms. Gossage is 59 Wanita Road, Toronto, ON M1C 1V3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203,020 Ordinary Shares received by Mr. Gossage as consideration for the GroupBy Acquisition. The business address of Mr. Gossage is 59 Wanita Road, Toronto, ON M1C 1V3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708 Ordinary Shares received by Ms. Bundy as consideration for the GroupBy Acquisition. The business address of Ms. Bundy is 1200 Barton Creek Blvd. #54, Austin TX 78735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14,506 Ordinary Shares received by Ms. Young as consideration for the GroupBy Acquisition. The business address of Ms. Young is 39 Albany Ave, Toronto, ON M5R 3C2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14,319 Ordinary Shares received by Mr. Grange as consideration for the GroupBy Acquisition. The business address of Mr. Grange is 14139 Creditview Road, Cheltenham, ON L7C 3G5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6,173 Ordinary Shares received by Mr. Devlin as consideration for the GroupBy Acquisition. The business address of Mr. Devlin is 338 Kennedy Ave, Toronto, ON M6P 3C3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6,173 Ordinary Shares received by Mr. Long as consideration for the GroupBy Acquisition. The business address of Mr. Long is 2912 West Broadway, Suite 146, Vancouver, BC V6K 0E9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12,346 Ordinary Shares received by The Estate of Gerd Opderbeck as consideration for the GroupBy Acquisition. The business address of The Estate of Gerd Opderbeck is 16 Bridle Lane, Newtown Square, PA 19073 United States.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S-10</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18,519 Ordinary Shares received by M. Belcourt Consulting Group Inc. as consideration for the GroupBy Acquisition. The business address of M. Belcourt Consulting Group Inc. is 087238, 7th Sideroad, Thornbury ON, Box 83 NOH 2PO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8,025 Ordinary Shares received by ITF KKLM Investments CO. Ltd. as consideration for the GroupBy Acquisition. The business address of ITF KKLM Investments CO. Ltd. is 36 Forest Hill Road, Toronto, Ontario M4V 2L3.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53,024 Ordinary Shares received by 2432332 Ontario Inc. as consideration for the GroupBy Acquisition. The business address of 2432332 Ontario Inc. is 348024 15 Sideroad, Mono, Ontario L9W 6S6,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24,691 Ordinary Shares received by Mr. Opderbeck as consideration for the GroupBy Acquisition. The business address of Mr. Opderbeck is 363 Good Hope Rd, Bluffton, SC 29909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(89)</w:t>
      </w:r>
    </w:p>
    <w:p>
      <w:pPr>
        <w:pStyle w:val="TextBody"/>
        <w:bidi w:val="0"/>
        <w:spacing w:before="120" w:after="283"/>
        <w:jc w:val="left"/>
        <w:rPr/>
      </w:pPr>
      <w:r>
        <w:rPr>
          <w:rFonts w:ascii="Times New Roman" w:hAnsi="Times New Roman"/>
          <w:color w:val="000000"/>
          <w:sz w:val="20"/>
        </w:rPr>
        <w:t>Shares registered hereby consist of 9,114 Ordinary Shares received by Austin Ventures X, L.P. as consideration for the GroupBy Acquisition. The business address of Austin Ventures X, L.P. is 1700 West 6</w:t>
      </w:r>
      <w:r>
        <w:rPr>
          <w:rFonts w:ascii="Times New Roman" w:hAnsi="Times New Roman"/>
          <w:color w:val="000000"/>
          <w:sz w:val="13"/>
        </w:rPr>
        <w:t>th</w:t>
      </w:r>
      <w:r>
        <w:rPr>
          <w:rFonts w:ascii="Times New Roman" w:hAnsi="Times New Roman"/>
          <w:color w:val="000000"/>
          <w:sz w:val="20"/>
        </w:rPr>
        <w:t xml:space="preserve">Street, Austin, TX 78703.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10,058 Ordinary Shares received by Mr. Mircevski as consideration for the GroupBy Acquisition. The business address of Mr. Mircevski is 656 Blair Creek Drive, Kitchener, ON N2P 0E7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79,093 Ordinary Shares received by Mr. Dunlap as consideration for the GroupBy Acquisition. The business address of Mr. Dunlap is 16630 Dufferin Street, King, ON L7B1K5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59,451 Ordinary Shares received by Mr. Meloff as consideration for the GroupBy Acquisition. The business address of Mr. Meloff is 10 Fairland Road, Toronto, ON M4G 2T8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205,803 Ordinary Shares received by Mr. Stibbe as consideration for the GroupBy Acquisition. The business address of Mr. Stibbe is 36 Redwood Avenue, Toronto, ON M4L 2S6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21,610 Ordinary Shares received by Ms. Srikant Nayak as consideration for the GroupBy Acquisition. The business address of Ms. Nayak is 53 Schooner Drive, Brampton, ON L7A 3H6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2,379 Ordinary Shares received by Mr. Alder as consideration for the GroupBy Acquisition. The business address of Mr. Alder is 5708 Loyalist Street, Ottawa, ON K0A 2W0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Roland Gossage is the main owner and director of Gorstidge Consulting Inc. and is an employee of GroupBy. Shares registered hereby consist of 36,278 Ordinary Shares received by Gorstidge Consulting Inc. as consideration for the GroupBy Acquisition. The business address of Gorstidge Consulting Inc. is 59 Wanita Road, Toronto, ON M1c 1V3.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10,824 Ordinary Shares received by Mr. Shashikant Nayak as consideration for the GroupBy Acquisition. The business address of Mr. Nayak is 39 Fairhill Ave, Brampton, ON L7A 2E7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4,937 Ordinary Shares received by Ms. Shashikant as consideration for the GroupBy Acquisition. The business address of Ms. Shashikant is 39 Fairhill Ave, Brampton, ON L7A 2E7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44,733 Ordinary Shares received by Ms. Estey as consideration for the GroupBy Acquisition. The business address of Ms. Estey is 159 Rosedale Hts Dr, Toronto, ON M4T 1C7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43,404 Ordinary Shares received by Mr. Yang as consideration for the GroupBy Acquisition. The business address of Mr. Yang is 60 Wilson Way, SPC 112, Milpitas, CA 95035 USA.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21,601 Ordinary Shares received by Mr. D’Souza as consideration for the GroupBy Acquisition. The business address of Mr. D’Souza is 18 Dalmeny Drive, Brampton, ON L6X 0X3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16,468 Ordinary Shares received by Mr. Cole as consideration for the GroupBy Acquisition. The business address of Mr. Cole is 43 Norden Crescent, Toronto, ON M3B 1B7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(103)</w:t>
      </w:r>
    </w:p>
    <w:p>
      <w:pPr>
        <w:pStyle w:val="TextBody"/>
        <w:bidi w:val="0"/>
        <w:spacing w:before="120" w:after="283"/>
        <w:jc w:val="left"/>
        <w:rPr/>
      </w:pPr>
      <w:r>
        <w:rPr>
          <w:rFonts w:ascii="Times New Roman" w:hAnsi="Times New Roman"/>
          <w:color w:val="000000"/>
          <w:sz w:val="20"/>
        </w:rPr>
        <w:t>PeakSpan Capital, LLC is the general partner of PeakSpan Capital Growth Partners I, L.P., and Mr. Phil Dur is the majority owner of PeakSpan Capital, LLC. Shares registered hereby consist of 2,071,294 Ordinary Shares received by PeakSpan Capital Growth Partners I, L.P. as consideration for the GroupBy Acquisition. The business address of PeakSpan Capital Growth Partners I, L.P. is 192 Lexington Avenue, 16</w:t>
      </w:r>
      <w:r>
        <w:rPr>
          <w:rFonts w:ascii="Times New Roman" w:hAnsi="Times New Roman"/>
          <w:color w:val="000000"/>
          <w:sz w:val="13"/>
        </w:rPr>
        <w:t xml:space="preserve">th </w:t>
      </w:r>
      <w:r>
        <w:rPr>
          <w:rFonts w:ascii="Times New Roman" w:hAnsi="Times New Roman"/>
          <w:color w:val="000000"/>
          <w:sz w:val="20"/>
        </w:rPr>
        <w:t xml:space="preserve">Floor, New York, NY 10016.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(104)</w:t>
      </w:r>
    </w:p>
    <w:p>
      <w:pPr>
        <w:pStyle w:val="TextBody"/>
        <w:bidi w:val="0"/>
        <w:spacing w:before="120" w:after="283"/>
        <w:jc w:val="left"/>
        <w:rPr/>
      </w:pPr>
      <w:r>
        <w:rPr>
          <w:rFonts w:ascii="Times New Roman" w:hAnsi="Times New Roman"/>
          <w:color w:val="000000"/>
          <w:sz w:val="20"/>
        </w:rPr>
        <w:t>PeakSpan Capital, LLC is the general partner of PeakSpan Capital Growth Partners l-A, L.P., and Mr. Phil Dur is the majority owner of PeakSpan Capital, LLC. Shares registered hereby consist of 14,251 Ordinary Shares received by PeakSpan Capital Growth Partners 1-A, L.P. as consideration for the GroupBy Acquisition. The business address of PeakSpan Capital Growth Partners l-A, L.P. is 192 Lexington Avenue, 16</w:t>
      </w:r>
      <w:r>
        <w:rPr>
          <w:rFonts w:ascii="Times New Roman" w:hAnsi="Times New Roman"/>
          <w:color w:val="000000"/>
          <w:sz w:val="13"/>
        </w:rPr>
        <w:t xml:space="preserve">th </w:t>
      </w:r>
      <w:r>
        <w:rPr>
          <w:rFonts w:ascii="Times New Roman" w:hAnsi="Times New Roman"/>
          <w:color w:val="000000"/>
          <w:sz w:val="20"/>
        </w:rPr>
        <w:t xml:space="preserve">Floor, New York, NY 10016.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S-11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21,601 Ordinary Shares received by Ms. D’Souza as consideration for the GroupBy Acquisition. The business address of Ms. D’Souza is 18 Dalmeny Drive, Brampton, ON L6X 0X3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11,203 Ordinary Shares received by Mr. Cornelisse as consideration for the GroupBy Acquisition. The business address of Mr. Cornelisse is 42 Stockdale Road, Needham, MA 02492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15,788 Ordinary Shares received by Mr. Kamath as consideration for the GroupBy Acquisition. The business address of Mr. Kamath is 797 Spinning Wheel Crescent, Mississauga, ON L5W 1W4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10,769 Ordinary Shares received by Mr. Kesavan as consideration for the GroupBy Acquisition. The business address of Mr. Kesavan is 2240 Foxfield Rd, Oakville, ON L6M 4C5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registered hereby consist of 51,593 Ordinary Shares received by Mr. Halpenny as consideration for the GroupBy Acquisition. The business address of Mr. Halpenny is 3 Relmar Gardens, Toronto, ON M5P 1S1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Oak Lawn Direct Investment Fund GP, LLC is the managing general partner of CHC Direct Investment Fund I, L.P. Shares registered hereby consist of 597,375 Ordinary Shares received by CHC Direct Investment Fund I, L.P. as consideration for the GroupBy Acquisition. The business address of CHC Direct Investment Fund I, L.P. is 3953 Maple Avenue, Suite 250, Dallas TX 75219.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registered hereby consist of 7,979,499 Ordinary Shares issued in connection with the July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S-12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8574</Words>
  <Characters>46508</Characters>
  <CharactersWithSpaces>54386</CharactersWithSpaces>
  <Paragraphs>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