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333-291842</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December 19, 2025)</w:t>
      </w:r>
    </w:p>
    <w:p>
      <w:pPr>
        <w:spacing w:after="0" w:line="3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Rezolve AI plc</w:t>
      </w: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62,500,000 Ordinary Shares</w:t>
      </w:r>
    </w:p>
    <w:p>
      <w:pPr>
        <w:spacing w:after="0" w:line="238"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offering 62,500,000 ordinary shares nominal value £0.0001 each (the “Ordinary Shares”) in the capital of Rezolve AI plc (the "Company") to institutional investors pursuant to this prospectus supplement and the accompanying prospectus.</w:t>
      </w:r>
    </w:p>
    <w:p>
      <w:pPr>
        <w:spacing w:after="0" w:line="16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Ordinary Shares and Public Warrants are listed on Nasdaq under the symbols “RZLV” and “RZLVW,” respectively. On January 16, 2026, the last reported sale price of our Ordinary Shares was $4.61 per share and our Public Warrants was $1.98 per Public Warrant.</w:t>
      </w:r>
    </w:p>
    <w:p>
      <w:pPr>
        <w:spacing w:after="0" w:line="162"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engaged A.G.P./Alliance Global Partners to act as lead placement agent with Titan Partners Group, a division of American Capital Partners and Maxim Group LLC serving as co-placement agent</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in connection with this offering. The placement agents are not purchasing the securities offered by us in this offering and are not required to arrange the purchase or sale of any specific number or dollar amount of securities, but will use their reasonable best efforts to arrange for the sale of the securities offered hereby. We have agreed to pay the placement agents the fees set forth in the table below which assumes that we sell all of the securities offered by the prospectus supplement and the accompanying base prospectus.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We have also engaged Roth Capital Partners and Northland Capital Markets as our financial advisors.</w:t>
      </w:r>
    </w:p>
    <w:p>
      <w:pPr>
        <w:spacing w:after="0" w:line="217" w:lineRule="exact"/>
        <w:rPr>
          <w:sz w:val="24"/>
          <w:szCs w:val="24"/>
          <w:color w:val="auto"/>
        </w:rPr>
      </w:pPr>
    </w:p>
    <w:p>
      <w:pPr>
        <w:jc w:val="both"/>
        <w:spacing w:after="0" w:line="273" w:lineRule="auto"/>
        <w:rPr>
          <w:sz w:val="20"/>
          <w:szCs w:val="20"/>
          <w:color w:val="auto"/>
        </w:rPr>
      </w:pPr>
      <w:r>
        <w:rPr>
          <w:rFonts w:ascii="Times New Roman" w:cs="Times New Roman" w:eastAsia="Times New Roman" w:hAnsi="Times New Roman"/>
          <w:sz w:val="20"/>
          <w:szCs w:val="20"/>
          <w:b w:val="1"/>
          <w:bCs w:val="1"/>
          <w:color w:val="auto"/>
        </w:rPr>
        <w:t>Investing in our securities involves a high degree of risk. See “Risk Factors” beginning on page S-6 of this prospectus supplement for a discussion of information that should be considered in connection with an investment in our securities.</w:t>
      </w:r>
    </w:p>
    <w:p>
      <w:pPr>
        <w:spacing w:after="0" w:line="156" w:lineRule="exact"/>
        <w:rPr>
          <w:sz w:val="24"/>
          <w:szCs w:val="24"/>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is truthful or complete. Any representation to the contrary is a criminal offense.</w:t>
      </w:r>
    </w:p>
    <w:p>
      <w:pPr>
        <w:spacing w:after="0" w:line="182" w:lineRule="exact"/>
        <w:rPr>
          <w:sz w:val="24"/>
          <w:szCs w:val="24"/>
          <w:color w:val="auto"/>
        </w:rPr>
      </w:pPr>
    </w:p>
    <w:tbl>
      <w:tblPr>
        <w:tblLayout w:type="fixed"/>
        <w:tblInd w:w="1080" w:type="dxa"/>
        <w:tblCellMar>
          <w:top w:w="0" w:type="dxa"/>
          <w:left w:w="0" w:type="dxa"/>
          <w:bottom w:w="0" w:type="dxa"/>
          <w:right w:w="0" w:type="dxa"/>
        </w:tblCellMar>
      </w:tblPr>
      <w:tr>
        <w:trPr>
          <w:trHeight w:val="238"/>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560" w:type="dxa"/>
            <w:vAlign w:val="bottom"/>
          </w:tcPr>
          <w:p>
            <w:pPr>
              <w:spacing w:after="0"/>
              <w:rPr>
                <w:sz w:val="20"/>
                <w:szCs w:val="20"/>
                <w:color w:val="auto"/>
              </w:rPr>
            </w:pPr>
          </w:p>
        </w:tc>
        <w:tc>
          <w:tcPr>
            <w:tcW w:w="2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Ordinary Share</w:t>
            </w:r>
          </w:p>
        </w:tc>
        <w:tc>
          <w:tcPr>
            <w:tcW w:w="780" w:type="dxa"/>
            <w:vAlign w:val="bottom"/>
          </w:tcPr>
          <w:p>
            <w:pPr>
              <w:spacing w:after="0"/>
              <w:rPr>
                <w:sz w:val="20"/>
                <w:szCs w:val="20"/>
                <w:color w:val="auto"/>
              </w:rPr>
            </w:pPr>
          </w:p>
        </w:tc>
        <w:tc>
          <w:tcPr>
            <w:tcW w:w="27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tcPr>
          <w:p>
            <w:pPr>
              <w:jc w:val="right"/>
              <w:ind w:right="1730"/>
              <w:spacing w:after="0" w:line="171" w:lineRule="exact"/>
              <w:rPr>
                <w:sz w:val="20"/>
                <w:szCs w:val="20"/>
                <w:color w:val="auto"/>
              </w:rPr>
            </w:pPr>
            <w:r>
              <w:rPr>
                <w:rFonts w:ascii="Times New Roman" w:cs="Times New Roman" w:eastAsia="Times New Roman" w:hAnsi="Times New Roman"/>
                <w:sz w:val="18"/>
                <w:szCs w:val="18"/>
                <w:color w:val="auto"/>
                <w:w w:val="93"/>
              </w:rPr>
              <w:t>$4.00</w:t>
            </w:r>
          </w:p>
        </w:tc>
        <w:tc>
          <w:tcPr>
            <w:tcW w:w="780" w:type="dxa"/>
            <w:vAlign w:val="bottom"/>
          </w:tcPr>
          <w:p>
            <w:pPr>
              <w:spacing w:after="0"/>
              <w:rPr>
                <w:sz w:val="14"/>
                <w:szCs w:val="14"/>
                <w:color w:val="auto"/>
              </w:rPr>
            </w:pPr>
          </w:p>
        </w:tc>
        <w:tc>
          <w:tcPr>
            <w:tcW w:w="2700" w:type="dxa"/>
            <w:vAlign w:val="bottom"/>
          </w:tcPr>
          <w:p>
            <w:pPr>
              <w:jc w:val="right"/>
              <w:ind w:right="1630"/>
              <w:spacing w:after="0" w:line="171" w:lineRule="exact"/>
              <w:rPr>
                <w:sz w:val="20"/>
                <w:szCs w:val="20"/>
                <w:color w:val="auto"/>
              </w:rPr>
            </w:pPr>
            <w:r>
              <w:rPr>
                <w:rFonts w:ascii="Times New Roman" w:cs="Times New Roman" w:eastAsia="Times New Roman" w:hAnsi="Times New Roman"/>
                <w:sz w:val="18"/>
                <w:szCs w:val="18"/>
                <w:color w:val="auto"/>
                <w:w w:val="96"/>
              </w:rPr>
              <w:t>$250,000,000</w:t>
            </w:r>
          </w:p>
        </w:tc>
        <w:tc>
          <w:tcPr>
            <w:tcW w:w="0" w:type="dxa"/>
            <w:vAlign w:val="bottom"/>
          </w:tcPr>
          <w:p>
            <w:pPr>
              <w:spacing w:after="0"/>
              <w:rPr>
                <w:sz w:val="1"/>
                <w:szCs w:val="1"/>
                <w:color w:val="auto"/>
              </w:rPr>
            </w:pPr>
          </w:p>
        </w:tc>
      </w:tr>
      <w:tr>
        <w:trPr>
          <w:trHeight w:val="236"/>
        </w:trPr>
        <w:tc>
          <w:tcPr>
            <w:tcW w:w="28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4"/>
                <w:szCs w:val="24"/>
                <w:color w:val="auto"/>
                <w:vertAlign w:val="superscript"/>
              </w:rPr>
              <w:t>(1)</w:t>
            </w:r>
          </w:p>
        </w:tc>
        <w:tc>
          <w:tcPr>
            <w:tcW w:w="278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$0.20</w:t>
            </w:r>
          </w:p>
        </w:tc>
        <w:tc>
          <w:tcPr>
            <w:tcW w:w="348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78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$3.80</w:t>
            </w:r>
          </w:p>
        </w:tc>
        <w:tc>
          <w:tcPr>
            <w:tcW w:w="348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$237,500,000</w:t>
            </w:r>
          </w:p>
        </w:tc>
        <w:tc>
          <w:tcPr>
            <w:tcW w:w="0" w:type="dxa"/>
            <w:vAlign w:val="bottom"/>
          </w:tcPr>
          <w:p>
            <w:pPr>
              <w:spacing w:after="0"/>
              <w:rPr>
                <w:sz w:val="1"/>
                <w:szCs w:val="1"/>
                <w:color w:val="auto"/>
              </w:rPr>
            </w:pPr>
          </w:p>
        </w:tc>
      </w:tr>
    </w:tbl>
    <w:p>
      <w:pPr>
        <w:spacing w:after="0" w:line="225" w:lineRule="exact"/>
        <w:rPr>
          <w:sz w:val="24"/>
          <w:szCs w:val="24"/>
          <w:color w:val="auto"/>
        </w:rPr>
      </w:pPr>
    </w:p>
    <w:p>
      <w:pPr>
        <w:jc w:val="both"/>
        <w:ind w:left="460" w:right="20" w:hanging="452"/>
        <w:spacing w:after="0" w:line="266" w:lineRule="auto"/>
        <w:tabs>
          <w:tab w:leader="none" w:pos="4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fee equal to 5.0% of the aggregate purchase price paid by the investors in this offering. In addition, we have agreed to reimburse certain expenses of the placement agents in connection with this offering. See “Plan of Distribution” beginning on page S-13 of this prospectus supplement for a description of the compensation to be received by the placement agents.</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Delivery of the Ordinary Shares is expected to be made on or about January 21, 2026.</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Lead Placement Agent</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A.G.P.</w:t>
      </w: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Co-Lead Placement Agents</w:t>
      </w:r>
    </w:p>
    <w:p>
      <w:pPr>
        <w:spacing w:after="0" w:line="209" w:lineRule="exact"/>
        <w:rPr>
          <w:sz w:val="24"/>
          <w:szCs w:val="24"/>
          <w:color w:val="auto"/>
        </w:rPr>
      </w:pPr>
    </w:p>
    <w:p>
      <w:pPr>
        <w:ind w:left="1500"/>
        <w:spacing w:after="0"/>
        <w:tabs>
          <w:tab w:leader="none" w:pos="6520" w:val="left"/>
        </w:tabs>
        <w:rPr>
          <w:sz w:val="20"/>
          <w:szCs w:val="20"/>
          <w:color w:val="auto"/>
        </w:rPr>
      </w:pPr>
      <w:r>
        <w:rPr>
          <w:rFonts w:ascii="Times New Roman" w:cs="Times New Roman" w:eastAsia="Times New Roman" w:hAnsi="Times New Roman"/>
          <w:sz w:val="25"/>
          <w:szCs w:val="25"/>
          <w:b w:val="1"/>
          <w:bCs w:val="1"/>
          <w:color w:val="auto"/>
        </w:rPr>
        <w:t>Titan Partners</w:t>
      </w:r>
      <w:r>
        <w:rPr>
          <w:sz w:val="20"/>
          <w:szCs w:val="20"/>
          <w:color w:val="auto"/>
        </w:rPr>
        <w:tab/>
      </w:r>
      <w:r>
        <w:rPr>
          <w:rFonts w:ascii="Times New Roman" w:cs="Times New Roman" w:eastAsia="Times New Roman" w:hAnsi="Times New Roman"/>
          <w:sz w:val="25"/>
          <w:szCs w:val="25"/>
          <w:b w:val="1"/>
          <w:bCs w:val="1"/>
          <w:color w:val="auto"/>
        </w:rPr>
        <w:t>Maxim Group LLC</w:t>
      </w:r>
    </w:p>
    <w:p>
      <w:pPr>
        <w:spacing w:after="0" w:line="44"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25"/>
          <w:szCs w:val="25"/>
          <w:i w:val="1"/>
          <w:iCs w:val="1"/>
          <w:color w:val="auto"/>
        </w:rPr>
        <w:t>a division of American Capital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33"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22"/>
          <w:szCs w:val="22"/>
          <w:i w:val="1"/>
          <w:iCs w:val="1"/>
          <w:color w:val="auto"/>
        </w:rPr>
        <w:t>Financial Advisors</w:t>
      </w:r>
    </w:p>
    <w:p>
      <w:pPr>
        <w:spacing w:after="0" w:line="200" w:lineRule="exact"/>
        <w:rPr>
          <w:sz w:val="20"/>
          <w:szCs w:val="20"/>
          <w:color w:val="auto"/>
        </w:rPr>
      </w:pPr>
    </w:p>
    <w:p>
      <w:pPr>
        <w:spacing w:after="0" w:line="272" w:lineRule="exact"/>
        <w:rPr>
          <w:sz w:val="20"/>
          <w:szCs w:val="20"/>
          <w:color w:val="auto"/>
        </w:rPr>
      </w:pPr>
    </w:p>
    <w:p>
      <w:pPr>
        <w:ind w:left="380"/>
        <w:spacing w:after="0"/>
        <w:tabs>
          <w:tab w:leader="none" w:pos="4100" w:val="left"/>
        </w:tabs>
        <w:rPr>
          <w:sz w:val="20"/>
          <w:szCs w:val="20"/>
          <w:color w:val="auto"/>
        </w:rPr>
      </w:pPr>
      <w:r>
        <w:rPr>
          <w:rFonts w:ascii="Times New Roman" w:cs="Times New Roman" w:eastAsia="Times New Roman" w:hAnsi="Times New Roman"/>
          <w:sz w:val="23"/>
          <w:szCs w:val="23"/>
          <w:b w:val="1"/>
          <w:bCs w:val="1"/>
          <w:color w:val="auto"/>
        </w:rPr>
        <w:t>Roth Capital Partners</w:t>
      </w:r>
      <w:r>
        <w:rPr>
          <w:sz w:val="20"/>
          <w:szCs w:val="20"/>
          <w:color w:val="auto"/>
        </w:rPr>
        <w:tab/>
      </w:r>
      <w:r>
        <w:rPr>
          <w:rFonts w:ascii="Times New Roman" w:cs="Times New Roman" w:eastAsia="Times New Roman" w:hAnsi="Times New Roman"/>
          <w:sz w:val="23"/>
          <w:szCs w:val="23"/>
          <w:b w:val="1"/>
          <w:bCs w:val="1"/>
          <w:color w:val="auto"/>
        </w:rPr>
        <w:t>Northland Capital Markets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January 20,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461645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716"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6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ABOUT THIS PROSPECTUS SUPPLEMENT</w:t>
            </w: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r>
        <w:trPr>
          <w:trHeight w:val="20"/>
        </w:trPr>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S-2</w:t>
            </w:r>
          </w:p>
        </w:tc>
      </w:tr>
      <w:tr>
        <w:trPr>
          <w:trHeight w:val="196"/>
        </w:trPr>
        <w:tc>
          <w:tcPr>
            <w:tcW w:w="3320" w:type="dxa"/>
            <w:vAlign w:val="bottom"/>
            <w:tcBorders>
              <w:top w:val="single" w:sz="8" w:color="0000FF"/>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SUPPLEMENT SUMMARY</w:t>
            </w:r>
          </w:p>
        </w:tc>
        <w:tc>
          <w:tcPr>
            <w:tcW w:w="2540" w:type="dxa"/>
            <w:vAlign w:val="bottom"/>
            <w:tcBorders>
              <w:top w:val="single" w:sz="8" w:color="0000FF"/>
            </w:tcBorders>
            <w:gridSpan w:val="5"/>
          </w:tcPr>
          <w:p>
            <w:pPr>
              <w:spacing w:after="0"/>
              <w:rPr>
                <w:sz w:val="17"/>
                <w:szCs w:val="17"/>
                <w:color w:val="auto"/>
              </w:rPr>
            </w:pPr>
          </w:p>
        </w:tc>
        <w:tc>
          <w:tcPr>
            <w:tcW w:w="2600" w:type="dxa"/>
            <w:vAlign w:val="bottom"/>
            <w:gridSpan w:val="2"/>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S-3</w:t>
            </w: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THE OFFERING</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S-5</w:t>
            </w:r>
          </w:p>
        </w:tc>
      </w:tr>
      <w:tr>
        <w:trPr>
          <w:trHeight w:val="196"/>
        </w:trPr>
        <w:tc>
          <w:tcPr>
            <w:tcW w:w="1280" w:type="dxa"/>
            <w:vAlign w:val="bottom"/>
            <w:tcBorders>
              <w:top w:val="single" w:sz="8" w:color="0000FF"/>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RISK FACTORS</w:t>
            </w:r>
          </w:p>
        </w:tc>
        <w:tc>
          <w:tcPr>
            <w:tcW w:w="7180" w:type="dxa"/>
            <w:vAlign w:val="bottom"/>
            <w:gridSpan w:val="21"/>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S-6</w:t>
            </w: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S-7</w:t>
            </w:r>
          </w:p>
        </w:tc>
      </w:tr>
      <w:tr>
        <w:trPr>
          <w:trHeight w:val="196"/>
        </w:trPr>
        <w:tc>
          <w:tcPr>
            <w:tcW w:w="152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CAPITALIZATION</w:t>
            </w:r>
          </w:p>
        </w:tc>
        <w:tc>
          <w:tcPr>
            <w:tcW w:w="60" w:type="dxa"/>
            <w:vAlign w:val="bottom"/>
            <w:tcBorders>
              <w:top w:val="single" w:sz="8" w:color="0000FF"/>
            </w:tcBorders>
          </w:tcPr>
          <w:p>
            <w:pPr>
              <w:spacing w:after="0"/>
              <w:rPr>
                <w:sz w:val="17"/>
                <w:szCs w:val="17"/>
                <w:color w:val="auto"/>
              </w:rPr>
            </w:pPr>
          </w:p>
        </w:tc>
        <w:tc>
          <w:tcPr>
            <w:tcW w:w="6880" w:type="dxa"/>
            <w:vAlign w:val="bottom"/>
            <w:gridSpan w:val="17"/>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S-8</w:t>
            </w: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DILUTION</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S-9</w:t>
            </w:r>
          </w:p>
        </w:tc>
      </w:tr>
      <w:tr>
        <w:trPr>
          <w:trHeight w:val="20"/>
        </w:trPr>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ORDINARY SHARES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S-10</w:t>
            </w:r>
          </w:p>
        </w:tc>
      </w:tr>
      <w:tr>
        <w:trPr>
          <w:trHeight w:val="196"/>
        </w:trPr>
        <w:tc>
          <w:tcPr>
            <w:tcW w:w="2080" w:type="dxa"/>
            <w:vAlign w:val="bottom"/>
            <w:tcBorders>
              <w:top w:val="single" w:sz="8" w:color="0000FF"/>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1100" w:type="dxa"/>
            <w:vAlign w:val="bottom"/>
            <w:tcBorders>
              <w:top w:val="single" w:sz="8" w:color="0000FF"/>
            </w:tcBorders>
            <w:gridSpan w:val="5"/>
          </w:tcPr>
          <w:p>
            <w:pPr>
              <w:spacing w:after="0"/>
              <w:rPr>
                <w:sz w:val="17"/>
                <w:szCs w:val="17"/>
                <w:color w:val="auto"/>
              </w:rPr>
            </w:pPr>
          </w:p>
        </w:tc>
        <w:tc>
          <w:tcPr>
            <w:tcW w:w="5280" w:type="dxa"/>
            <w:vAlign w:val="bottom"/>
            <w:gridSpan w:val="9"/>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S-14</w:t>
            </w: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LEGAL MATTERS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196"/>
        </w:trPr>
        <w:tc>
          <w:tcPr>
            <w:tcW w:w="1480" w:type="dxa"/>
            <w:vAlign w:val="bottom"/>
            <w:tcBorders>
              <w:top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6980" w:type="dxa"/>
            <w:vAlign w:val="bottom"/>
            <w:gridSpan w:val="20"/>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20"/>
        </w:trPr>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WHERE YOU CAN FIND MORE INFORMATION</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S-16</w:t>
            </w:r>
          </w:p>
        </w:tc>
      </w:tr>
      <w:tr>
        <w:trPr>
          <w:trHeight w:val="20"/>
        </w:trPr>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5260" w:type="dxa"/>
            <w:vAlign w:val="bottom"/>
            <w:tcBorders>
              <w:bottom w:val="single" w:sz="8" w:color="0000FF"/>
            </w:tcBorders>
            <w:gridSpan w:val="25"/>
          </w:tcPr>
          <w:p>
            <w:pPr>
              <w:spacing w:after="0" w:line="196" w:lineRule="exact"/>
              <w:rPr>
                <w:sz w:val="20"/>
                <w:szCs w:val="20"/>
                <w:color w:val="auto"/>
              </w:rPr>
            </w:pPr>
            <w:r>
              <w:rPr>
                <w:rFonts w:ascii="Times New Roman" w:cs="Times New Roman" w:eastAsia="Times New Roman" w:hAnsi="Times New Roman"/>
                <w:sz w:val="18"/>
                <w:szCs w:val="18"/>
                <w:color w:val="0000FF"/>
                <w:w w:val="99"/>
              </w:rPr>
              <w:t>INCORPORATION OF CERTAIN INFORMATION BY REFERENCE</w:t>
            </w:r>
          </w:p>
        </w:tc>
        <w:tc>
          <w:tcPr>
            <w:tcW w:w="3200" w:type="dxa"/>
            <w:vAlign w:val="bottom"/>
            <w:gridSpan w:val="3"/>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S-17</w:t>
            </w:r>
          </w:p>
        </w:tc>
      </w:tr>
      <w:tr>
        <w:trPr>
          <w:trHeight w:val="196"/>
        </w:trPr>
        <w:tc>
          <w:tcPr>
            <w:tcW w:w="846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0000FF"/>
              </w:rPr>
              <w:t>PROSPECTUS</w:t>
            </w:r>
          </w:p>
        </w:tc>
        <w:tc>
          <w:tcPr>
            <w:tcW w:w="2760" w:type="dxa"/>
            <w:vAlign w:val="bottom"/>
          </w:tcPr>
          <w:p>
            <w:pPr>
              <w:spacing w:after="0"/>
              <w:rPr>
                <w:sz w:val="17"/>
                <w:szCs w:val="17"/>
                <w:color w:val="auto"/>
              </w:rPr>
            </w:pPr>
          </w:p>
        </w:tc>
      </w:tr>
      <w:tr>
        <w:trPr>
          <w:trHeight w:val="669"/>
        </w:trPr>
        <w:tc>
          <w:tcPr>
            <w:tcW w:w="2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0" w:type="dxa"/>
            <w:vAlign w:val="bottom"/>
            <w:gridSpan w:val="4"/>
          </w:tcPr>
          <w:p>
            <w:pPr>
              <w:ind w:left="134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2760" w:type="dxa"/>
            <w:vAlign w:val="bottom"/>
          </w:tcPr>
          <w:p>
            <w:pPr>
              <w:spacing w:after="0"/>
              <w:rPr>
                <w:sz w:val="24"/>
                <w:szCs w:val="24"/>
                <w:color w:val="auto"/>
              </w:rPr>
            </w:pPr>
          </w:p>
        </w:tc>
      </w:tr>
      <w:tr>
        <w:trPr>
          <w:trHeight w:val="391"/>
        </w:trPr>
        <w:tc>
          <w:tcPr>
            <w:tcW w:w="20" w:type="dxa"/>
            <w:vAlign w:val="bottom"/>
          </w:tcPr>
          <w:p>
            <w:pPr>
              <w:spacing w:after="0"/>
              <w:rPr>
                <w:sz w:val="24"/>
                <w:szCs w:val="24"/>
                <w:color w:val="auto"/>
              </w:rPr>
            </w:pPr>
          </w:p>
        </w:tc>
        <w:tc>
          <w:tcPr>
            <w:tcW w:w="224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200" w:type="dxa"/>
            <w:vAlign w:val="bottom"/>
            <w:gridSpan w:val="12"/>
          </w:tcPr>
          <w:p>
            <w:pPr>
              <w:spacing w:after="0"/>
              <w:rPr>
                <w:sz w:val="24"/>
                <w:szCs w:val="24"/>
                <w:color w:val="auto"/>
              </w:rPr>
            </w:pPr>
          </w:p>
        </w:tc>
        <w:tc>
          <w:tcPr>
            <w:tcW w:w="2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20" w:type="dxa"/>
            <w:vAlign w:val="bottom"/>
          </w:tcPr>
          <w:p>
            <w:pPr>
              <w:spacing w:after="0"/>
              <w:rPr>
                <w:sz w:val="17"/>
                <w:szCs w:val="17"/>
                <w:color w:val="auto"/>
              </w:rPr>
            </w:pPr>
          </w:p>
        </w:tc>
        <w:tc>
          <w:tcPr>
            <w:tcW w:w="8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70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5740" w:type="dxa"/>
            <w:vAlign w:val="bottom"/>
            <w:gridSpan w:val="10"/>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20" w:type="dxa"/>
            <w:vAlign w:val="bottom"/>
          </w:tcPr>
          <w:p>
            <w:pPr>
              <w:spacing w:after="0"/>
              <w:rPr>
                <w:sz w:val="17"/>
                <w:szCs w:val="17"/>
                <w:color w:val="auto"/>
              </w:rPr>
            </w:pPr>
          </w:p>
        </w:tc>
        <w:tc>
          <w:tcPr>
            <w:tcW w:w="8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bottom w:val="single" w:sz="8" w:color="0000FF"/>
            </w:tcBorders>
            <w:gridSpan w:val="26"/>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580" w:type="dxa"/>
            <w:vAlign w:val="bottom"/>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0" w:type="dxa"/>
            <w:vAlign w:val="bottom"/>
          </w:tcPr>
          <w:p>
            <w:pPr>
              <w:spacing w:after="0"/>
              <w:rPr>
                <w:sz w:val="17"/>
                <w:szCs w:val="17"/>
                <w:color w:val="auto"/>
              </w:rPr>
            </w:pPr>
          </w:p>
        </w:tc>
        <w:tc>
          <w:tcPr>
            <w:tcW w:w="21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340" w:type="dxa"/>
            <w:vAlign w:val="bottom"/>
            <w:gridSpan w:val="13"/>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20" w:type="dxa"/>
            <w:vAlign w:val="bottom"/>
          </w:tcPr>
          <w:p>
            <w:pPr>
              <w:spacing w:after="0"/>
              <w:rPr>
                <w:sz w:val="17"/>
                <w:szCs w:val="17"/>
                <w:color w:val="auto"/>
              </w:rPr>
            </w:pPr>
          </w:p>
        </w:tc>
        <w:tc>
          <w:tcPr>
            <w:tcW w:w="8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tcBorders>
              <w:bottom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6840" w:type="dxa"/>
            <w:vAlign w:val="bottom"/>
            <w:gridSpan w:val="15"/>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 w:type="dxa"/>
            <w:vAlign w:val="bottom"/>
          </w:tcPr>
          <w:p>
            <w:pPr>
              <w:spacing w:after="0"/>
              <w:rPr>
                <w:sz w:val="17"/>
                <w:szCs w:val="17"/>
                <w:color w:val="auto"/>
              </w:rPr>
            </w:pPr>
          </w:p>
        </w:tc>
        <w:tc>
          <w:tcPr>
            <w:tcW w:w="15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6860" w:type="dxa"/>
            <w:vAlign w:val="bottom"/>
            <w:gridSpan w:val="16"/>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20" w:type="dxa"/>
            <w:vAlign w:val="bottom"/>
          </w:tcPr>
          <w:p>
            <w:pPr>
              <w:spacing w:after="0"/>
              <w:rPr>
                <w:sz w:val="17"/>
                <w:szCs w:val="17"/>
                <w:color w:val="auto"/>
              </w:rPr>
            </w:pPr>
          </w:p>
        </w:tc>
        <w:tc>
          <w:tcPr>
            <w:tcW w:w="150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6940" w:type="dxa"/>
            <w:vAlign w:val="bottom"/>
            <w:gridSpan w:val="18"/>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20" w:type="dxa"/>
            <w:vAlign w:val="bottom"/>
          </w:tcPr>
          <w:p>
            <w:pPr>
              <w:spacing w:after="0"/>
              <w:rPr>
                <w:sz w:val="17"/>
                <w:szCs w:val="17"/>
                <w:color w:val="auto"/>
              </w:rPr>
            </w:pPr>
          </w:p>
        </w:tc>
        <w:tc>
          <w:tcPr>
            <w:tcW w:w="8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0" w:type="dxa"/>
            <w:vAlign w:val="bottom"/>
          </w:tcPr>
          <w:p>
            <w:pPr>
              <w:spacing w:after="0"/>
              <w:rPr>
                <w:sz w:val="17"/>
                <w:szCs w:val="17"/>
                <w:color w:val="auto"/>
              </w:rPr>
            </w:pPr>
          </w:p>
        </w:tc>
        <w:tc>
          <w:tcPr>
            <w:tcW w:w="250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5940" w:type="dxa"/>
            <w:vAlign w:val="bottom"/>
            <w:gridSpan w:val="11"/>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10"/>
          </w:tcPr>
          <w:p>
            <w:pPr>
              <w:spacing w:after="0"/>
              <w:rPr>
                <w:sz w:val="17"/>
                <w:szCs w:val="17"/>
                <w:color w:val="auto"/>
              </w:rPr>
            </w:pPr>
          </w:p>
        </w:tc>
        <w:tc>
          <w:tcPr>
            <w:tcW w:w="6380" w:type="dxa"/>
            <w:vAlign w:val="bottom"/>
            <w:gridSpan w:val="14"/>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20" w:type="dxa"/>
            <w:vAlign w:val="bottom"/>
          </w:tcPr>
          <w:p>
            <w:pPr>
              <w:spacing w:after="0"/>
              <w:rPr>
                <w:sz w:val="17"/>
                <w:szCs w:val="17"/>
                <w:color w:val="auto"/>
              </w:rPr>
            </w:pPr>
          </w:p>
        </w:tc>
        <w:tc>
          <w:tcPr>
            <w:tcW w:w="328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160" w:type="dxa"/>
            <w:vAlign w:val="bottom"/>
            <w:gridSpan w:val="8"/>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20" w:type="dxa"/>
            <w:vAlign w:val="bottom"/>
          </w:tcPr>
          <w:p>
            <w:pPr>
              <w:spacing w:after="0"/>
              <w:rPr>
                <w:sz w:val="17"/>
                <w:szCs w:val="17"/>
                <w:color w:val="auto"/>
              </w:rPr>
            </w:pPr>
          </w:p>
        </w:tc>
        <w:tc>
          <w:tcPr>
            <w:tcW w:w="14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6960" w:type="dxa"/>
            <w:vAlign w:val="bottom"/>
            <w:gridSpan w:val="19"/>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0" w:type="dxa"/>
            <w:vAlign w:val="bottom"/>
          </w:tcPr>
          <w:p>
            <w:pPr>
              <w:spacing w:after="0"/>
              <w:rPr>
                <w:sz w:val="17"/>
                <w:szCs w:val="17"/>
                <w:color w:val="auto"/>
              </w:rPr>
            </w:pPr>
          </w:p>
        </w:tc>
        <w:tc>
          <w:tcPr>
            <w:tcW w:w="8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060" w:type="dxa"/>
            <w:vAlign w:val="bottom"/>
            <w:gridSpan w:val="21"/>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200" w:type="dxa"/>
            <w:vAlign w:val="bottom"/>
            <w:gridSpan w:val="3"/>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84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600" w:type="dxa"/>
            <w:vAlign w:val="bottom"/>
            <w:gridSpan w:val="4"/>
          </w:tcPr>
          <w:p>
            <w:pPr>
              <w:spacing w:after="0"/>
              <w:rPr>
                <w:sz w:val="17"/>
                <w:szCs w:val="17"/>
                <w:color w:val="auto"/>
              </w:rPr>
            </w:pP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20" w:type="dxa"/>
            <w:vAlign w:val="bottom"/>
          </w:tcPr>
          <w:p>
            <w:pPr>
              <w:spacing w:after="0"/>
              <w:rPr>
                <w:sz w:val="17"/>
                <w:szCs w:val="17"/>
                <w:color w:val="auto"/>
              </w:rPr>
            </w:pPr>
          </w:p>
        </w:tc>
        <w:tc>
          <w:tcPr>
            <w:tcW w:w="844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2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r>
    </w:tbl>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09"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or incorporated by reference in this prospectus supplement differs or varies from the information contained in the accompanying prospectus or in any document incorporated by reference that was filed with the Securities and Exchange Commission, or the SEC, before the date of this prospectus supplement, you should rely on the information set forth in this prospectus supplement. In general, when we refer to the prospectus, we are referring to both the prospectus supplement and the accompanying prospectus combined.</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You should rely only on the information contained or incorporated by reference in this prospectus supplement, and the accompanying prospectus we may provide to you in connection with this offering. Neither we nor the placement agents have authorized any other person to provide you with any information that is different. If anyone provides you with different or inconsistent information, you should not rely on it. We are offering to sell, and seeking offers to buy, our securities only in jurisdictions where offers and sales are permitted. The distribution of this prospectus supplement and the offering of the securities in certain jurisdictions may be restricted by law. Persons outside the United States who come into possession of this prospectus supplement must inform themselves about, and observe any restrictions relating to, the offering of the securities and the distribution of this prospectus supplement outside the United States. This prospectus supplement does not constitute, and may not be used in connection with, an offer to sell, or a solicitation of an offer to buy, any securities offered by this prospectus supplement by any person in any jurisdiction in which it is unlawful for such person to make such an offer or solicitation.</w:t>
      </w:r>
    </w:p>
    <w:p>
      <w:pPr>
        <w:spacing w:after="0" w:line="18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as applicable,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securities.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Incorporation by Reference” in this prospectus supplement and in the accompanying prospectus, before investing in our securities.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this prospectus supplement, unless the context otherwise indicates, the terms “Rezolve,” the “Company,” “we,” “our” and “us” or similar terms refer to Rezolve Ai plc, a public limited company registered under the laws of England and Wales with registration number 14573691 and its subsidiaries. When we refer to “you,” we mean the potential holders of the Ordinary Shares.</w:t>
      </w:r>
    </w:p>
    <w:p>
      <w:pPr>
        <w:spacing w:after="0" w:line="17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1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and the documents incorporated herein and therein by reference include estimates regarding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presenting this information, we have made certain assumptions that we believe to be reasonable based on such data and other similar sources and on our knowledge of, and our experience to date in, the markets for the products we distribute. Market share data is subject to change.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398780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supplement, the accompanying prospectus, the documents incorporated by reference herein and therein, and other written and oral statements we make from time to time contain certain “forward-looking” statements within the meaning of Section 27A of the Securities Act of 1933, as amended (the “Securities Act”), and Section 21E of the Securities Exchange Act of 1934, as amended (the “Exchange Act”). You can identify these forward-looking statements by the fact they use words such as “believe,” “may,” “will,” “estimate,” “continue,” “anticipate,” “would,” “could,” “should,” “intend” and “expect,” and other words and terms of similar meaning and expression in connection with any discussion of future operating or financial performance. You can also identify forward-looking statements by the fact that they do not relate strictly to historical or current facts. Such forward-looking statements are based on current expectations and involve inherent risks and uncertainties, including factors that could delay, divert, or change any of them, and could cause actual outcomes to differ materially from current expectations. These statements are likely to relate to, among other things, our future results of operations, financial condition and liquidity, real estate inventory and home acquisition pace, volume and strategy, mortgage rates, cash requirements, financing plans and borrowing capacity, our intended use of net proceeds from our issuances of equity securities and debt financing arrangements, our prospects, optimized returns, potential growth or expansion evaluations, strategies, including without limitation, regarding product and service offerings and their expected impacts, compliance with applicable laws, regulations and The Nasdaq Stock Market LLC continued listing rules, macroeconomic trends, geopolitical concerns, and the markets in which we operate.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included more detailed descriptions of these risks and uncertainties and other risks and uncertainties applicable to our business that we believe could cause actual results to differ materially from any forward-looking statement in the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sections of this prospectus and the documents incorporated by reference herein including, but not limited to, the risk factors incorporated by reference from our filings with the SEC. We encourage you to read those descriptions carefully. Although we believe we have been prudent in our plans and assumptions, no assurance can be given that any goal or plan set forth in forward-looking statements can be achieved. We caution investors not to place significant reliance on forward-looking statements; such statements need to be evaluated in light of all the information contained and incorporated by reference in this prospectus. Furthermore, the statements speak only as of the date of each document, and we undertake no obligation to update or revise these statements.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337820</wp:posOffset>
            </wp:positionV>
            <wp:extent cx="7132320" cy="68065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6806565"/>
                    </a:xfrm>
                    <a:prstGeom prst="rect">
                      <a:avLst/>
                    </a:prstGeom>
                    <a:noFill/>
                  </pic:spPr>
                </pic:pic>
              </a:graphicData>
            </a:graphic>
          </wp:anchor>
        </w:drawing>
        <w:t>PROSPECTUS SUPPLEMENT SUMMARY</w:t>
      </w:r>
    </w:p>
    <w:p>
      <w:pPr>
        <w:spacing w:after="0" w:line="11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or incorporated by reference into this prospectus supplement or the accompanying prospectus. This summary is not complete and does not contain all of the information that you should consider in making your investment decision. Before investing in our securities, you should carefully read the entire prospectus supplement, the accompanying prospectus, and the documents incorporated by reference in this prospectus supplement and the accompanying prospectus carefully, including “Risk Factors,” “Management’s Discussion and Analysis of Financial Condition and Results of Operations,” our financial statements and related notes incorporated by reference in this prospectus supplement and the accompanying prospectus.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7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artificial intelligence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 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9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in 2017 (which was developed prior to our de-merger in connection with the closing of business combination with Armada Acquisition Corp. I).</w:t>
      </w:r>
    </w:p>
    <w:p>
      <w:pPr>
        <w:spacing w:after="0" w:line="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9" w:lineRule="exact"/>
        <w:rPr>
          <w:sz w:val="20"/>
          <w:szCs w:val="20"/>
          <w:color w:val="auto"/>
        </w:rPr>
      </w:pPr>
    </w:p>
    <w:p>
      <w:pPr>
        <w:ind w:right="260" w:firstLine="5"/>
        <w:spacing w:after="0" w:line="221" w:lineRule="auto"/>
        <w:tabs>
          <w:tab w:leader="none" w:pos="90" w:val="left"/>
        </w:tabs>
        <w:numPr>
          <w:ilvl w:val="0"/>
          <w:numId w:val="2"/>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CrownPeak Acquisition</w:t>
      </w:r>
    </w:p>
    <w:p>
      <w:pPr>
        <w:spacing w:after="0" w:line="6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On December 1, 2025, the Company entered into a Sale and Purchase Agreement (the “CrownPeak Purchase Agreement”), by and between the Company and CrownPeak Technology Holdings, Inc, a Delaware corporation (CrownPeak), pursuant to which the Company agreed to purchase, and CrownPeak agreed to sell, the entire issued share capital of CrownPeak (the “CrownPeak Acquisition”). The CrownPeak Acquisition closed on December 5, 2025.</w:t>
      </w:r>
    </w:p>
    <w:p>
      <w:pPr>
        <w:spacing w:after="0" w:line="1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initial purchase price for the CrownPeak Acquisition was $90.0 million, subject to certain adjustments as described in the Purchase Agreement. The consideration under the Purchase Agreement is composed of the following to be issued by the Company to CrownPeak: (i) a promissory note in the initial principal amount of $50,000,000, made up of a $20,000,000 tranche (the “</w:t>
      </w:r>
      <w:r>
        <w:rPr>
          <w:rFonts w:ascii="Times New Roman" w:cs="Times New Roman" w:eastAsia="Times New Roman" w:hAnsi="Times New Roman"/>
          <w:sz w:val="18"/>
          <w:szCs w:val="18"/>
          <w:u w:val="single" w:color="auto"/>
          <w:color w:val="auto"/>
        </w:rPr>
        <w:t>First Loan Note</w:t>
      </w:r>
      <w:r>
        <w:rPr>
          <w:rFonts w:ascii="Times New Roman" w:cs="Times New Roman" w:eastAsia="Times New Roman" w:hAnsi="Times New Roman"/>
          <w:sz w:val="18"/>
          <w:szCs w:val="18"/>
          <w:color w:val="auto"/>
        </w:rPr>
        <w:t>”) and a $30,000,000 tranche (the “</w:t>
      </w:r>
      <w:r>
        <w:rPr>
          <w:rFonts w:ascii="Times New Roman" w:cs="Times New Roman" w:eastAsia="Times New Roman" w:hAnsi="Times New Roman"/>
          <w:sz w:val="18"/>
          <w:szCs w:val="18"/>
          <w:u w:val="single" w:color="auto"/>
          <w:color w:val="auto"/>
        </w:rPr>
        <w:t>Second Loan Note</w:t>
      </w:r>
      <w:r>
        <w:rPr>
          <w:rFonts w:ascii="Times New Roman" w:cs="Times New Roman" w:eastAsia="Times New Roman" w:hAnsi="Times New Roman"/>
          <w:sz w:val="18"/>
          <w:szCs w:val="18"/>
          <w:color w:val="auto"/>
        </w:rPr>
        <w:t>” and together with the First Loan Note, the “</w:t>
      </w:r>
      <w:r>
        <w:rPr>
          <w:rFonts w:ascii="Times New Roman" w:cs="Times New Roman" w:eastAsia="Times New Roman" w:hAnsi="Times New Roman"/>
          <w:sz w:val="18"/>
          <w:szCs w:val="18"/>
          <w:u w:val="single" w:color="auto"/>
          <w:color w:val="auto"/>
        </w:rPr>
        <w:t>Loan Notes</w:t>
      </w:r>
      <w:r>
        <w:rPr>
          <w:rFonts w:ascii="Times New Roman" w:cs="Times New Roman" w:eastAsia="Times New Roman" w:hAnsi="Times New Roman"/>
          <w:sz w:val="18"/>
          <w:szCs w:val="18"/>
          <w:color w:val="auto"/>
        </w:rPr>
        <w:t>”); and (ii) 11,127,780 Ordinary Shares, nominal value £0.0001 per share, of the Company (such shares issued as consideration, the “</w:t>
      </w:r>
      <w:r>
        <w:rPr>
          <w:rFonts w:ascii="Times New Roman" w:cs="Times New Roman" w:eastAsia="Times New Roman" w:hAnsi="Times New Roman"/>
          <w:sz w:val="18"/>
          <w:szCs w:val="18"/>
          <w:u w:val="single" w:color="auto"/>
          <w:color w:val="auto"/>
        </w:rPr>
        <w:t>Consideration Shares</w:t>
      </w:r>
      <w:r>
        <w:rPr>
          <w:rFonts w:ascii="Times New Roman" w:cs="Times New Roman" w:eastAsia="Times New Roman" w:hAnsi="Times New Roman"/>
          <w:sz w:val="18"/>
          <w:szCs w:val="18"/>
          <w:color w:val="auto"/>
        </w:rPr>
        <w:t>”), or approximately $33.7 million in Ordinary Shares based on the 5-day VWAP for the Ordinary Shares.</w:t>
      </w:r>
    </w:p>
    <w:p>
      <w:pPr>
        <w:spacing w:after="0" w:line="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Loan Notes will accrue interest at a rate of 10% per annum and are payable in kind or in cash. The First Loan Note matures on April 1, 2027 and the Second Loan Note matures on December 31, 2027. Additionally, the Company assumed approximately $151.9 million of the aggregate principal amount of outstanding term loans and revolving loans and approximately $1.8 million of accrued and unpaid exit and amendment fees, of which, $50.0 million was paid by the Company at the closing.</w:t>
      </w:r>
    </w:p>
    <w:p>
      <w:pPr>
        <w:spacing w:after="0" w:line="3" w:lineRule="exact"/>
        <w:rPr>
          <w:sz w:val="20"/>
          <w:szCs w:val="20"/>
          <w:color w:val="auto"/>
        </w:rPr>
      </w:pPr>
    </w:p>
    <w:p>
      <w:pPr>
        <w:ind w:right="260" w:firstLine="5"/>
        <w:spacing w:after="0" w:line="260" w:lineRule="auto"/>
        <w:tabs>
          <w:tab w:leader="none" w:pos="84" w:val="left"/>
        </w:tabs>
        <w:numPr>
          <w:ilvl w:val="0"/>
          <w:numId w:val="3"/>
        </w:numPr>
        <w:rPr>
          <w:rFonts w:ascii="Times New Roman" w:cs="Times New Roman" w:eastAsia="Times New Roman" w:hAnsi="Times New Roman"/>
          <w:sz w:val="8"/>
          <w:szCs w:val="8"/>
          <w:color w:val="auto"/>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150495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53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474345</wp:posOffset>
            </wp:positionV>
            <wp:extent cx="7132320" cy="73380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7338060"/>
                    </a:xfrm>
                    <a:prstGeom prst="rect">
                      <a:avLst/>
                    </a:prstGeom>
                    <a:noFill/>
                  </pic:spPr>
                </pic:pic>
              </a:graphicData>
            </a:graphic>
          </wp:anchor>
        </w:drawing>
        <w:t>Corporate Information</w:t>
      </w:r>
    </w:p>
    <w:p>
      <w:pPr>
        <w:spacing w:after="0" w:line="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(company number 14573691) and changed its name to Rezolve AI Limited on June 5, 2023.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w:t>
      </w:r>
    </w:p>
    <w:p>
      <w:pPr>
        <w:spacing w:after="0" w:line="7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6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U.S. Securities Act, as amended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7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U.S. Securities Exchange Act of 1934, as amended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7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however, effective on March 18, 2026, directors and officers of foreign private issuers will be required to file Section 16(a) reports (Forms 3, 4, and 5) with the United States Securities and Exchange Commission to report beneficial ownership interests in companies. They will be subject to the obligations to report changes in share ownership under Section 13 of the Exchange Act and related SEC rules.</w:t>
      </w:r>
    </w:p>
    <w:p>
      <w:pPr>
        <w:spacing w:after="0" w:line="79"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150495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420" w:top="752" w:right="439" w:bottom="1440" w:gutter="0" w:footer="0" w:header="0"/>
        </w:sectPr>
      </w:pPr>
    </w:p>
    <w:bookmarkStart w:id="7" w:name="page8"/>
    <w:bookmarkEnd w:id="7"/>
    <w:p>
      <w:pPr>
        <w:ind w:left="1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472440</wp:posOffset>
            </wp:positionV>
            <wp:extent cx="7136130" cy="175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175895"/>
                    </a:xfrm>
                    <a:prstGeom prst="rect">
                      <a:avLst/>
                    </a:prstGeom>
                    <a:noFill/>
                  </pic:spPr>
                </pic:pic>
              </a:graphicData>
            </a:graphic>
          </wp:anchor>
        </w:drawing>
        <w:t>companies and will continue to be permitted to follow our home country practice on such matters.</w:t>
      </w:r>
    </w:p>
    <w:p>
      <w:pPr>
        <w:sectPr>
          <w:pgSz w:w="11900" w:h="16838" w:orient="portrait"/>
          <w:cols w:equalWidth="0" w:num="1">
            <w:col w:w="11240"/>
          </w:cols>
          <w:pgMar w:left="320" w:top="7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4340" w:type="dxa"/>
            <w:vAlign w:val="bottom"/>
            <w:tcBorders>
              <w:top w:val="single" w:sz="8" w:color="auto"/>
              <w:left w:val="single" w:sz="8" w:color="auto"/>
            </w:tcBorders>
          </w:tcPr>
          <w:p>
            <w:pPr>
              <w:spacing w:after="0"/>
              <w:rPr>
                <w:sz w:val="21"/>
                <w:szCs w:val="21"/>
                <w:color w:val="auto"/>
              </w:rPr>
            </w:pPr>
          </w:p>
        </w:tc>
        <w:tc>
          <w:tcPr>
            <w:tcW w:w="6900" w:type="dxa"/>
            <w:vAlign w:val="bottom"/>
            <w:tcBorders>
              <w:top w:val="single" w:sz="8" w:color="auto"/>
              <w:right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10"/>
        </w:trPr>
        <w:tc>
          <w:tcPr>
            <w:tcW w:w="4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Ordinary Shares offered by us</w:t>
            </w: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62,500,000 Ordinary Shares</w:t>
            </w:r>
          </w:p>
        </w:tc>
      </w:tr>
      <w:tr>
        <w:trPr>
          <w:trHeight w:val="432"/>
        </w:trPr>
        <w:tc>
          <w:tcPr>
            <w:tcW w:w="4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Ordinary Shares to be outstanding after the offering</w:t>
            </w: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398,827,587 Ordinary Shares</w:t>
            </w:r>
          </w:p>
        </w:tc>
      </w:tr>
      <w:tr>
        <w:trPr>
          <w:trHeight w:val="414"/>
        </w:trPr>
        <w:tc>
          <w:tcPr>
            <w:tcW w:w="4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Use of Proceeds</w:t>
            </w: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We estimate the net proceeds to us from this offering will be approximately</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$237.0 million, after deducting placement agents fees and estimated offering</w:t>
            </w:r>
          </w:p>
        </w:tc>
      </w:tr>
      <w:tr>
        <w:trPr>
          <w:trHeight w:val="234"/>
        </w:trPr>
        <w:tc>
          <w:tcPr>
            <w:tcW w:w="43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expenses payable by us.</w:t>
            </w:r>
          </w:p>
        </w:tc>
      </w:tr>
      <w:tr>
        <w:trPr>
          <w:trHeight w:val="414"/>
        </w:trPr>
        <w:tc>
          <w:tcPr>
            <w:tcW w:w="434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We intend to use the net proceeds from the offering for accelerated</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investment into our sales organization, potential accretive M&amp;A</w:t>
            </w:r>
          </w:p>
        </w:tc>
      </w:tr>
      <w:tr>
        <w:trPr>
          <w:trHeight w:val="234"/>
        </w:trPr>
        <w:tc>
          <w:tcPr>
            <w:tcW w:w="43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opportunities and general corporate and working capital purposes.</w:t>
            </w:r>
          </w:p>
        </w:tc>
      </w:tr>
      <w:tr>
        <w:trPr>
          <w:trHeight w:val="414"/>
        </w:trPr>
        <w:tc>
          <w:tcPr>
            <w:tcW w:w="4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Listing</w:t>
            </w: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Our Ordinary Shares are listed on The Nasdaq Stock Market LLC under the</w:t>
            </w:r>
          </w:p>
        </w:tc>
      </w:tr>
      <w:tr>
        <w:trPr>
          <w:trHeight w:val="234"/>
        </w:trPr>
        <w:tc>
          <w:tcPr>
            <w:tcW w:w="43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symbol "RZLV."</w:t>
            </w:r>
          </w:p>
        </w:tc>
      </w:tr>
      <w:tr>
        <w:trPr>
          <w:trHeight w:val="414"/>
        </w:trPr>
        <w:tc>
          <w:tcPr>
            <w:tcW w:w="4340" w:type="dxa"/>
            <w:vAlign w:val="bottom"/>
            <w:tcBorders>
              <w:left w:val="single" w:sz="8" w:color="auto"/>
            </w:tcBorders>
          </w:tcPr>
          <w:p>
            <w:pPr>
              <w:spacing w:after="0"/>
              <w:rPr>
                <w:sz w:val="24"/>
                <w:szCs w:val="24"/>
                <w:color w:val="auto"/>
              </w:rPr>
            </w:pPr>
          </w:p>
        </w:tc>
        <w:tc>
          <w:tcPr>
            <w:tcW w:w="6900" w:type="dxa"/>
            <w:vAlign w:val="bottom"/>
            <w:tcBorders>
              <w:righ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The number of shares to be outstanding after giving effect to this offering is</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based on the 336,327,587 Ordinary Shares outstanding as of January 13,</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2026 plus the 62,500,000 Ordinary Shares offered for sale by us in this</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offering , and excludes 8,069,976 Ordinary Shares issuable upon the exercise</w:t>
            </w:r>
          </w:p>
        </w:tc>
      </w:tr>
      <w:tr>
        <w:trPr>
          <w:trHeight w:val="234"/>
        </w:trPr>
        <w:tc>
          <w:tcPr>
            <w:tcW w:w="43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of outstanding Warrants.</w:t>
            </w:r>
          </w:p>
        </w:tc>
      </w:tr>
      <w:tr>
        <w:trPr>
          <w:trHeight w:val="414"/>
        </w:trPr>
        <w:tc>
          <w:tcPr>
            <w:tcW w:w="4340" w:type="dxa"/>
            <w:vAlign w:val="bottom"/>
            <w:tcBorders>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See “Risk Factors” beginning on page S-6 of this prospectus supplement and</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in the documents incorporated by reference into this prospectus supplement</w:t>
            </w:r>
          </w:p>
        </w:tc>
      </w:tr>
      <w:tr>
        <w:trPr>
          <w:trHeight w:val="216"/>
        </w:trPr>
        <w:tc>
          <w:tcPr>
            <w:tcW w:w="4340" w:type="dxa"/>
            <w:vAlign w:val="bottom"/>
            <w:tcBorders>
              <w:left w:val="single" w:sz="8" w:color="auto"/>
            </w:tcBorders>
          </w:tcPr>
          <w:p>
            <w:pPr>
              <w:spacing w:after="0"/>
              <w:rPr>
                <w:sz w:val="18"/>
                <w:szCs w:val="18"/>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for a discussion of factors that you should read and consider before investing</w:t>
            </w:r>
          </w:p>
        </w:tc>
      </w:tr>
      <w:tr>
        <w:trPr>
          <w:trHeight w:val="234"/>
        </w:trPr>
        <w:tc>
          <w:tcPr>
            <w:tcW w:w="4340" w:type="dxa"/>
            <w:vAlign w:val="bottom"/>
            <w:tcBorders>
              <w:left w:val="single" w:sz="8" w:color="auto"/>
            </w:tcBorders>
          </w:tcPr>
          <w:p>
            <w:pPr>
              <w:spacing w:after="0"/>
              <w:rPr>
                <w:sz w:val="20"/>
                <w:szCs w:val="20"/>
                <w:color w:val="auto"/>
              </w:rPr>
            </w:pPr>
          </w:p>
        </w:tc>
        <w:tc>
          <w:tcPr>
            <w:tcW w:w="6900" w:type="dxa"/>
            <w:vAlign w:val="bottom"/>
            <w:tcBorders>
              <w:right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in our securities.</w:t>
            </w:r>
          </w:p>
        </w:tc>
      </w:tr>
      <w:tr>
        <w:trPr>
          <w:trHeight w:val="216"/>
        </w:trPr>
        <w:tc>
          <w:tcPr>
            <w:tcW w:w="4340" w:type="dxa"/>
            <w:vAlign w:val="bottom"/>
            <w:tcBorders>
              <w:left w:val="single" w:sz="8" w:color="auto"/>
              <w:bottom w:val="single" w:sz="8" w:color="auto"/>
            </w:tcBorders>
          </w:tcPr>
          <w:p>
            <w:pPr>
              <w:spacing w:after="0"/>
              <w:rPr>
                <w:sz w:val="18"/>
                <w:szCs w:val="18"/>
                <w:color w:val="auto"/>
              </w:rPr>
            </w:pPr>
          </w:p>
        </w:tc>
        <w:tc>
          <w:tcPr>
            <w:tcW w:w="6900" w:type="dxa"/>
            <w:vAlign w:val="bottom"/>
            <w:tcBorders>
              <w:bottom w:val="single" w:sz="8" w:color="auto"/>
              <w:right w:val="single" w:sz="8" w:color="auto"/>
            </w:tcBorders>
          </w:tcPr>
          <w:p>
            <w:pPr>
              <w:spacing w:after="0"/>
              <w:rPr>
                <w:sz w:val="18"/>
                <w:szCs w:val="18"/>
                <w:color w:val="auto"/>
              </w:rPr>
            </w:pPr>
          </w:p>
        </w:tc>
      </w:tr>
      <w:tr>
        <w:trPr>
          <w:trHeight w:val="696"/>
        </w:trPr>
        <w:tc>
          <w:tcPr>
            <w:tcW w:w="4340" w:type="dxa"/>
            <w:vAlign w:val="bottom"/>
          </w:tcPr>
          <w:p>
            <w:pPr>
              <w:spacing w:after="0"/>
              <w:rPr>
                <w:sz w:val="24"/>
                <w:szCs w:val="24"/>
                <w:color w:val="auto"/>
              </w:rPr>
            </w:pPr>
          </w:p>
        </w:tc>
        <w:tc>
          <w:tcPr>
            <w:tcW w:w="6900" w:type="dxa"/>
            <w:vAlign w:val="bottom"/>
          </w:tcPr>
          <w:p>
            <w:pPr>
              <w:ind w:left="1160"/>
              <w:spacing w:after="0"/>
              <w:rPr>
                <w:sz w:val="20"/>
                <w:szCs w:val="20"/>
                <w:color w:val="auto"/>
              </w:rPr>
            </w:pPr>
            <w:r>
              <w:rPr>
                <w:rFonts w:ascii="Times New Roman" w:cs="Times New Roman" w:eastAsia="Times New Roman" w:hAnsi="Times New Roman"/>
                <w:sz w:val="18"/>
                <w:szCs w:val="18"/>
                <w:color w:val="auto"/>
              </w:rPr>
              <w:t>S-5</w:t>
            </w:r>
          </w:p>
        </w:tc>
      </w:tr>
      <w:tr>
        <w:trPr>
          <w:trHeight w:val="236"/>
        </w:trPr>
        <w:tc>
          <w:tcPr>
            <w:tcW w:w="4340" w:type="dxa"/>
            <w:vAlign w:val="bottom"/>
            <w:tcBorders>
              <w:bottom w:val="single" w:sz="8" w:color="9A9A9A"/>
            </w:tcBorders>
          </w:tcPr>
          <w:p>
            <w:pPr>
              <w:spacing w:after="0"/>
              <w:rPr>
                <w:sz w:val="20"/>
                <w:szCs w:val="20"/>
                <w:color w:val="auto"/>
              </w:rPr>
            </w:pPr>
          </w:p>
        </w:tc>
        <w:tc>
          <w:tcPr>
            <w:tcW w:w="6900" w:type="dxa"/>
            <w:vAlign w:val="bottom"/>
            <w:tcBorders>
              <w:bottom w:val="single" w:sz="8" w:color="9A9A9A"/>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deciding whether to invest in our securities, you should consider carefully the risks and uncertainties described below and discussed under the section “Risk Factors” contained in our Annual Report on Form 20-F for the year ended December 31, 2024, which is incorporated herein by reference, together with the other information in this prospectus supplement, the accompanying prospectus, and the information and documents incorporated by reference. If any of these risks actually occur, our business, financial condition, results of operations or prospects could be seriously harmed. This could cause the trading price of our Ordinary Shares to decline, resulting in a loss of all or part of your investment. Please also read carefully the section in this prospectus supplement entitled “Special Note Regarding Forward-Looking Statements.”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broad discretion to determine how to use the funds raised in this offering, and may use them in ways that may not enhance our operating results or the price of our Ordinary Shares.</w:t>
      </w:r>
    </w:p>
    <w:p>
      <w:pPr>
        <w:spacing w:after="0" w:line="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management team will have broad discretion in the application of the net proceeds from this offering and could spend or invest the proceeds in ways with which our shareholders disagree. Accordingly, investors will need to rely on our management team’s judgment with respect to the use of these proceeds. We intend to use the proceeds from this offering in the manner described in the section titled “</w:t>
      </w:r>
      <w:r>
        <w:rPr>
          <w:rFonts w:ascii="Times New Roman" w:cs="Times New Roman" w:eastAsia="Times New Roman" w:hAnsi="Times New Roman"/>
          <w:sz w:val="18"/>
          <w:szCs w:val="18"/>
          <w:i w:val="1"/>
          <w:iCs w:val="1"/>
          <w:color w:val="auto"/>
        </w:rPr>
        <w:t>Use of Proceeds</w:t>
      </w:r>
      <w:r>
        <w:rPr>
          <w:rFonts w:ascii="Times New Roman" w:cs="Times New Roman" w:eastAsia="Times New Roman" w:hAnsi="Times New Roman"/>
          <w:sz w:val="18"/>
          <w:szCs w:val="18"/>
          <w:color w:val="auto"/>
        </w:rPr>
        <w:t>.” The failure by management to apply these funds effectively could negatively affect our ability to operate and grow our business and could have a material adverse effect on our business and cause the price of our Ordinary Shares to decline.</w:t>
      </w:r>
    </w:p>
    <w:p>
      <w:pPr>
        <w:spacing w:after="0" w:line="28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purchase securities in this offering, you will experience immediate dilution in your investment. You will experience further dilution if we issue additional equity securities in future fundraising transactions.</w:t>
      </w:r>
    </w:p>
    <w:p>
      <w:pPr>
        <w:spacing w:after="0" w:line="5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Purchasers of our securities in this offering will pay a price per Ordinary Share that exceeds the net tangible book value per share of our Ordinary Shares. After giving effect to this offering at the offering price of $4.00 per Ordinary Share and, and after deducting placement agents' fees and estimated offering expenses payable by us, you will experience immediate dilution of [ ] per share, representing the difference between the [offering price and our as adjusted net tangible book value per share] as of June 30, 2025 after giving effect to this offering. See the section entitled “</w:t>
      </w:r>
      <w:r>
        <w:rPr>
          <w:rFonts w:ascii="Times New Roman" w:cs="Times New Roman" w:eastAsia="Times New Roman" w:hAnsi="Times New Roman"/>
          <w:sz w:val="18"/>
          <w:szCs w:val="18"/>
          <w:i w:val="1"/>
          <w:iCs w:val="1"/>
          <w:color w:val="auto"/>
        </w:rPr>
        <w:t>Dilution</w:t>
      </w:r>
      <w:r>
        <w:rPr>
          <w:rFonts w:ascii="Times New Roman" w:cs="Times New Roman" w:eastAsia="Times New Roman" w:hAnsi="Times New Roman"/>
          <w:sz w:val="18"/>
          <w:szCs w:val="18"/>
          <w:color w:val="auto"/>
        </w:rPr>
        <w:t>” for additional information.</w:t>
      </w:r>
    </w:p>
    <w:p>
      <w:pPr>
        <w:spacing w:after="0" w:line="200" w:lineRule="exact"/>
        <w:rPr>
          <w:sz w:val="20"/>
          <w:szCs w:val="20"/>
          <w:color w:val="auto"/>
        </w:rPr>
      </w:pPr>
    </w:p>
    <w:p>
      <w:pPr>
        <w:spacing w:after="0" w:line="2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issue additional Ordinary Shares, or securities convertible into or exchangeable or exercisable for Ordinary Shares, including shares issuable upon the potential exercise of currently outstanding warrants, our shareholders, including investors who purchase our securities in this offering, will experience additional dilution, and any such issuances may cause the price of our Ordinary Shares to decrease.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Ordinary Shares may be adversely affected by the future issuance and sale of Ordinary Shares or other equity securities.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the size of future issuances or sales of our Ordinary Shares or other equity securities, acquisitions or capital raising activities, or the effect, if any, that such issuances or sales may have on the market price of our Ordinary Shares. The issuance and sale of substantial amounts of Ordinary Shares or other equity securities or announcement that such issuances and sales may occur, could adversely affect the market price of our Ordinary Shares.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9" w:name="page10"/>
    <w:bookmarkEnd w:id="9"/>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estimate the net proceeds to us from this offering will be approximately $237.0 million, after deducting placement agents' fees and estimated offering expenses payable by us.</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We intend to use the net proceeds from the offering for accelerated investment into our sales organization, potential accretive M&amp;A opportunities and general corporate and working capital purposes.</w:t>
      </w:r>
    </w:p>
    <w:p>
      <w:pPr>
        <w:spacing w:after="0" w:line="1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We have not currently planned or committed any specific amounts to spend on the areas listed above or the timing of these expenditures. As a result, our management will have broad discretion to allocate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725" w:right="5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2025:</w:t>
      </w:r>
    </w:p>
    <w:p>
      <w:pPr>
        <w:spacing w:after="0" w:line="117" w:lineRule="exact"/>
        <w:rPr>
          <w:sz w:val="20"/>
          <w:szCs w:val="20"/>
          <w:color w:val="auto"/>
        </w:rPr>
      </w:pPr>
    </w:p>
    <w:p>
      <w:pPr>
        <w:ind w:left="1020" w:hanging="503"/>
        <w:spacing w:after="0"/>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w:t>
      </w:r>
    </w:p>
    <w:p>
      <w:pPr>
        <w:spacing w:after="0" w:line="117" w:lineRule="exact"/>
        <w:rPr>
          <w:rFonts w:ascii="Times New Roman" w:cs="Times New Roman" w:eastAsia="Times New Roman" w:hAnsi="Times New Roman"/>
          <w:sz w:val="18"/>
          <w:szCs w:val="18"/>
          <w:color w:val="auto"/>
        </w:rPr>
      </w:pPr>
    </w:p>
    <w:p>
      <w:pPr>
        <w:ind w:left="1020" w:right="4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(i) the private placement in July 2025 of 20,000,000 Ordinary Shares for aggregate gross proceeds of approximately $50 million, before deducting placement agent fees and other offering expenses, (iii) the private placement in September 2025 of 37,000,000 Ordinary Shares for aggregate gross proceeds of approximately $200 million, before deducting placement agent fees and other offering expenses, and (iii) the assumed sale of an aggregate of 62,500,000 Ordinary Shares in this offering at a public offering price of $4.00 for aggregate gross proceeds of approximately $250,000,000 after deducting estimated commissions and offering expenses payable by us as if such events had occurred on June 30, 2025.</w:t>
      </w:r>
    </w:p>
    <w:p>
      <w:pPr>
        <w:spacing w:after="0" w:line="18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supplement and the other financial information included or incorporated by reference into this prospectus supplement, including (i) the Audited Consolidated Financial Statements of CrownPeak Intermediate Holdings, Inc. and subsidiaries as of and for the years ended January 31, 2025 and 2024 and the accompanying notes thereto (ii) the Unaudited Condensed Consolidated Financial Statements of CrownPeak Intermediate Holdings, Inc. and subsidiaries as of and for the six months ended July 31, 2025 and 2024 the unaudited condensed consolidated interim financial statements as of September 30, 2025 and for the nine months ended September 30, 2025 and 2024 and the accompanying notes thereto. Our historical results do not necessarily indicate our expected results for any future period.</w:t>
      </w:r>
    </w:p>
    <w:p>
      <w:pPr>
        <w:spacing w:after="0" w:line="200" w:lineRule="exact"/>
        <w:rPr>
          <w:sz w:val="20"/>
          <w:szCs w:val="20"/>
          <w:color w:val="auto"/>
        </w:rPr>
      </w:pPr>
    </w:p>
    <w:p>
      <w:pPr>
        <w:spacing w:after="0" w:line="20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8"/>
          <w:szCs w:val="18"/>
          <w:b w:val="1"/>
          <w:bCs w:val="1"/>
          <w:color w:val="auto"/>
        </w:rPr>
        <w:t>As of</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Actual (Unaudited)</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vMerge w:val="restart"/>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PIPE funding</w:t>
            </w:r>
          </w:p>
        </w:tc>
        <w:tc>
          <w:tcPr>
            <w:tcW w:w="1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20" w:type="dxa"/>
            <w:vAlign w:val="bottom"/>
            <w:vMerge w:val="restart"/>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ATM</w:t>
            </w: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jc w:val="right"/>
              <w:ind w:right="394"/>
              <w:spacing w:after="0" w:line="118" w:lineRule="exact"/>
              <w:rPr>
                <w:sz w:val="20"/>
                <w:szCs w:val="20"/>
                <w:color w:val="auto"/>
              </w:rPr>
            </w:pPr>
            <w:r>
              <w:rPr>
                <w:rFonts w:ascii="Times New Roman" w:cs="Times New Roman" w:eastAsia="Times New Roman" w:hAnsi="Times New Roman"/>
                <w:sz w:val="13"/>
                <w:szCs w:val="13"/>
                <w:b w:val="1"/>
                <w:bCs w:val="1"/>
                <w:color w:val="auto"/>
              </w:rPr>
              <w:t>Proforma</w:t>
            </w:r>
          </w:p>
        </w:tc>
        <w:tc>
          <w:tcPr>
            <w:tcW w:w="0" w:type="dxa"/>
            <w:vAlign w:val="bottom"/>
          </w:tcPr>
          <w:p>
            <w:pPr>
              <w:spacing w:after="0"/>
              <w:rPr>
                <w:sz w:val="1"/>
                <w:szCs w:val="1"/>
                <w:color w:val="auto"/>
              </w:rPr>
            </w:pPr>
          </w:p>
        </w:tc>
      </w:tr>
      <w:tr>
        <w:trPr>
          <w:trHeight w:val="173"/>
        </w:trPr>
        <w:tc>
          <w:tcPr>
            <w:tcW w:w="5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9,857,390</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237,927,000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w w:val="97"/>
              </w:rPr>
              <w:t>138,849,567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386,633,957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2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259,066,638 shares issued and</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June 30, 2025; 341,476,136 shares authorized as of</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33,394</w:t>
            </w: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7,638</w:t>
            </w:r>
          </w:p>
        </w:tc>
        <w:tc>
          <w:tcPr>
            <w:tcW w:w="1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6,437</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color w:val="auto"/>
              </w:rPr>
              <w:t>47,469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302,123,036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237,919,362</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97"/>
              </w:rPr>
              <w:t>138,843,130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678,885,528</w:t>
            </w: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(316,062,263)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(316,062,263)</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(381,878)</w:t>
            </w:r>
          </w:p>
        </w:tc>
        <w:tc>
          <w:tcPr>
            <w:tcW w:w="1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(381,878)</w:t>
            </w: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shareholders' equity (deficit)</w:t>
            </w:r>
          </w:p>
        </w:tc>
        <w:tc>
          <w:tcPr>
            <w:tcW w:w="1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(14,289,819)</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237,927,000</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138,849,567</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362,486,748</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(14,289,819)</w:t>
            </w:r>
          </w:p>
        </w:tc>
        <w:tc>
          <w:tcPr>
            <w:tcW w:w="2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237,927,000</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w w:val="97"/>
              </w:rPr>
              <w:t>138,849,567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shd w:val="clear" w:color="auto" w:fill="CFF0FC"/>
          </w:tcPr>
          <w:p>
            <w:pPr>
              <w:jc w:val="right"/>
              <w:ind w:right="54"/>
              <w:spacing w:after="0"/>
              <w:rPr>
                <w:sz w:val="20"/>
                <w:szCs w:val="20"/>
                <w:color w:val="auto"/>
              </w:rPr>
            </w:pPr>
            <w:r>
              <w:rPr>
                <w:rFonts w:ascii="Times New Roman" w:cs="Times New Roman" w:eastAsia="Times New Roman" w:hAnsi="Times New Roman"/>
                <w:sz w:val="18"/>
                <w:szCs w:val="18"/>
                <w:b w:val="1"/>
                <w:bCs w:val="1"/>
                <w:color w:val="auto"/>
              </w:rPr>
              <w:t>362,486,748</w:t>
            </w:r>
          </w:p>
        </w:tc>
        <w:tc>
          <w:tcPr>
            <w:tcW w:w="0" w:type="dxa"/>
            <w:vAlign w:val="bottom"/>
          </w:tcPr>
          <w:p>
            <w:pPr>
              <w:spacing w:after="0"/>
              <w:rPr>
                <w:sz w:val="1"/>
                <w:szCs w:val="1"/>
                <w:color w:val="auto"/>
              </w:rPr>
            </w:pPr>
          </w:p>
        </w:tc>
      </w:tr>
      <w:tr>
        <w:trPr>
          <w:trHeight w:val="215"/>
        </w:trPr>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259,066,638</w:t>
            </w: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70"/>
        </w:trPr>
        <w:tc>
          <w:tcPr>
            <w:tcW w:w="5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S-8</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16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20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320" w:type="dxa"/>
            <w:vAlign w:val="bottom"/>
            <w:tcBorders>
              <w:bottom w:val="single" w:sz="8" w:color="9A9A9A"/>
            </w:tcBorders>
          </w:tcPr>
          <w:p>
            <w:pPr>
              <w:spacing w:after="0"/>
              <w:rPr>
                <w:sz w:val="21"/>
                <w:szCs w:val="21"/>
                <w:color w:val="auto"/>
              </w:rPr>
            </w:pPr>
          </w:p>
        </w:tc>
        <w:tc>
          <w:tcPr>
            <w:tcW w:w="1020" w:type="dxa"/>
            <w:vAlign w:val="bottom"/>
            <w:tcBorders>
              <w:bottom w:val="single" w:sz="8" w:color="9A9A9A"/>
            </w:tcBorders>
          </w:tcPr>
          <w:p>
            <w:pPr>
              <w:spacing w:after="0"/>
              <w:rPr>
                <w:sz w:val="21"/>
                <w:szCs w:val="21"/>
                <w:color w:val="auto"/>
              </w:rPr>
            </w:pPr>
          </w:p>
        </w:tc>
        <w:tc>
          <w:tcPr>
            <w:tcW w:w="140" w:type="dxa"/>
            <w:vAlign w:val="bottom"/>
            <w:tcBorders>
              <w:bottom w:val="single" w:sz="8" w:color="9A9A9A"/>
            </w:tcBorders>
          </w:tcPr>
          <w:p>
            <w:pPr>
              <w:spacing w:after="0"/>
              <w:rPr>
                <w:sz w:val="21"/>
                <w:szCs w:val="21"/>
                <w:color w:val="auto"/>
              </w:rPr>
            </w:pPr>
          </w:p>
        </w:tc>
        <w:tc>
          <w:tcPr>
            <w:tcW w:w="180" w:type="dxa"/>
            <w:vAlign w:val="bottom"/>
            <w:tcBorders>
              <w:bottom w:val="single" w:sz="8" w:color="9A9A9A"/>
            </w:tcBorders>
          </w:tcPr>
          <w:p>
            <w:pPr>
              <w:spacing w:after="0"/>
              <w:rPr>
                <w:sz w:val="21"/>
                <w:szCs w:val="21"/>
                <w:color w:val="auto"/>
              </w:rPr>
            </w:pPr>
          </w:p>
        </w:tc>
        <w:tc>
          <w:tcPr>
            <w:tcW w:w="1200" w:type="dxa"/>
            <w:vAlign w:val="bottom"/>
            <w:tcBorders>
              <w:bottom w:val="single" w:sz="8" w:color="9A9A9A"/>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-1062355</wp:posOffset>
            </wp:positionV>
            <wp:extent cx="857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-1062355</wp:posOffset>
            </wp:positionV>
            <wp:extent cx="857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-1062355</wp:posOffset>
            </wp:positionV>
            <wp:extent cx="857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-770890</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4291330</wp:posOffset>
            </wp:positionH>
            <wp:positionV relativeFrom="paragraph">
              <wp:posOffset>-753745</wp:posOffset>
            </wp:positionV>
            <wp:extent cx="857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-770890</wp:posOffset>
            </wp:positionV>
            <wp:extent cx="857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-753745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-770890</wp:posOffset>
            </wp:positionV>
            <wp:extent cx="857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-753745</wp:posOffset>
            </wp:positionV>
            <wp:extent cx="85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3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If you invest in the Ordinary Shares being offered by this prospectus, you will suffer immediate dilution in the net tangible book value per ordinary share.</w:t>
      </w:r>
    </w:p>
    <w:p>
      <w:pPr>
        <w:spacing w:after="0" w:line="20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Dilution in net tangible book value per share represents the difference between the offering price per share paid by new investors participating in this offering and the net tangible book value per share of our Ordinary Shares immediately after this offering. After giving effect to the sale by us of Ordinary Shares in this offering, assuming that an aggregate of 62,500,000 Ordinary Shares are sold at a public offering price of $4.00 per share, and after deducting the estimated commissions and estimated offering expenses payable by us, our adjusted net tangible book value as of June 30, 2025 would have been approximately $307.28 million, or approximately $0.69 per share. This represents an immediate increase of $0.42 in net tangible book value per share to our existing shareholders and an immediate dilution of $3.31 per share to new investors of Ordinary Shares in this offering. The following table illustrates this per share dilution: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Assumed offering price per Ordinary Share</w:t>
            </w:r>
          </w:p>
        </w:tc>
        <w:tc>
          <w:tcPr>
            <w:tcW w:w="256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764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Pro forma net tangible book value per share as of June 30, 2025</w:t>
            </w:r>
            <w:r>
              <w:rPr>
                <w:rFonts w:ascii="Times New Roman" w:cs="Times New Roman" w:eastAsia="Times New Roman" w:hAnsi="Times New Roman"/>
                <w:sz w:val="24"/>
                <w:szCs w:val="24"/>
                <w:color w:val="auto"/>
                <w:vertAlign w:val="superscript"/>
              </w:rPr>
              <w:t>1</w:t>
            </w:r>
          </w:p>
        </w:tc>
        <w:tc>
          <w:tcPr>
            <w:tcW w:w="2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7640" w:type="dxa"/>
            <w:vAlign w:val="bottom"/>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Adjusted net tangible book value per share after giving effect to this offering</w:t>
            </w:r>
            <w:r>
              <w:rPr>
                <w:rFonts w:ascii="Times New Roman" w:cs="Times New Roman" w:eastAsia="Times New Roman" w:hAnsi="Times New Roman"/>
                <w:sz w:val="24"/>
                <w:szCs w:val="24"/>
                <w:color w:val="auto"/>
                <w:vertAlign w:val="superscript"/>
              </w:rPr>
              <w:t>2</w:t>
            </w:r>
          </w:p>
        </w:tc>
        <w:tc>
          <w:tcPr>
            <w:tcW w:w="256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0.69</w:t>
            </w: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Increase per share attributable to investors participating in this offering</w:t>
            </w:r>
          </w:p>
        </w:tc>
        <w:tc>
          <w:tcPr>
            <w:tcW w:w="256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0.42</w:t>
            </w:r>
          </w:p>
        </w:tc>
      </w:tr>
      <w:tr>
        <w:trPr>
          <w:trHeight w:val="216"/>
        </w:trPr>
        <w:tc>
          <w:tcPr>
            <w:tcW w:w="76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Dilution per share to investors participating in this offering</w:t>
            </w:r>
          </w:p>
        </w:tc>
        <w:tc>
          <w:tcPr>
            <w:tcW w:w="2560" w:type="dxa"/>
            <w:vAlign w:val="bottom"/>
            <w:shd w:val="clear" w:color="auto" w:fill="CFF0FC"/>
          </w:tcPr>
          <w:p>
            <w:pPr>
              <w:jc w:val="right"/>
              <w:ind w:right="5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3.31</w:t>
            </w:r>
          </w:p>
        </w:tc>
      </w:tr>
    </w:tbl>
    <w:p>
      <w:pPr>
        <w:spacing w:after="0" w:line="198" w:lineRule="exact"/>
        <w:rPr>
          <w:sz w:val="20"/>
          <w:szCs w:val="20"/>
          <w:color w:val="auto"/>
        </w:rPr>
      </w:pPr>
    </w:p>
    <w:p>
      <w:pPr>
        <w:ind w:firstLine="8"/>
        <w:spacing w:after="0" w:line="254" w:lineRule="auto"/>
        <w:tabs>
          <w:tab w:leader="none" w:pos="2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 forma tangible book value represents our total tangible assets less total liabilities as of June 30, 2025 after giving effect, on pro forma basis, to the following events as if such events had occurred on June 30, 2025: (i) the private placement in July 2025 of 20,000,000 Ordinary Shares for aggregate net proceeds of approximately $47.3 million, after deducting placement agent fees and other offering expenses and (ii) the private placement in September 2025 of 37,000,000 Ordinary Shares for aggregate net proceeds of approximately $190.6 million, after deducting placement agent fees and other offering expenses, (iii) an "at the market offering" ("ATM") prospectus covering the offering, issuance and sale by us of up to 48,034,860 of our ordinary shares at a public offering price of $2.98 per Ordinary Share that may be issued and sold under a sales agreement with Cantor Fitzgerald &amp; Co., Roth Capital Partners, LLC, Northland Securities, Inc., Maxim Group LLC and A.G.P./Alliance Global Partners after deducting the estimated commissions and estimated offering expenses (iv) the Crownpeak acquisition.</w:t>
      </w:r>
    </w:p>
    <w:p>
      <w:pPr>
        <w:spacing w:after="0" w:line="191" w:lineRule="exact"/>
        <w:rPr>
          <w:rFonts w:ascii="Times New Roman" w:cs="Times New Roman" w:eastAsia="Times New Roman" w:hAnsi="Times New Roman"/>
          <w:sz w:val="18"/>
          <w:szCs w:val="18"/>
          <w:color w:val="auto"/>
        </w:rPr>
      </w:pPr>
    </w:p>
    <w:p>
      <w:pPr>
        <w:jc w:val="both"/>
        <w:ind w:firstLine="8"/>
        <w:spacing w:after="0" w:line="258" w:lineRule="auto"/>
        <w:tabs>
          <w:tab w:leader="none" w:pos="26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adjusted tangible book value represents our pro forma tangible book, as described in note 1 above, after giving effect, on pro forma basis, to the sale by us of Ordinary Shares in this offering, assuming that an aggregate of 62,500,000 Ordinary Shares are sold at a public offering price of $4.00 per share, and after deducting the estimated commissions and estimated offering expenses. The number of shares to be outstanding after giving effect to this offering is based on the 336,327,587 Ordinary Shares outstanding as of January 13, 2026, plus assuming the full issuance of the 48,034,860 Ordinary Shares under the ATM, plus the 62,500,000 Ordinary Shares offered for sale by us in this offering , and excludes the following:</w:t>
      </w:r>
    </w:p>
    <w:p>
      <w:pPr>
        <w:spacing w:after="0" w:line="183" w:lineRule="exact"/>
        <w:rPr>
          <w:rFonts w:ascii="Times New Roman" w:cs="Times New Roman" w:eastAsia="Times New Roman" w:hAnsi="Times New Roman"/>
          <w:sz w:val="18"/>
          <w:szCs w:val="18"/>
          <w:color w:val="auto"/>
        </w:rPr>
      </w:pPr>
    </w:p>
    <w:p>
      <w:pPr>
        <w:ind w:left="900" w:hanging="143"/>
        <w:spacing w:after="0"/>
        <w:tabs>
          <w:tab w:leader="none" w:pos="9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8,069,976 Ordinary Shares issuable upon the exercise of outstanding Warrants.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ORDINARY SHARES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Set forth below is a summary of certain information concerning Rezolve’s Ordinary Shares pursuant to Rezolve’s articles of association (the “Articles”), and the relevant provisions of the UK Companies Act 2006 (as amended) (the “UK Companies Act”). The summary below contains only material information concerning Rezolve’s Ordinary Shares and does not purport to be complete and is qualified in its entirety by reference to the Articles, which are filed as an exhibit to the registration statement of which this prospectus supplement and accompanying prospectus form a part.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that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4" w:name="page15"/>
    <w:bookmarkEnd w:id="14"/>
    <w:p>
      <w:pPr>
        <w:ind w:right="2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5" w:name="page16"/>
    <w:bookmarkEnd w:id="15"/>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is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A.G.P./Alliance Global Partners has agreed to act as our lead placement agent with Titan Partners Group, a division of American Capital Partners, LLC and Maxim Group LLC serving as co-placement agent</w:t>
      </w:r>
      <w:r>
        <w:rPr>
          <w:rFonts w:ascii="Times New Roman" w:cs="Times New Roman" w:eastAsia="Times New Roman" w:hAnsi="Times New Roman"/>
          <w:sz w:val="19"/>
          <w:szCs w:val="19"/>
          <w:color w:val="auto"/>
        </w:rPr>
        <w:t>s</w:t>
      </w:r>
      <w:r>
        <w:rPr>
          <w:rFonts w:ascii="Times New Roman" w:cs="Times New Roman" w:eastAsia="Times New Roman" w:hAnsi="Times New Roman"/>
          <w:sz w:val="18"/>
          <w:szCs w:val="18"/>
          <w:color w:val="auto"/>
        </w:rPr>
        <w:t xml:space="preserve"> in connection with this offering subject to the terms and conditions of the placement agency agreement dated January 20, 2026. The placement agents are not purchasing or selling any of the securities offered by this prospectus and are not required to arrange for the purchase or sale of any specific number or dollar amount of securities but have agreed to use their best efforts to arrange for the sale of all of the securities offered hereby. Therefore, we may not sell the entire number of securities offered pursuant to this prospectus supplement. We have entered into a securities purchase agreement directly with the investors who are purchasing our securities in this offering. We also have engaged Cantor Fitzgerald &amp; Co., Roth Capital Partners and Northland Capital Markets as our financial advisors.</w:t>
      </w:r>
    </w:p>
    <w:p>
      <w:pPr>
        <w:spacing w:after="0" w:line="19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securities are being offered at a fixed price and are expected to be issued in a single closing. We expect this offering to be completed not later than two business days following the commencement of sales in this offering, and we will deliver all securities to be issued in connection with this offering delivery versus payment/receipt versus payment upon receipt of investor funds received by us. Accordingly, neither we nor the placement agents have made any arrangements to place investor funds in an escrow account or trust account since the placement agents will not receive investor funds in connection with the sale of the securities offered hereunder.</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deliver the securities being issued to each investor upon receipt of such investor’s funds for the purchase of the securities offered pursuant to this prospectus supplement. We expect to deliver the securities being offered pursuant to this prospectus supplement on or about January 21, 2026.</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agents and specified other persons against specified liabilities, including liabilities under the Securities Act, and to contribute to payments the placement agents may be required to make in respect thereof.</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agreed to pay the placement agents' a fee based on the aggregate proceeds as set forth in the table below:</w:t>
      </w:r>
    </w:p>
    <w:p>
      <w:pPr>
        <w:spacing w:after="0" w:line="248" w:lineRule="exact"/>
        <w:rPr>
          <w:sz w:val="20"/>
          <w:szCs w:val="20"/>
          <w:color w:val="auto"/>
        </w:rPr>
      </w:pPr>
    </w:p>
    <w:tbl>
      <w:tblPr>
        <w:tblLayout w:type="fixed"/>
        <w:tblInd w:w="1080" w:type="dxa"/>
        <w:tblCellMar>
          <w:top w:w="0" w:type="dxa"/>
          <w:left w:w="0" w:type="dxa"/>
          <w:bottom w:w="0" w:type="dxa"/>
          <w:right w:w="0" w:type="dxa"/>
        </w:tblCellMar>
      </w:tblPr>
      <w:tr>
        <w:trPr>
          <w:trHeight w:val="238"/>
        </w:trPr>
        <w:tc>
          <w:tcPr>
            <w:tcW w:w="28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560" w:type="dxa"/>
            <w:vAlign w:val="bottom"/>
          </w:tcPr>
          <w:p>
            <w:pPr>
              <w:spacing w:after="0"/>
              <w:rPr>
                <w:sz w:val="20"/>
                <w:szCs w:val="20"/>
                <w:color w:val="auto"/>
              </w:rPr>
            </w:pPr>
          </w:p>
        </w:tc>
        <w:tc>
          <w:tcPr>
            <w:tcW w:w="22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Per Ordinary Share</w:t>
            </w:r>
          </w:p>
        </w:tc>
        <w:tc>
          <w:tcPr>
            <w:tcW w:w="780" w:type="dxa"/>
            <w:vAlign w:val="bottom"/>
          </w:tcPr>
          <w:p>
            <w:pPr>
              <w:spacing w:after="0"/>
              <w:rPr>
                <w:sz w:val="20"/>
                <w:szCs w:val="20"/>
                <w:color w:val="auto"/>
              </w:rPr>
            </w:pPr>
          </w:p>
        </w:tc>
        <w:tc>
          <w:tcPr>
            <w:tcW w:w="2700" w:type="dxa"/>
            <w:vAlign w:val="bottom"/>
            <w:tcBorders>
              <w:bottom w:val="single" w:sz="8" w:color="auto"/>
            </w:tcBorders>
          </w:tcPr>
          <w:p>
            <w:pPr>
              <w:jc w:val="right"/>
              <w:ind w:right="10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1"/>
        </w:trPr>
        <w:tc>
          <w:tcPr>
            <w:tcW w:w="28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2220" w:type="dxa"/>
            <w:vAlign w:val="bottom"/>
          </w:tcPr>
          <w:p>
            <w:pPr>
              <w:jc w:val="right"/>
              <w:ind w:right="1730"/>
              <w:spacing w:after="0" w:line="171" w:lineRule="exact"/>
              <w:rPr>
                <w:sz w:val="20"/>
                <w:szCs w:val="20"/>
                <w:color w:val="auto"/>
              </w:rPr>
            </w:pPr>
            <w:r>
              <w:rPr>
                <w:rFonts w:ascii="Times New Roman" w:cs="Times New Roman" w:eastAsia="Times New Roman" w:hAnsi="Times New Roman"/>
                <w:sz w:val="18"/>
                <w:szCs w:val="18"/>
                <w:color w:val="auto"/>
                <w:w w:val="93"/>
              </w:rPr>
              <w:t>$4.00</w:t>
            </w:r>
          </w:p>
        </w:tc>
        <w:tc>
          <w:tcPr>
            <w:tcW w:w="780" w:type="dxa"/>
            <w:vAlign w:val="bottom"/>
          </w:tcPr>
          <w:p>
            <w:pPr>
              <w:spacing w:after="0"/>
              <w:rPr>
                <w:sz w:val="14"/>
                <w:szCs w:val="14"/>
                <w:color w:val="auto"/>
              </w:rPr>
            </w:pPr>
          </w:p>
        </w:tc>
        <w:tc>
          <w:tcPr>
            <w:tcW w:w="2700" w:type="dxa"/>
            <w:vAlign w:val="bottom"/>
          </w:tcPr>
          <w:p>
            <w:pPr>
              <w:jc w:val="right"/>
              <w:ind w:right="1630"/>
              <w:spacing w:after="0" w:line="171" w:lineRule="exact"/>
              <w:rPr>
                <w:sz w:val="20"/>
                <w:szCs w:val="20"/>
                <w:color w:val="auto"/>
              </w:rPr>
            </w:pPr>
            <w:r>
              <w:rPr>
                <w:rFonts w:ascii="Times New Roman" w:cs="Times New Roman" w:eastAsia="Times New Roman" w:hAnsi="Times New Roman"/>
                <w:sz w:val="18"/>
                <w:szCs w:val="18"/>
                <w:color w:val="auto"/>
                <w:w w:val="96"/>
              </w:rPr>
              <w:t>$250,000,000</w:t>
            </w:r>
          </w:p>
        </w:tc>
        <w:tc>
          <w:tcPr>
            <w:tcW w:w="0" w:type="dxa"/>
            <w:vAlign w:val="bottom"/>
          </w:tcPr>
          <w:p>
            <w:pPr>
              <w:spacing w:after="0"/>
              <w:rPr>
                <w:sz w:val="1"/>
                <w:szCs w:val="1"/>
                <w:color w:val="auto"/>
              </w:rPr>
            </w:pPr>
          </w:p>
        </w:tc>
      </w:tr>
      <w:tr>
        <w:trPr>
          <w:trHeight w:val="236"/>
        </w:trPr>
        <w:tc>
          <w:tcPr>
            <w:tcW w:w="2840" w:type="dxa"/>
            <w:vAlign w:val="bottom"/>
          </w:tcPr>
          <w:p>
            <w:pPr>
              <w:spacing w:after="0" w:line="236" w:lineRule="exact"/>
              <w:rPr>
                <w:sz w:val="20"/>
                <w:szCs w:val="20"/>
                <w:color w:val="auto"/>
              </w:rPr>
            </w:pPr>
            <w:r>
              <w:rPr>
                <w:rFonts w:ascii="Times New Roman" w:cs="Times New Roman" w:eastAsia="Times New Roman" w:hAnsi="Times New Roman"/>
                <w:sz w:val="18"/>
                <w:szCs w:val="18"/>
                <w:color w:val="auto"/>
              </w:rPr>
              <w:t>Placement Agents' Fees</w:t>
            </w:r>
            <w:r>
              <w:rPr>
                <w:rFonts w:ascii="Times New Roman" w:cs="Times New Roman" w:eastAsia="Times New Roman" w:hAnsi="Times New Roman"/>
                <w:sz w:val="24"/>
                <w:szCs w:val="24"/>
                <w:color w:val="auto"/>
                <w:vertAlign w:val="superscript"/>
              </w:rPr>
              <w:t>(1)</w:t>
            </w:r>
          </w:p>
        </w:tc>
        <w:tc>
          <w:tcPr>
            <w:tcW w:w="278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$0.20</w:t>
            </w:r>
          </w:p>
        </w:tc>
        <w:tc>
          <w:tcPr>
            <w:tcW w:w="348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$12,500,000</w:t>
            </w:r>
          </w:p>
        </w:tc>
        <w:tc>
          <w:tcPr>
            <w:tcW w:w="0" w:type="dxa"/>
            <w:vAlign w:val="bottom"/>
          </w:tcPr>
          <w:p>
            <w:pPr>
              <w:spacing w:after="0"/>
              <w:rPr>
                <w:sz w:val="1"/>
                <w:szCs w:val="1"/>
                <w:color w:val="auto"/>
              </w:rPr>
            </w:pPr>
          </w:p>
        </w:tc>
      </w:tr>
      <w:tr>
        <w:trPr>
          <w:trHeight w:val="234"/>
        </w:trPr>
        <w:tc>
          <w:tcPr>
            <w:tcW w:w="2840" w:type="dxa"/>
            <w:vAlign w:val="bottom"/>
          </w:tcPr>
          <w:p>
            <w:pPr>
              <w:spacing w:after="0"/>
              <w:rPr>
                <w:sz w:val="20"/>
                <w:szCs w:val="20"/>
                <w:color w:val="auto"/>
              </w:rPr>
            </w:pPr>
            <w:r>
              <w:rPr>
                <w:rFonts w:ascii="Times New Roman" w:cs="Times New Roman" w:eastAsia="Times New Roman" w:hAnsi="Times New Roman"/>
                <w:sz w:val="18"/>
                <w:szCs w:val="18"/>
                <w:color w:val="auto"/>
              </w:rPr>
              <w:t>Proceeds to us, before expenses</w:t>
            </w:r>
          </w:p>
        </w:tc>
        <w:tc>
          <w:tcPr>
            <w:tcW w:w="2780" w:type="dxa"/>
            <w:vAlign w:val="bottom"/>
            <w:gridSpan w:val="2"/>
          </w:tcPr>
          <w:p>
            <w:pPr>
              <w:jc w:val="right"/>
              <w:ind w:right="1730"/>
              <w:spacing w:after="0"/>
              <w:rPr>
                <w:sz w:val="20"/>
                <w:szCs w:val="20"/>
                <w:color w:val="auto"/>
              </w:rPr>
            </w:pPr>
            <w:r>
              <w:rPr>
                <w:rFonts w:ascii="Times New Roman" w:cs="Times New Roman" w:eastAsia="Times New Roman" w:hAnsi="Times New Roman"/>
                <w:sz w:val="18"/>
                <w:szCs w:val="18"/>
                <w:color w:val="auto"/>
              </w:rPr>
              <w:t>$3.80</w:t>
            </w:r>
          </w:p>
        </w:tc>
        <w:tc>
          <w:tcPr>
            <w:tcW w:w="348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color w:val="auto"/>
              </w:rPr>
              <w:t>$237,500,000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20" w:hanging="452"/>
        <w:spacing w:after="0" w:line="282"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 cash fee equal to 5.0% of the aggregate purchase price paid by the investors in this offering. We have also agreed to reimburse the placement agents for certain of its offering-related expenses, including accountable offering-related legal expenses, in an amount up to $120,000.</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agreed to pay the placement agents for certain of its offering-related expenses in an amount up to $120,000, with non-accountable offering-related expenses not to exceed $10,000. We estimate the total expenses payable by us for this offering, excluding the placement agents' fees and expenses, will be</w:t>
      </w:r>
    </w:p>
    <w:p>
      <w:pPr>
        <w:spacing w:after="0"/>
        <w:tabs>
          <w:tab w:leader="none" w:pos="1620" w:val="left"/>
        </w:tabs>
        <w:rPr>
          <w:sz w:val="20"/>
          <w:szCs w:val="20"/>
          <w:color w:val="auto"/>
        </w:rPr>
      </w:pPr>
      <w:r>
        <w:rPr>
          <w:rFonts w:ascii="Times New Roman" w:cs="Times New Roman" w:eastAsia="Times New Roman" w:hAnsi="Times New Roman"/>
          <w:sz w:val="18"/>
          <w:szCs w:val="18"/>
          <w:color w:val="auto"/>
        </w:rPr>
        <w:t>approximately $[</w:t>
      </w:r>
      <w:r>
        <w:rPr>
          <w:sz w:val="20"/>
          <w:szCs w:val="20"/>
          <w:color w:val="auto"/>
        </w:rPr>
        <w:tab/>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placement agents may be deemed to be an underwriter within the meaning of Section 2(a)(11) of the Securities Act, and any commissions received by it and any profit realized on the resale of the shares sold by it while acting as principal might be deemed to be underwriting discounts or commissions under the Securities Act. As an underwriter, the placement agents would be required to comply with the requirements of the Securities Act and the Exchange Act, including, without limitation, Rule 415(a)(4) under the Securities Act and Rule 10b-5 and Regulation M under the Exchange Act. These rules and regulations may limit the timing of purchases and sales of shares by the placement agents acting as principal. Under these rules and regulations, the placement agents:</w:t>
      </w:r>
    </w:p>
    <w:p>
      <w:pPr>
        <w:spacing w:after="0" w:line="93" w:lineRule="exact"/>
        <w:rPr>
          <w:sz w:val="20"/>
          <w:szCs w:val="20"/>
          <w:color w:val="auto"/>
        </w:rPr>
      </w:pPr>
    </w:p>
    <w:p>
      <w:pPr>
        <w:ind w:left="1020" w:hanging="445"/>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engage in any stabilization activity in connection with our securities; and</w:t>
      </w:r>
    </w:p>
    <w:p>
      <w:pPr>
        <w:spacing w:after="0" w:line="130" w:lineRule="exact"/>
        <w:rPr>
          <w:rFonts w:ascii="Times New Roman" w:cs="Times New Roman" w:eastAsia="Times New Roman" w:hAnsi="Times New Roman"/>
          <w:sz w:val="18"/>
          <w:szCs w:val="18"/>
          <w:color w:val="auto"/>
        </w:rPr>
      </w:pPr>
    </w:p>
    <w:p>
      <w:pPr>
        <w:ind w:left="1020" w:right="20" w:hanging="445"/>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may not bid for or purchase any of our securities or attempt to induce any person to purchase any of our securities, other than as permitted under the Exchange Act, until it has completed its participation in the distribution.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offering price of the Ordinary Shares we are offering was negotiated between us and the purchasers, in consultation with the placement agents based on the trading of our securities prior to the offering, among other things. Other factors considered in determining the offering price of the securities we are offering include our history and prospects, the industry in which we operate, our past and present operating results, the stage of development of our business, our business plans for the future and the extent to which they have been implemented, the previous experience of our executive officers, general conditions of the securities markets at the time of the offering and such other factors as were deemed relevant.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Ordinary Shares are listed on The Nasdaq Stock Market LLC under the trading symbol “RZLV.”</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Standstill</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until thirty (30) days after the date of the closing of the offering and with certain exceptions, not to (i) issue, enter into any agreement to issue, or announce the issuance or proposed issuance of any of our Ordinary Shares or Ordinary Share equivalents, or (ii) file any registration statement or amendment or supplement thereto, subject to certain exceptions.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Discretionary Accounts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placement agents do not intend to confirm sales of the securities offered hereby to any accounts over which it has discretionary authority.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Activities and Relationships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placement agents and certain of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placement agents and certain of their respective affiliates may in the future perform, various commercial and investment banking and financial advisory services for us and our affiliates, for which they received or will receive customary fees and expenses.</w:t>
      </w:r>
    </w:p>
    <w:p>
      <w:pPr>
        <w:spacing w:after="0" w:line="18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A.G.P. previously acted as placement agent for the Company’s private placements of Ordinary Shares in July 2025 and September 2025 and has acted as broker dealer for Ordinary Shares by Daniel Wagner and DBLP Sea Cow Ltd. Cantor Fitzgerald &amp; Co., Roth Capital Partners, Northland Securities, Inc., Maxim Group LLC and A.G.P./Alliance Global Partners and are agents under the Company’s Controlled Equity Offering</w:t>
      </w:r>
      <w:r>
        <w:rPr>
          <w:rFonts w:ascii="Times New Roman" w:cs="Times New Roman" w:eastAsia="Times New Roman" w:hAnsi="Times New Roman"/>
          <w:sz w:val="24"/>
          <w:szCs w:val="24"/>
          <w:color w:val="auto"/>
          <w:vertAlign w:val="superscript"/>
        </w:rPr>
        <w:t>SM</w:t>
      </w:r>
      <w:r>
        <w:rPr>
          <w:rFonts w:ascii="Times New Roman" w:cs="Times New Roman" w:eastAsia="Times New Roman" w:hAnsi="Times New Roman"/>
          <w:sz w:val="18"/>
          <w:szCs w:val="18"/>
          <w:color w:val="auto"/>
        </w:rPr>
        <w:t xml:space="preserve"> Sales Agreement, dated November 28, 2025.</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the ordinary course of their various business activities, the placement agents and certain of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issued by us and our affiliates. If the placement agents or their respective affiliates have a lending relationship with us, they routinely hedge their credit exposure to us consistent with their customary risk management policies. The placement agents and their respective affiliates may hedge such exposure by entering into transactions that consist of either the purchase of credit default swaps or the creation of short positions in our securities or the securities of our affiliates, including potentially the Ordinary Shares offered hereby. Any such short position could adversely affect future trading prices of the Ordinary Shares offered hereby. The placement agents and certain of their respective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does not purport to be a complete statement of the terms and conditions of the placement agency agreement or the securities purchase agreement, copies of which are incorporated by reference to this prospectus supplement. See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Incorporation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Certain Information by Reference.</w:t>
      </w:r>
      <w:r>
        <w:rPr>
          <w:rFonts w:ascii="Times New Roman" w:cs="Times New Roman" w:eastAsia="Times New Roman" w:hAnsi="Times New Roman"/>
          <w:sz w:val="18"/>
          <w:szCs w:val="18"/>
          <w:color w:val="auto"/>
        </w:rPr>
        <w:t>”</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 The placement agents are being represented in connection with this offering by Sullivan &amp; Worcester LLP, New York, New York.</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from Rezolve's Annual Report on Form 20-F for the year ended December 31, 2024,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Group of Companies, are incorporated by reference herein from Rezolve's Annual Report on Form 20-F for the year ended December 31, 2024, have been audited by MNP, LLP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of CrownPeak Intermediate Holdings, Inc. and Subsidiaries as of January 31, 2025 and 2024 and for the years then ended have been audited by SingerLewak LLP, an independent auditor, as stated in their report thereon which report expresses an unqualified opinion and includes an explanatory paragraph relating to substantial doubt about the Company’s ability to continue as a going concern, and is based in part on the reports of ba audit gmbh Wirtschaftsprüfungsgesellschaft, an independent auditor, and incorporated by reference in this Prospectus and Registration Statement in reliance upon such reports and upon the authority of such firms as experts in accounting and auditing.</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file reports and other information with the SEC. The SEC maintains a web site that contains reports, and other information about issuers, such as us, who file electronically with the SEC. The address of that website is http://www.sec.gov.</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1">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jc w:val="both"/>
        <w:ind w:left="1020" w:right="240" w:hanging="503"/>
        <w:spacing w:after="0" w:line="266" w:lineRule="auto"/>
        <w:tabs>
          <w:tab w:leader="none" w:pos="1020" w:val="left"/>
        </w:tabs>
        <w:numPr>
          <w:ilvl w:val="0"/>
          <w:numId w:val="11"/>
        </w:numPr>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auto"/>
          </w:rPr>
          <w:t xml:space="preserve">our Report of Foreign Private Issuer on Form 6-K filed with the SEC on </w:t>
        </w:r>
        <w:r>
          <w:rPr>
            <w:rFonts w:ascii="Times New Roman" w:cs="Times New Roman" w:eastAsia="Times New Roman" w:hAnsi="Times New Roman"/>
            <w:sz w:val="18"/>
            <w:szCs w:val="18"/>
            <w:u w:val="single" w:color="auto"/>
            <w:color w:val="0000FF"/>
          </w:rPr>
          <w:t>October 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6,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10, 2025</w:t>
        </w:r>
        <w:r>
          <w:rPr>
            <w:rFonts w:ascii="Times New Roman" w:cs="Times New Roman" w:eastAsia="Times New Roman" w:hAnsi="Times New Roman"/>
            <w:sz w:val="18"/>
            <w:szCs w:val="18"/>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October 22,</w:t>
        </w:r>
      </w:hyperlink>
      <w:r>
        <w:rPr>
          <w:rFonts w:ascii="Times New Roman" w:cs="Times New Roman" w:eastAsia="Times New Roman" w:hAnsi="Times New Roman"/>
          <w:sz w:val="18"/>
          <w:szCs w:val="18"/>
          <w:color w:val="auto"/>
        </w:rPr>
        <w:t xml:space="preserve"> </w:t>
      </w:r>
      <w:hyperlink r:id="rId43">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December 1, 2025</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December 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December 15, 2025, January 16, 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(excluding Exhibit 99.1 furnished hereto),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January 20,</w:t>
        </w:r>
      </w:hyperlink>
      <w:r>
        <w:rPr>
          <w:rFonts w:ascii="Times New Roman" w:cs="Times New Roman" w:eastAsia="Times New Roman" w:hAnsi="Times New Roman"/>
          <w:sz w:val="18"/>
          <w:szCs w:val="18"/>
          <w:color w:val="0000FF"/>
        </w:rPr>
        <w:t xml:space="preserve"> </w:t>
      </w:r>
      <w:hyperlink r:id="rId43">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44">
        <w:r>
          <w:rPr>
            <w:rFonts w:ascii="Times New Roman" w:cs="Times New Roman" w:eastAsia="Times New Roman" w:hAnsi="Times New Roman"/>
            <w:sz w:val="18"/>
            <w:szCs w:val="18"/>
            <w:u w:val="single" w:color="auto"/>
            <w:color w:val="0000FF"/>
          </w:rPr>
          <w:t xml:space="preserve">Form 6-K/A </w:t>
        </w:r>
      </w:hyperlink>
      <w:hyperlink r:id="rId43">
        <w:r>
          <w:rPr>
            <w:rFonts w:ascii="Times New Roman" w:cs="Times New Roman" w:eastAsia="Times New Roman" w:hAnsi="Times New Roman"/>
            <w:sz w:val="18"/>
            <w:szCs w:val="18"/>
            <w:color w:val="000000"/>
          </w:rPr>
          <w:t>filed with the SEC on January 21, 2026.</w:t>
        </w:r>
      </w:hyperlink>
    </w:p>
    <w:p>
      <w:pPr>
        <w:spacing w:after="0" w:line="67" w:lineRule="exact"/>
        <w:rPr>
          <w:rFonts w:ascii="Times New Roman" w:cs="Times New Roman" w:eastAsia="Times New Roman" w:hAnsi="Times New Roman"/>
          <w:sz w:val="18"/>
          <w:szCs w:val="18"/>
          <w:color w:val="0000FF"/>
        </w:rPr>
      </w:pPr>
    </w:p>
    <w:p>
      <w:pPr>
        <w:ind w:left="1020" w:hanging="503"/>
        <w:spacing w:after="0" w:line="25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which was furnished to the SEC on December 1, 2025, which includes respectively as exhibits 99.1 and 99.2 (i) the Audited Consolidated Financial Statements of CrownPeak Intermediate Holdings, Inc. and subsidiaries as of and for the years ended January 31, 2025 and 2024 and the accompanying notes thereto, and (ii) the Unaudited Condensed Consolidated Financial Statements of CrownPeak Intermediate Holdings, Inc. and subsidiaries as of and for the six months ended July 31, 2025 and 2024 the unaudited condensed consolidated interim financial statements as of September 30, 2025 and for the nine months ended September 30, 2025 and 2024 and the accompanying notes thereto;</w:t>
      </w:r>
    </w:p>
    <w:p>
      <w:pPr>
        <w:spacing w:after="0" w:line="79" w:lineRule="exact"/>
        <w:rPr>
          <w:rFonts w:ascii="Times New Roman" w:cs="Times New Roman" w:eastAsia="Times New Roman" w:hAnsi="Times New Roman"/>
          <w:sz w:val="18"/>
          <w:szCs w:val="18"/>
          <w:color w:val="auto"/>
        </w:rPr>
      </w:pPr>
    </w:p>
    <w:p>
      <w:pPr>
        <w:ind w:left="1020" w:right="20" w:hanging="503"/>
        <w:spacing w:after="0" w:line="261"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report on Form 6-K which was furnished to the SEC on October 1, 2025, which includes, respectively, as exhibits 99.2 and 99.3 (i) the section captioned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 and (ii) the Unaudited condensed interim combined consolidated financial statements of GroupBy Group of Companies as of, and for the six months ended June 30, 2025 and 2024 ;and</w:t>
      </w:r>
    </w:p>
    <w:p>
      <w:pPr>
        <w:spacing w:after="0" w:line="71"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45">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We also incorporate by reference all additional documents that we file with the SEC pursuant to Section 13(a), 13(c), 14 or 15(d) of the Exchange Act that are filed after the date of this prospectus supplement and prior to the termination of the offering of securities offered pursuant to this prospectus. We also incorporate by reference all additional documents that we file with the SEC pursuant to Section 13(a), 13(c), 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3" w:lineRule="exact"/>
        <w:rPr>
          <w:rFonts w:ascii="Times New Roman" w:cs="Times New Roman" w:eastAsia="Times New Roman" w:hAnsi="Times New Roman"/>
          <w:sz w:val="18"/>
          <w:szCs w:val="18"/>
          <w:color w:val="0000FF"/>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200" w:lineRule="exact"/>
        <w:rPr>
          <w:rFonts w:ascii="Times New Roman" w:cs="Times New Roman" w:eastAsia="Times New Roman" w:hAnsi="Times New Roman"/>
          <w:sz w:val="18"/>
          <w:szCs w:val="18"/>
          <w:color w:val="0000FF"/>
        </w:rPr>
      </w:pPr>
    </w:p>
    <w:p>
      <w:pPr>
        <w:spacing w:after="0" w:line="263"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Rezolve AI plc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200,000,000 Ordinary Shares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Rezolve AI plc, a public limited company registered under the laws of England and Wales with registration number 14573691, (“Rezolve,” the “Company,” “we,” “us,” “our") may offer and issue from time to time up to an aggregate of 200,000,000 ordinary shares nominal value £0.0001 each in the capital of the Company (the “Ordinary Shares”). This prospectus provides you with a general description of the securities.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time we offer and sell the Ordinary Shares, we will provide a prospectus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any applicable prospectus supplement before you invest in any of our securities.</w:t>
      </w:r>
    </w:p>
    <w:p>
      <w:pPr>
        <w:spacing w:after="0" w:line="7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should read this prospectus and any prospectus supplement or amendment carefully before you invest in our securities.</w:t>
      </w:r>
    </w:p>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Ordinary Shares are traded on the Nasdaq Stock Market LLC (“Nasdaq”) under the symbols “RZLV." On November 26, 2025, the closing price of the Ordinary Shares was $2.98 per share.</w:t>
      </w:r>
    </w:p>
    <w:p>
      <w:pPr>
        <w:spacing w:after="0" w:line="15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6 of this prospects and in the documents incorporated by reference into this prospectus.</w:t>
      </w:r>
    </w:p>
    <w:p>
      <w:pPr>
        <w:spacing w:after="0" w:line="155" w:lineRule="exact"/>
        <w:rPr>
          <w:sz w:val="20"/>
          <w:szCs w:val="20"/>
          <w:color w:val="auto"/>
        </w:rPr>
      </w:pPr>
    </w:p>
    <w:p>
      <w:pPr>
        <w:ind w:right="66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is December 19, 2025.</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960" w:type="dxa"/>
            <w:vAlign w:val="bottom"/>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392"/>
        </w:trPr>
        <w:tc>
          <w:tcPr>
            <w:tcW w:w="22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560" w:type="dxa"/>
            <w:vAlign w:val="bottom"/>
            <w:gridSpan w:val="7"/>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2700" w:type="dxa"/>
            <w:vAlign w:val="bottom"/>
            <w:tcBorders>
              <w:bottom w:val="single" w:sz="8" w:color="0000FF"/>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FF"/>
                <w:w w:val="99"/>
              </w:rPr>
              <w:t>MARKET AND INDUSTRY DATA</w:t>
            </w:r>
          </w:p>
        </w:tc>
        <w:tc>
          <w:tcPr>
            <w:tcW w:w="6100" w:type="dxa"/>
            <w:vAlign w:val="bottom"/>
            <w:gridSpan w:val="5"/>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SELECTED DEFINITIONS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5860" w:type="dxa"/>
            <w:vAlign w:val="bottom"/>
            <w:tcBorders>
              <w:bottom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2940" w:type="dxa"/>
            <w:vAlign w:val="bottom"/>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210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PROSPECTUS SUMMARY</w:t>
            </w:r>
          </w:p>
        </w:tc>
        <w:tc>
          <w:tcPr>
            <w:tcW w:w="6700" w:type="dxa"/>
            <w:vAlign w:val="bottom"/>
            <w:gridSpan w:val="8"/>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160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USE OF PROCEEDS</w:t>
            </w:r>
          </w:p>
        </w:tc>
        <w:tc>
          <w:tcPr>
            <w:tcW w:w="7200" w:type="dxa"/>
            <w:vAlign w:val="bottom"/>
            <w:gridSpan w:val="10"/>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8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DIVIDEND POLICY</w:t>
            </w:r>
          </w:p>
        </w:tc>
        <w:tc>
          <w:tcPr>
            <w:tcW w:w="7220" w:type="dxa"/>
            <w:vAlign w:val="bottom"/>
            <w:gridSpan w:val="11"/>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500" w:type="dxa"/>
            <w:vAlign w:val="bottom"/>
            <w:tcBorders>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CAPITALIZATION</w:t>
            </w:r>
          </w:p>
        </w:tc>
        <w:tc>
          <w:tcPr>
            <w:tcW w:w="7300" w:type="dxa"/>
            <w:vAlign w:val="bottom"/>
            <w:gridSpan w:val="1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DESCRIPTION OF SECURITIES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196"/>
        </w:trPr>
        <w:tc>
          <w:tcPr>
            <w:tcW w:w="2500" w:type="dxa"/>
            <w:vAlign w:val="bottom"/>
            <w:tcBorders>
              <w:top w:val="single" w:sz="8" w:color="0000FF"/>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PLAN OF DISTRIBUTION</w:t>
            </w:r>
          </w:p>
        </w:tc>
        <w:tc>
          <w:tcPr>
            <w:tcW w:w="6300" w:type="dxa"/>
            <w:vAlign w:val="bottom"/>
            <w:gridSpan w:val="6"/>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w:t>
            </w:r>
          </w:p>
        </w:tc>
      </w:tr>
      <w:tr>
        <w:trPr>
          <w:trHeight w:val="196"/>
        </w:trPr>
        <w:tc>
          <w:tcPr>
            <w:tcW w:w="900" w:type="dxa"/>
            <w:vAlign w:val="bottom"/>
            <w:tcBorders>
              <w:top w:val="single" w:sz="8" w:color="0000FF"/>
              <w:bottom w:val="single" w:sz="8" w:color="0000FF"/>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8"/>
              </w:rPr>
              <w:t>EXPENSES</w:t>
            </w:r>
          </w:p>
        </w:tc>
        <w:tc>
          <w:tcPr>
            <w:tcW w:w="1160" w:type="dxa"/>
            <w:vAlign w:val="bottom"/>
            <w:tcBorders>
              <w:top w:val="single" w:sz="8" w:color="0000FF"/>
            </w:tcBorders>
            <w:gridSpan w:val="7"/>
          </w:tcPr>
          <w:p>
            <w:pPr>
              <w:spacing w:after="0"/>
              <w:rPr>
                <w:sz w:val="17"/>
                <w:szCs w:val="17"/>
                <w:color w:val="auto"/>
              </w:rPr>
            </w:pPr>
          </w:p>
        </w:tc>
        <w:tc>
          <w:tcPr>
            <w:tcW w:w="6740" w:type="dxa"/>
            <w:vAlign w:val="bottom"/>
            <w:gridSpan w:val="9"/>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328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520" w:type="dxa"/>
            <w:vAlign w:val="bottom"/>
            <w:gridSpan w:val="4"/>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w:t>
            </w:r>
          </w:p>
        </w:tc>
      </w:tr>
      <w:tr>
        <w:trPr>
          <w:trHeight w:val="196"/>
        </w:trPr>
        <w:tc>
          <w:tcPr>
            <w:tcW w:w="148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8"/>
              </w:rPr>
              <w:t>LEGAL MATTERS</w:t>
            </w:r>
          </w:p>
        </w:tc>
        <w:tc>
          <w:tcPr>
            <w:tcW w:w="7320" w:type="dxa"/>
            <w:vAlign w:val="bottom"/>
            <w:gridSpan w:val="1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EXPERTS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20"/>
        </w:trPr>
        <w:tc>
          <w:tcPr>
            <w:tcW w:w="780" w:type="dxa"/>
            <w:vAlign w:val="bottom"/>
            <w:shd w:val="clear" w:color="auto" w:fill="0000FF"/>
          </w:tcPr>
          <w:p>
            <w:pPr>
              <w:spacing w:after="0" w:line="20" w:lineRule="exact"/>
              <w:rPr>
                <w:sz w:val="1"/>
                <w:szCs w:val="1"/>
                <w:color w:val="auto"/>
              </w:rPr>
            </w:pPr>
          </w:p>
        </w:tc>
        <w:tc>
          <w:tcPr>
            <w:tcW w:w="3060" w:type="dxa"/>
            <w:vAlign w:val="bottom"/>
            <w:gridSpan w:val="14"/>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356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196"/>
        </w:trPr>
        <w:tc>
          <w:tcPr>
            <w:tcW w:w="38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4960" w:type="dxa"/>
            <w:vAlign w:val="bottom"/>
            <w:gridSpan w:val="3"/>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80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FF"/>
              </w:rPr>
              <w:t>INCORPORATION OF CERTAIN INFORMATION BY REFERENCE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7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08"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 xml:space="preserve">This prospectus is part of a registration statement that we filed on Form F-3 with the SEC, under the </w:t>
      </w:r>
      <w:r>
        <w:rPr>
          <w:rFonts w:ascii="Times New Roman" w:cs="Times New Roman" w:eastAsia="Times New Roman" w:hAnsi="Times New Roman"/>
          <w:sz w:val="18"/>
          <w:szCs w:val="18"/>
          <w:u w:val="single" w:color="auto"/>
          <w:color w:val="0067B1"/>
        </w:rPr>
        <w:t>Securities Act</w:t>
      </w:r>
      <w:r>
        <w:rPr>
          <w:rFonts w:ascii="Times New Roman" w:cs="Times New Roman" w:eastAsia="Times New Roman" w:hAnsi="Times New Roman"/>
          <w:sz w:val="18"/>
          <w:szCs w:val="18"/>
          <w:color w:val="auto"/>
        </w:rPr>
        <w:t>, using a “shelf” registration process. Under this prospectus, we may offer and sell up to 200,000,000 Ordinary Shares from time to time as described in this prospectus.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Incorporation by Reference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 xml:space="preserve">Any document incorporated by reference in this prospectus and any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or incorporated by reference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or incorporated by reference into this prospectus, any applicable prospectus supplement or any related free writing prospectus. See </w:t>
      </w:r>
      <w:r>
        <w:rPr>
          <w:rFonts w:ascii="Times New Roman" w:cs="Times New Roman" w:eastAsia="Times New Roman" w:hAnsi="Times New Roman"/>
          <w:sz w:val="18"/>
          <w:szCs w:val="18"/>
          <w:i w:val="1"/>
          <w:iCs w:val="1"/>
          <w:color w:val="auto"/>
        </w:rPr>
        <w:t>“Where You Can Find More Information.”</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any information or to make any representations other than those contained in or incorporated by reference into this prospectus, any accompanying prospectus supplement or any free writing prospectus we have prepared. We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the documents incorporated by reference herein or therein,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This prospectus contains summaries of certain provisions contained in some of the documents described or incorporated by reference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w:t>
      </w:r>
      <w:r>
        <w:rPr>
          <w:rFonts w:ascii="Times New Roman" w:cs="Times New Roman" w:eastAsia="Times New Roman" w:hAnsi="Times New Roman"/>
          <w:sz w:val="18"/>
          <w:szCs w:val="18"/>
          <w:i w:val="1"/>
          <w:iCs w:val="1"/>
          <w:color w:val="auto"/>
        </w:rPr>
        <w:t>“Where You Can Find More Information.”</w:t>
      </w:r>
    </w:p>
    <w:p>
      <w:pPr>
        <w:spacing w:after="0" w:line="180"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should be remembered that the price of securities and the income from them can go down as well as up.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are in any doubt about the contents of this prospectus, you should consult your stockbroker, bank manager, solicitor, accountant or financial adviser.</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AI plc (formerly Rezolve AI Limited), including its subsidiaries.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3" w:name="page24"/>
    <w:bookmarkEnd w:id="2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20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14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w:t>
      </w:r>
      <w:r>
        <w:rPr>
          <w:rFonts w:ascii="Times New Roman" w:cs="Times New Roman" w:eastAsia="Times New Roman" w:hAnsi="Times New Roman"/>
          <w:sz w:val="18"/>
          <w:szCs w:val="18"/>
          <w:color w:val="auto"/>
        </w:rPr>
        <w:t>” means a private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w:t>
      </w:r>
      <w:r>
        <w:rPr>
          <w:rFonts w:ascii="Times New Roman" w:cs="Times New Roman" w:eastAsia="Times New Roman" w:hAnsi="Times New Roman"/>
          <w:sz w:val="18"/>
          <w:szCs w:val="18"/>
          <w:color w:val="auto"/>
        </w:rPr>
        <w:t>” means a public warrant to purchase one Ordinary Share;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w:t>
      </w:r>
      <w:r>
        <w:rPr>
          <w:rFonts w:ascii="Times New Roman" w:cs="Times New Roman" w:eastAsia="Times New Roman" w:hAnsi="Times New Roman"/>
          <w:sz w:val="18"/>
          <w:szCs w:val="18"/>
          <w:color w:val="auto"/>
        </w:rPr>
        <w:t>” mean, collectively, the Private Warrants and the Public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w:t>
      </w:r>
    </w:p>
    <w:p>
      <w:pPr>
        <w:spacing w:after="0" w:line="22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4" w:right="419" w:bottom="1440" w:gutter="0" w:footer="0" w:header="0"/>
        </w:sectPr>
      </w:pPr>
    </w:p>
    <w:bookmarkStart w:id="24" w:name="page25"/>
    <w:bookmarkEnd w:id="2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68" w:lineRule="exact"/>
        <w:rPr>
          <w:sz w:val="20"/>
          <w:szCs w:val="20"/>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global political and economic uncertainties, including public health crises, geopolitical conflicts and inflation;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the Middle East or other hostilities;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Rezolve undertakes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12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the Ordinary Shares.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expect to commercialize the Rezolve platform by the end of Q4 2025, initially in Europe and the U.S.A. Revenues from brain commerce began in Q3 2025, and we expect them to increase significantly in Q4 2025. We also expect to generate revenues in South America and Asia during Q4 2025. We expect revenues to increase in 2026 through our signed partner agreements with Microsoft, Google and others.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was incorporated in England and Wales as a private limited company on January 5, 2023 under the name Rezolve Group Limited with company number 14573691 and changed its name on June 5, 2023 to Rezolve AI Limited. On March 28, 2025, Rezolve AI Limited altered its legal status under English law from a private limited company and re-registered as a public limited company. In connection with the re-registration as a public limited company in England and Wales, the Company changed its name from Rezolve AI Limited to Rezolve AI plc (the “Company” or “Rezolve”).</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The mailing address of the Company’s registered office is 21 Sackville Street, London, W1S 3DN, United Kingdom, +44 204 625 9700 and its principal executive office is 21 Sackville Street, London, W1S 3DN, United Kingdom.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wp:posOffset>
            </wp:positionV>
            <wp:extent cx="168846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1688465" cy="50800"/>
                    </a:xfrm>
                    <a:prstGeom prst="rect">
                      <a:avLst/>
                    </a:prstGeom>
                    <a:noFill/>
                  </pic:spPr>
                </pic:pic>
              </a:graphicData>
            </a:graphic>
          </wp:anchor>
        </w:drawing>
      </w:r>
    </w:p>
    <w:p>
      <w:pPr>
        <w:spacing w:after="0" w:line="214" w:lineRule="exact"/>
        <w:rPr>
          <w:sz w:val="20"/>
          <w:szCs w:val="20"/>
          <w:color w:val="auto"/>
        </w:rPr>
      </w:pPr>
    </w:p>
    <w:p>
      <w:pPr>
        <w:ind w:right="420" w:firstLine="8"/>
        <w:spacing w:after="0" w:line="223" w:lineRule="auto"/>
        <w:tabs>
          <w:tab w:leader="none" w:pos="105" w:val="left"/>
        </w:tabs>
        <w:numPr>
          <w:ilvl w:val="0"/>
          <w:numId w:val="1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6" w:name="page27"/>
    <w:bookmarkEnd w:id="26"/>
    <w:p>
      <w:pPr>
        <w:ind w:right="240"/>
        <w:spacing w:after="0" w:line="282" w:lineRule="auto"/>
        <w:rPr>
          <w:sz w:val="20"/>
          <w:szCs w:val="20"/>
          <w:color w:val="auto"/>
        </w:rPr>
      </w:pPr>
      <w:r>
        <w:rPr>
          <w:rFonts w:ascii="Times New Roman" w:cs="Times New Roman" w:eastAsia="Times New Roman" w:hAnsi="Times New Roman"/>
          <w:sz w:val="18"/>
          <w:szCs w:val="18"/>
          <w:color w:val="auto"/>
        </w:rPr>
        <w:t>proxy statements, and exemptions from the requirements of holding a nonbinding advisory vote on executive compensation and stockholder approval of any golden parachute payments not previously approved.</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will remain an emerging growth company until the earlier of: (i) the last day of the fiscal year (a) following the fifth anniversary of the closing of the closing of the IPO of Armada Acquisition Corp. I, (b) in which we have total annual gross revenue of at least $1.235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jc w:val="both"/>
        <w:ind w:right="260"/>
        <w:spacing w:after="0" w:line="261" w:lineRule="auto"/>
        <w:rPr>
          <w:sz w:val="20"/>
          <w:szCs w:val="20"/>
          <w:color w:val="auto"/>
        </w:rPr>
      </w:pPr>
      <w:r>
        <w:rPr>
          <w:rFonts w:ascii="Times New Roman" w:cs="Times New Roman" w:eastAsia="Times New Roman" w:hAnsi="Times New Roman"/>
          <w:sz w:val="18"/>
          <w:szCs w:val="18"/>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 (i) the majority of our executive officers or directors are U.S. citizens or residents; (ii) more than 50% of our assets are located in the United States; or (iii) our business is administered principally in the United States.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1020" w:right="6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1020" w:right="54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27" w:name="page28"/>
    <w:bookmarkEnd w:id="27"/>
    <w:p>
      <w:pPr>
        <w:ind w:left="503" w:right="10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Uneven economic growth or downturns or international trade and other global disruptions, geopolitical tensions, or disputes could adversely affect our business and operating results.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growth depends in part on the success of its strategic relationships with third parties.</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503" w:right="34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503" w:right="340" w:hanging="503"/>
        <w:spacing w:after="0" w:line="266"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503" w:right="2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503" w:right="26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66"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need to raise additional funds to pursue its growth strategy or continue its operations, and Rezolve may be unable to raise capital when needed or on acceptable terms.</w:t>
      </w:r>
    </w:p>
    <w:p>
      <w:pPr>
        <w:spacing w:after="0" w:line="53"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117"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4" w:lineRule="exact"/>
        <w:rPr>
          <w:sz w:val="20"/>
          <w:szCs w:val="20"/>
          <w:color w:val="auto"/>
        </w:rPr>
      </w:pPr>
    </w:p>
    <w:p>
      <w:pPr>
        <w:jc w:val="center"/>
        <w:ind w:right="477"/>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28" w:name="page29"/>
    <w:bookmarkEnd w:id="28"/>
    <w:p>
      <w:pPr>
        <w:ind w:left="503" w:right="34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to be dependent upon consumers’ and merchants’ willingness to use the internet and internet-enabled mobile devices for commerce.</w:t>
      </w:r>
    </w:p>
    <w:p>
      <w:pPr>
        <w:spacing w:after="0" w:line="53" w:lineRule="exact"/>
        <w:rPr>
          <w:rFonts w:ascii="Times New Roman" w:cs="Times New Roman" w:eastAsia="Times New Roman" w:hAnsi="Times New Roman"/>
          <w:sz w:val="18"/>
          <w:szCs w:val="18"/>
          <w:color w:val="auto"/>
        </w:rPr>
      </w:pPr>
    </w:p>
    <w:p>
      <w:pPr>
        <w:ind w:left="503" w:right="18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or platform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503" w:right="28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503" w:right="54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503" w:right="8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3" w:lineRule="exact"/>
        <w:rPr>
          <w:rFonts w:ascii="Times New Roman" w:cs="Times New Roman" w:eastAsia="Times New Roman" w:hAnsi="Times New Roman"/>
          <w:sz w:val="18"/>
          <w:szCs w:val="18"/>
          <w:color w:val="auto"/>
        </w:rPr>
      </w:pPr>
    </w:p>
    <w:p>
      <w:pPr>
        <w:ind w:left="503" w:right="44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503" w:right="82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503" w:right="220" w:hanging="503"/>
        <w:spacing w:after="0" w:line="266"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503" w:right="48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503" w:right="62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503" w:right="30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Activities of merchants or the content of their shops could damage Rezolve’s brand, subject Rezolve to liability and harm its business and financial results.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fails to maintain a consistently high level of customer service, Rezolve’s brand, business and financial results may be harmed.</w:t>
      </w:r>
    </w:p>
    <w:p>
      <w:pPr>
        <w:spacing w:after="0" w:line="117" w:lineRule="exact"/>
        <w:rPr>
          <w:rFonts w:ascii="Times New Roman" w:cs="Times New Roman" w:eastAsia="Times New Roman" w:hAnsi="Times New Roman"/>
          <w:sz w:val="18"/>
          <w:szCs w:val="18"/>
          <w:color w:val="auto"/>
        </w:rPr>
      </w:pPr>
    </w:p>
    <w:p>
      <w:pPr>
        <w:ind w:left="503" w:right="4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503" w:right="420" w:hanging="503"/>
        <w:spacing w:after="0" w:line="266"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53" w:lineRule="exact"/>
        <w:rPr>
          <w:rFonts w:ascii="Times New Roman" w:cs="Times New Roman" w:eastAsia="Times New Roman" w:hAnsi="Times New Roman"/>
          <w:sz w:val="18"/>
          <w:szCs w:val="18"/>
          <w:color w:val="auto"/>
        </w:rPr>
      </w:pPr>
    </w:p>
    <w:p>
      <w:pPr>
        <w:ind w:left="503" w:right="460" w:hanging="503"/>
        <w:spacing w:after="0" w:line="282" w:lineRule="auto"/>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Rezolve may be involved in legal proceedings and commercial or contractual disputes, which could have an adverse impact on Rezolve’s profitability and consolidated financial position.</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provisions of the Articles and English law could deter takeover attempts.</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price of Ordinary Shares could be volatile, and the value of Ordinary Shares may decline.</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market for our securities may not be sustained, which would adversely affect the liquidity and price of Ordinary Shares.</w:t>
      </w:r>
    </w:p>
    <w:p>
      <w:pPr>
        <w:spacing w:after="0" w:line="117" w:lineRule="exact"/>
        <w:rPr>
          <w:sz w:val="20"/>
          <w:szCs w:val="20"/>
          <w:color w:val="auto"/>
        </w:rPr>
      </w:pPr>
    </w:p>
    <w:p>
      <w:pPr>
        <w:jc w:val="center"/>
        <w:ind w:right="497"/>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23"/>
          </w:cols>
          <w:pgMar w:left="837" w:top="1120" w:right="339" w:bottom="1440" w:gutter="0" w:footer="0" w:header="0"/>
        </w:sectPr>
      </w:pPr>
    </w:p>
    <w:bookmarkStart w:id="29" w:name="page30"/>
    <w:bookmarkEnd w:id="29"/>
    <w:p>
      <w:pPr>
        <w:ind w:left="503" w:hanging="503"/>
        <w:spacing w:after="0"/>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can be no assurance that Rezolve will be able to comply with the continued listing standards of Nasdaq.</w:t>
      </w:r>
    </w:p>
    <w:p>
      <w:pPr>
        <w:spacing w:after="0" w:line="117" w:lineRule="exact"/>
        <w:rPr>
          <w:rFonts w:ascii="Times New Roman" w:cs="Times New Roman" w:eastAsia="Times New Roman" w:hAnsi="Times New Roman"/>
          <w:sz w:val="18"/>
          <w:szCs w:val="18"/>
          <w:color w:val="auto"/>
        </w:rPr>
      </w:pPr>
    </w:p>
    <w:p>
      <w:pPr>
        <w:ind w:left="503" w:right="32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securities or industry analysts publish reports that are interpreted negatively by the investment community or publish negative research reports about our business, our share price and trading volume could decline.</w:t>
      </w:r>
    </w:p>
    <w:p>
      <w:pPr>
        <w:spacing w:after="0" w:line="53" w:lineRule="exact"/>
        <w:rPr>
          <w:rFonts w:ascii="Times New Roman" w:cs="Times New Roman" w:eastAsia="Times New Roman" w:hAnsi="Times New Roman"/>
          <w:sz w:val="18"/>
          <w:szCs w:val="18"/>
          <w:color w:val="auto"/>
        </w:rPr>
      </w:pPr>
    </w:p>
    <w:p>
      <w:pPr>
        <w:ind w:left="503"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“emerging growth company,” and our election to comply with the reduced disclosure requirements as a public company may make our Ordinary Shares less attractive to investors.</w:t>
      </w:r>
    </w:p>
    <w:p>
      <w:pPr>
        <w:spacing w:after="0" w:line="53" w:lineRule="exact"/>
        <w:rPr>
          <w:rFonts w:ascii="Times New Roman" w:cs="Times New Roman" w:eastAsia="Times New Roman" w:hAnsi="Times New Roman"/>
          <w:sz w:val="18"/>
          <w:szCs w:val="18"/>
          <w:color w:val="auto"/>
        </w:rPr>
      </w:pPr>
    </w:p>
    <w:p>
      <w:pPr>
        <w:ind w:left="503" w:right="76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“foreign private issuer” and, as a result, we are permitted to rely on exemptions from certain stock exchange corporate governance standards applicable to U.S. issuers. This may afford less protection to holders of Ordinary Shares.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lose our foreign private issuer status in the future, which could result in significant additional cost and expense.</w:t>
      </w:r>
    </w:p>
    <w:p>
      <w:pPr>
        <w:spacing w:after="0" w:line="117" w:lineRule="exact"/>
        <w:rPr>
          <w:rFonts w:ascii="Times New Roman" w:cs="Times New Roman" w:eastAsia="Times New Roman" w:hAnsi="Times New Roman"/>
          <w:sz w:val="18"/>
          <w:szCs w:val="18"/>
          <w:color w:val="auto"/>
        </w:rPr>
      </w:pPr>
    </w:p>
    <w:p>
      <w:pPr>
        <w:ind w:left="503" w:right="14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issuance of additional Ordinary Shares in connection with financings, acquisitions, investments, our stock incentive plans, or otherwise will dilute all other shareholders.</w:t>
      </w:r>
    </w:p>
    <w:p>
      <w:pPr>
        <w:spacing w:after="0" w:line="53" w:lineRule="exact"/>
        <w:rPr>
          <w:rFonts w:ascii="Times New Roman" w:cs="Times New Roman" w:eastAsia="Times New Roman" w:hAnsi="Times New Roman"/>
          <w:sz w:val="18"/>
          <w:szCs w:val="18"/>
          <w:color w:val="auto"/>
        </w:rPr>
      </w:pPr>
    </w:p>
    <w:p>
      <w:pPr>
        <w:ind w:left="503" w:right="72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53" w:lineRule="exact"/>
        <w:rPr>
          <w:rFonts w:ascii="Times New Roman" w:cs="Times New Roman" w:eastAsia="Times New Roman" w:hAnsi="Times New Roman"/>
          <w:sz w:val="18"/>
          <w:szCs w:val="18"/>
          <w:color w:val="auto"/>
        </w:rPr>
      </w:pPr>
    </w:p>
    <w:p>
      <w:pPr>
        <w:ind w:left="503" w:right="860" w:hanging="503"/>
        <w:spacing w:after="0" w:line="282" w:lineRule="auto"/>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holders that directly or indirectly own 10% or more of our equity interests may be subject to adverse U.S. federal income tax consequences under rules applicable to U.S. shareholders of controlled foreign corporations.</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 shareholders may suffer adverse tax consequences if we are classified as a “passive foreign investment company.”</w:t>
      </w:r>
    </w:p>
    <w:p>
      <w:pPr>
        <w:spacing w:after="0" w:line="117" w:lineRule="exact"/>
        <w:rPr>
          <w:rFonts w:ascii="Times New Roman" w:cs="Times New Roman" w:eastAsia="Times New Roman" w:hAnsi="Times New Roman"/>
          <w:sz w:val="18"/>
          <w:szCs w:val="18"/>
          <w:color w:val="auto"/>
        </w:rPr>
      </w:pPr>
    </w:p>
    <w:p>
      <w:pPr>
        <w:ind w:left="5063" w:right="140" w:hanging="5063"/>
        <w:spacing w:after="0" w:line="407" w:lineRule="auto"/>
        <w:tabs>
          <w:tab w:leader="none" w:pos="51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Internal Revenue Service may not agree that Rezolve should be treated as a non-U.S. corporation for U.S. federal income tax purposes.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375920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3"/>
          </w:cols>
          <w:pgMar w:left="837" w:top="1120" w:right="359" w:bottom="1440" w:gutter="0" w:footer="0" w:header="0"/>
        </w:sectPr>
      </w:pPr>
    </w:p>
    <w:bookmarkStart w:id="30" w:name="page31"/>
    <w:bookmarkEnd w:id="3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You should carefully review the risks and uncertainties described under the heading “Risk Factors” contained in the applicable prospectus supplement and any related free writing prospectus, and under similar headings in our Annual Report on Form 20-F for the fiscal year ended December 31, 2024, as updated by our subsequent filings, which are incorporated by reference into this prospectus, before deciding whether to purchase any of the securities being registered pursuant to the registration statement of which this prospectus is a part. Each of the risk factors could adversely affect our business, results of operations, financial condition and cash flows,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p>
    <w:p>
      <w:pPr>
        <w:spacing w:after="0" w:line="8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08" w:right="499" w:bottom="1440" w:gutter="0" w:footer="0" w:header="0"/>
        </w:sectPr>
      </w:pPr>
    </w:p>
    <w:bookmarkStart w:id="31" w:name="page32"/>
    <w:bookmarkEnd w:id="3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use the net proceeds from the sale of the securities as set forth in the applicable prospectus supplement(s).</w:t>
      </w:r>
    </w:p>
    <w:p>
      <w:pPr>
        <w:spacing w:after="0" w:line="18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08" w:right="379" w:bottom="1440" w:gutter="0" w:footer="0" w:header="0"/>
        </w:sectPr>
      </w:pPr>
    </w:p>
    <w:bookmarkStart w:id="32" w:name="page33"/>
    <w:bookmarkEnd w:id="32"/>
    <w:p>
      <w:pPr>
        <w:jc w:val="center"/>
        <w:ind w:right="-59"/>
        <w:spacing w:after="0"/>
        <w:rPr>
          <w:sz w:val="20"/>
          <w:szCs w:val="20"/>
          <w:color w:val="auto"/>
        </w:rPr>
      </w:pPr>
      <w:r>
        <w:rPr>
          <w:rFonts w:ascii="Times New Roman" w:cs="Times New Roman" w:eastAsia="Times New Roman" w:hAnsi="Times New Roman"/>
          <w:sz w:val="18"/>
          <w:szCs w:val="18"/>
          <w:b w:val="1"/>
          <w:bCs w:val="1"/>
          <w:color w:val="181818"/>
        </w:rPr>
        <w:t>INDEBTEDNESS AND CAPITALIZATION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capitalization of the Company on an unaudited pro forma combined basis as of June 30, 2025:</w:t>
      </w:r>
    </w:p>
    <w:p>
      <w:pPr>
        <w:spacing w:after="0" w:line="117"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actual basis as of June 30, 2025</w:t>
      </w:r>
    </w:p>
    <w:p>
      <w:pPr>
        <w:spacing w:after="0" w:line="117" w:lineRule="exact"/>
        <w:rPr>
          <w:rFonts w:ascii="Times New Roman" w:cs="Times New Roman" w:eastAsia="Times New Roman" w:hAnsi="Times New Roman"/>
          <w:sz w:val="18"/>
          <w:szCs w:val="18"/>
          <w:color w:val="auto"/>
        </w:rPr>
      </w:pPr>
    </w:p>
    <w:p>
      <w:pPr>
        <w:ind w:left="1020" w:right="140" w:hanging="503"/>
        <w:spacing w:after="0" w:line="253"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 forma basis to give effect to the following events as if such events had occurred on June 30, 2025: (i) the private placement in July 2025 of 20,000,000 Ordinary Shares for aggregate net proceeds of approximately $47.3 million, after deducting placement agent fees and other offering expenses and (ii) the private placement in September 2025 of 37,000,000 Ordinary Shares for aggregate net proceeds of approximately $190.6 million, after deducting placement agent fees and other offering expenses, (iii) an "at the market offering" ("ATM") prospectus covering the offering, issuance and sale by us of up to 48,034,860 of our Ordinary Shares at a public offering price of $2.98 per Ordinary Share that may be issued and sold under a sales agreement with Cantor Fitzgerald &amp; Co., Roth Capital Partners, LLC, Northland Securities, Inc., Maxim Group LLC and A.G.P./Alliance Global Partners and after deducting the estimated commissions and estimated offering expenses (iv) the Crownpeak acquisition and (v) the sale by us of Ordinary Shares in this offering, assuming that an aggregate of 62,500,000 Ordinary Shares are sold at a public offering price of $4.00 per Ordinary Share, and after deducting the estimated commissions and estimated offering expenses.</w:t>
      </w:r>
    </w:p>
    <w:p>
      <w:pPr>
        <w:spacing w:after="0" w:line="194"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following table should be read in conjunction our financial statements and related notes that are incorporated by reference into this prospectus and the other financial information included or incorporated by reference into this prospectus. Our historical results do not necessarily indicate our expected results for any future periods.</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Crownpeak</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Pro Forma</w:t>
            </w:r>
          </w:p>
        </w:tc>
        <w:tc>
          <w:tcPr>
            <w:tcW w:w="0" w:type="dxa"/>
            <w:vAlign w:val="bottom"/>
          </w:tcPr>
          <w:p>
            <w:pPr>
              <w:spacing w:after="0"/>
              <w:rPr>
                <w:sz w:val="1"/>
                <w:szCs w:val="1"/>
                <w:color w:val="auto"/>
              </w:rPr>
            </w:pPr>
          </w:p>
        </w:tc>
      </w:tr>
      <w:tr>
        <w:trPr>
          <w:trHeight w:val="176"/>
        </w:trPr>
        <w:tc>
          <w:tcPr>
            <w:tcW w:w="3360" w:type="dxa"/>
            <w:vAlign w:val="bottom"/>
          </w:tcPr>
          <w:p>
            <w:pPr>
              <w:spacing w:after="0"/>
              <w:rPr>
                <w:sz w:val="15"/>
                <w:szCs w:val="15"/>
                <w:color w:val="auto"/>
              </w:rPr>
            </w:pPr>
          </w:p>
        </w:tc>
        <w:tc>
          <w:tcPr>
            <w:tcW w:w="12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w w:val="98"/>
              </w:rPr>
              <w:t>Actual (Unaudited)</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w w:val="99"/>
              </w:rPr>
              <w:t>PIPE funding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ATM</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PIPE funding</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Combined</w:t>
            </w:r>
          </w:p>
        </w:tc>
        <w:tc>
          <w:tcPr>
            <w:tcW w:w="0" w:type="dxa"/>
            <w:vAlign w:val="bottom"/>
          </w:tcPr>
          <w:p>
            <w:pPr>
              <w:spacing w:after="0"/>
              <w:rPr>
                <w:sz w:val="1"/>
                <w:szCs w:val="1"/>
                <w:color w:val="auto"/>
              </w:rPr>
            </w:pPr>
          </w:p>
        </w:tc>
      </w:tr>
      <w:tr>
        <w:trPr>
          <w:trHeight w:val="135"/>
        </w:trPr>
        <w:tc>
          <w:tcPr>
            <w:tcW w:w="3360" w:type="dxa"/>
            <w:vAlign w:val="bottom"/>
            <w:tcBorders>
              <w:top w:val="single" w:sz="8" w:color="auto"/>
              <w:bottom w:val="single" w:sz="8" w:color="CFF0FC"/>
            </w:tcBorders>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CFF0FC"/>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CFF0FC"/>
            </w:tcBorders>
          </w:tcPr>
          <w:p>
            <w:pPr>
              <w:spacing w:after="0"/>
              <w:rPr>
                <w:sz w:val="11"/>
                <w:szCs w:val="11"/>
                <w:color w:val="auto"/>
              </w:rPr>
            </w:pPr>
          </w:p>
        </w:tc>
        <w:tc>
          <w:tcPr>
            <w:tcW w:w="22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CFF0FC"/>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160" w:type="dxa"/>
            <w:vAlign w:val="bottom"/>
            <w:tcBorders>
              <w:top w:val="single" w:sz="8" w:color="auto"/>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20" w:type="dxa"/>
            <w:vAlign w:val="bottom"/>
            <w:tcBorders>
              <w:top w:val="single" w:sz="8" w:color="auto"/>
              <w:bottom w:val="single" w:sz="8" w:color="CFF0FC"/>
            </w:tcBorders>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840" w:type="dxa"/>
            <w:vAlign w:val="bottom"/>
            <w:tcBorders>
              <w:top w:val="single" w:sz="8" w:color="auto"/>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100" w:type="dxa"/>
            <w:vAlign w:val="bottom"/>
            <w:tcBorders>
              <w:top w:val="single" w:sz="8" w:color="auto"/>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Borders>
              <w:bottom w:val="single" w:sz="8" w:color="CFF0FC"/>
            </w:tcBorders>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260" w:type="dxa"/>
            <w:vAlign w:val="bottom"/>
            <w:tcBorders>
              <w:bottom w:val="single" w:sz="8" w:color="auto"/>
            </w:tcBorders>
            <w:shd w:val="clear" w:color="auto" w:fill="CFF0FC"/>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9,857,390</w:t>
            </w:r>
          </w:p>
        </w:tc>
        <w:tc>
          <w:tcPr>
            <w:tcW w:w="140" w:type="dxa"/>
            <w:vAlign w:val="bottom"/>
            <w:tcBorders>
              <w:bottom w:val="single" w:sz="8" w:color="CFF0FC"/>
            </w:tcBorders>
            <w:shd w:val="clear" w:color="auto" w:fill="CFF0FC"/>
          </w:tcPr>
          <w:p>
            <w:pPr>
              <w:spacing w:after="0"/>
              <w:rPr>
                <w:sz w:val="11"/>
                <w:szCs w:val="11"/>
                <w:color w:val="auto"/>
              </w:rPr>
            </w:pPr>
          </w:p>
        </w:tc>
        <w:tc>
          <w:tcPr>
            <w:tcW w:w="16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237,927,000</w:t>
            </w:r>
          </w:p>
        </w:tc>
        <w:tc>
          <w:tcPr>
            <w:tcW w:w="240" w:type="dxa"/>
            <w:vAlign w:val="bottom"/>
            <w:tcBorders>
              <w:bottom w:val="single" w:sz="8" w:color="CFF0FC"/>
            </w:tcBorders>
            <w:gridSpan w:val="2"/>
            <w:shd w:val="clear" w:color="auto" w:fill="CFF0FC"/>
          </w:tcPr>
          <w:p>
            <w:pPr>
              <w:spacing w:after="0"/>
              <w:rPr>
                <w:sz w:val="11"/>
                <w:szCs w:val="11"/>
                <w:color w:val="auto"/>
              </w:rPr>
            </w:pPr>
          </w:p>
        </w:tc>
        <w:tc>
          <w:tcPr>
            <w:tcW w:w="220" w:type="dxa"/>
            <w:vAlign w:val="bottom"/>
            <w:tcBorders>
              <w:bottom w:val="single" w:sz="8" w:color="auto"/>
            </w:tcBorders>
            <w:shd w:val="clear" w:color="auto" w:fill="CFF0FC"/>
          </w:tcPr>
          <w:p>
            <w:pPr>
              <w:jc w:val="right"/>
              <w:ind w:right="10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138,849,566</w:t>
            </w:r>
          </w:p>
        </w:tc>
        <w:tc>
          <w:tcPr>
            <w:tcW w:w="220" w:type="dxa"/>
            <w:vAlign w:val="bottom"/>
            <w:tcBorders>
              <w:bottom w:val="single" w:sz="8" w:color="CFF0FC"/>
            </w:tcBorders>
            <w:gridSpan w:val="2"/>
            <w:shd w:val="clear" w:color="auto" w:fill="CFF0FC"/>
          </w:tcPr>
          <w:p>
            <w:pPr>
              <w:spacing w:after="0"/>
              <w:rPr>
                <w:sz w:val="11"/>
                <w:szCs w:val="11"/>
                <w:color w:val="auto"/>
              </w:rPr>
            </w:pPr>
          </w:p>
        </w:tc>
        <w:tc>
          <w:tcPr>
            <w:tcW w:w="1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6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26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9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237,326,928</w:t>
            </w:r>
          </w:p>
        </w:tc>
        <w:tc>
          <w:tcPr>
            <w:tcW w:w="240" w:type="dxa"/>
            <w:vAlign w:val="bottom"/>
            <w:tcBorders>
              <w:bottom w:val="single" w:sz="8" w:color="CFF0FC"/>
            </w:tcBorders>
            <w:gridSpan w:val="2"/>
            <w:shd w:val="clear" w:color="auto" w:fill="CFF0FC"/>
          </w:tcPr>
          <w:p>
            <w:pPr>
              <w:spacing w:after="0"/>
              <w:rPr>
                <w:sz w:val="11"/>
                <w:szCs w:val="11"/>
                <w:color w:val="auto"/>
              </w:rPr>
            </w:pPr>
          </w:p>
        </w:tc>
        <w:tc>
          <w:tcPr>
            <w:tcW w:w="1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4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623,960,884</w:t>
            </w:r>
          </w:p>
        </w:tc>
        <w:tc>
          <w:tcPr>
            <w:tcW w:w="120" w:type="dxa"/>
            <w:vAlign w:val="bottom"/>
            <w:tcBorders>
              <w:bottom w:val="single" w:sz="8" w:color="CFF0FC"/>
            </w:tcBorders>
            <w:shd w:val="clear" w:color="auto" w:fill="CFF0FC"/>
          </w:tcPr>
          <w:p>
            <w:pPr>
              <w:spacing w:after="0"/>
              <w:rPr>
                <w:sz w:val="11"/>
                <w:szCs w:val="11"/>
                <w:color w:val="auto"/>
              </w:rPr>
            </w:pPr>
          </w:p>
        </w:tc>
        <w:tc>
          <w:tcPr>
            <w:tcW w:w="100" w:type="dxa"/>
            <w:vAlign w:val="bottom"/>
            <w:tcBorders>
              <w:bottom w:val="single" w:sz="8" w:color="CFF0FC"/>
            </w:tcBorders>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Indebtedness: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Short term interest bearing debt</w:t>
            </w: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33,261,801</w:t>
            </w:r>
          </w:p>
        </w:tc>
        <w:tc>
          <w:tcPr>
            <w:tcW w:w="14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rPr>
              <w:t>A</w:t>
            </w: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85,804,243</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B</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119,066,044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Long term interest bearing debt</w:t>
            </w:r>
          </w:p>
        </w:tc>
        <w:tc>
          <w:tcPr>
            <w:tcW w:w="2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121,140</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50,000,000</w:t>
            </w:r>
          </w:p>
        </w:tc>
        <w:tc>
          <w:tcPr>
            <w:tcW w:w="100" w:type="dxa"/>
            <w:vAlign w:val="bottom"/>
          </w:tcPr>
          <w:p>
            <w:pPr>
              <w:spacing w:after="0"/>
              <w:rPr>
                <w:sz w:val="11"/>
                <w:szCs w:val="11"/>
                <w:color w:val="auto"/>
              </w:rPr>
            </w:pPr>
          </w:p>
        </w:tc>
        <w:tc>
          <w:tcPr>
            <w:tcW w:w="16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C</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3"/>
                <w:szCs w:val="13"/>
                <w:color w:val="auto"/>
              </w:rPr>
              <w:t>50,121,140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3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interest bearing debt</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33,382,941</w:t>
            </w:r>
          </w:p>
        </w:tc>
        <w:tc>
          <w:tcPr>
            <w:tcW w:w="140" w:type="dxa"/>
            <w:vAlign w:val="bottom"/>
            <w:shd w:val="clear" w:color="auto" w:fill="CFF0FC"/>
          </w:tcPr>
          <w:p>
            <w:pPr>
              <w:spacing w:after="0"/>
              <w:rPr>
                <w:sz w:val="11"/>
                <w:szCs w:val="11"/>
                <w:color w:val="auto"/>
              </w:rPr>
            </w:pP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460" w:type="dxa"/>
            <w:vAlign w:val="bottom"/>
            <w:gridSpan w:val="3"/>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3"/>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135,804,243</w:t>
            </w:r>
          </w:p>
        </w:tc>
        <w:tc>
          <w:tcPr>
            <w:tcW w:w="380" w:type="dxa"/>
            <w:vAlign w:val="bottom"/>
            <w:gridSpan w:val="3"/>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360" w:type="dxa"/>
            <w:vAlign w:val="bottom"/>
            <w:gridSpan w:val="3"/>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169,187,184</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60" w:type="dxa"/>
            <w:vAlign w:val="bottom"/>
            <w:tcBorders>
              <w:top w:val="single" w:sz="8" w:color="CFF0FC"/>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4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16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spacing w:after="0"/>
              <w:rPr>
                <w:sz w:val="11"/>
                <w:szCs w:val="11"/>
                <w:color w:val="auto"/>
              </w:rPr>
            </w:pPr>
          </w:p>
        </w:tc>
        <w:tc>
          <w:tcPr>
            <w:tcW w:w="120" w:type="dxa"/>
            <w:vAlign w:val="bottom"/>
            <w:tcBorders>
              <w:top w:val="single" w:sz="8" w:color="CFF0FC"/>
            </w:tcBorders>
          </w:tcPr>
          <w:p>
            <w:pPr>
              <w:spacing w:after="0"/>
              <w:rPr>
                <w:sz w:val="11"/>
                <w:szCs w:val="11"/>
                <w:color w:val="auto"/>
              </w:rPr>
            </w:pPr>
          </w:p>
        </w:tc>
        <w:tc>
          <w:tcPr>
            <w:tcW w:w="100" w:type="dxa"/>
            <w:vAlign w:val="bottom"/>
            <w:tcBorders>
              <w:top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 Equity:</w:t>
            </w: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line="117" w:lineRule="exact"/>
              <w:rPr>
                <w:sz w:val="20"/>
                <w:szCs w:val="20"/>
                <w:color w:val="auto"/>
              </w:rPr>
            </w:pPr>
            <w:r>
              <w:rPr>
                <w:rFonts w:ascii="Times New Roman" w:cs="Times New Roman" w:eastAsia="Times New Roman" w:hAnsi="Times New Roman"/>
                <w:sz w:val="13"/>
                <w:szCs w:val="13"/>
                <w:color w:val="auto"/>
              </w:rPr>
              <w:t>Ordinary shares, £0.0001 nominal value 259,066,638 shares</w:t>
            </w:r>
          </w:p>
        </w:tc>
        <w:tc>
          <w:tcPr>
            <w:tcW w:w="2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issued and outstanding as of June 30, 2025; 341,476,136 shares</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D</w:t>
            </w: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360" w:type="dxa"/>
            <w:vAlign w:val="bottom"/>
          </w:tcPr>
          <w:p>
            <w:pPr>
              <w:spacing w:after="0"/>
              <w:rPr>
                <w:sz w:val="20"/>
                <w:szCs w:val="20"/>
                <w:color w:val="auto"/>
              </w:rPr>
            </w:pPr>
            <w:r>
              <w:rPr>
                <w:rFonts w:ascii="Times New Roman" w:cs="Times New Roman" w:eastAsia="Times New Roman" w:hAnsi="Times New Roman"/>
                <w:sz w:val="13"/>
                <w:szCs w:val="13"/>
                <w:color w:val="auto"/>
              </w:rPr>
              <w:t>authorized as of June 30, 2025</w:t>
            </w:r>
          </w:p>
        </w:tc>
        <w:tc>
          <w:tcPr>
            <w:tcW w:w="26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33,394</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7,638</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1,480</w:t>
            </w:r>
          </w:p>
        </w:tc>
        <w:tc>
          <w:tcPr>
            <w:tcW w:w="10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57,349</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Additional paid-in capital</w:t>
            </w:r>
          </w:p>
        </w:tc>
        <w:tc>
          <w:tcPr>
            <w:tcW w:w="26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302,123,036</w:t>
            </w:r>
          </w:p>
        </w:tc>
        <w:tc>
          <w:tcPr>
            <w:tcW w:w="1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237,919,362</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138,843,130</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39,998,520</w:t>
            </w:r>
          </w:p>
        </w:tc>
        <w:tc>
          <w:tcPr>
            <w:tcW w:w="100" w:type="dxa"/>
            <w:vAlign w:val="bottom"/>
            <w:shd w:val="clear" w:color="auto" w:fill="CFF0FC"/>
          </w:tcPr>
          <w:p>
            <w:pPr>
              <w:spacing w:after="0"/>
              <w:rPr>
                <w:sz w:val="11"/>
                <w:szCs w:val="11"/>
                <w:color w:val="auto"/>
              </w:rPr>
            </w:pPr>
          </w:p>
        </w:tc>
        <w:tc>
          <w:tcPr>
            <w:tcW w:w="280" w:type="dxa"/>
            <w:vAlign w:val="bottom"/>
            <w:gridSpan w:val="2"/>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237,318,528</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956,202,576</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Stock subscription receivable</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(2,108)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Accumulated deficit</w:t>
            </w:r>
          </w:p>
        </w:tc>
        <w:tc>
          <w:tcPr>
            <w:tcW w:w="260" w:type="dxa"/>
            <w:vAlign w:val="bottom"/>
            <w:shd w:val="clear" w:color="auto" w:fill="CFF0FC"/>
          </w:tcPr>
          <w:p>
            <w:pPr>
              <w:spacing w:after="0"/>
              <w:rPr>
                <w:sz w:val="11"/>
                <w:szCs w:val="11"/>
                <w:color w:val="auto"/>
              </w:rPr>
            </w:pPr>
          </w:p>
        </w:tc>
        <w:tc>
          <w:tcPr>
            <w:tcW w:w="100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16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9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9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960" w:type="dxa"/>
            <w:vAlign w:val="bottom"/>
            <w:gridSpan w:val="2"/>
            <w:shd w:val="clear" w:color="auto" w:fill="CFF0FC"/>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(316,062,263)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6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Accumulated other comprehensive loss</w:t>
            </w:r>
          </w:p>
        </w:tc>
        <w:tc>
          <w:tcPr>
            <w:tcW w:w="260" w:type="dxa"/>
            <w:vAlign w:val="bottom"/>
          </w:tcPr>
          <w:p>
            <w:pPr>
              <w:spacing w:after="0"/>
              <w:rPr>
                <w:sz w:val="11"/>
                <w:szCs w:val="11"/>
                <w:color w:val="auto"/>
              </w:rPr>
            </w:pPr>
          </w:p>
        </w:tc>
        <w:tc>
          <w:tcPr>
            <w:tcW w:w="100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80"/>
              <w:spacing w:after="0" w:line="135" w:lineRule="exact"/>
              <w:rPr>
                <w:sz w:val="20"/>
                <w:szCs w:val="20"/>
                <w:color w:val="auto"/>
              </w:rPr>
            </w:pPr>
            <w:r>
              <w:rPr>
                <w:rFonts w:ascii="Times New Roman" w:cs="Times New Roman" w:eastAsia="Times New Roman" w:hAnsi="Times New Roman"/>
                <w:sz w:val="13"/>
                <w:szCs w:val="13"/>
                <w:color w:val="auto"/>
              </w:rPr>
              <w:t>(381,878)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36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shareholders' equity (deficit)</w:t>
            </w:r>
          </w:p>
        </w:tc>
        <w:tc>
          <w:tcPr>
            <w:tcW w:w="260" w:type="dxa"/>
            <w:vAlign w:val="bottom"/>
            <w:shd w:val="clear" w:color="auto" w:fill="CFF0FC"/>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000" w:type="dxa"/>
            <w:vAlign w:val="bottom"/>
            <w:gridSpan w:val="2"/>
            <w:shd w:val="clear" w:color="auto" w:fill="CFF0FC"/>
          </w:tcPr>
          <w:p>
            <w:pPr>
              <w:jc w:val="right"/>
              <w:ind w:right="80"/>
              <w:spacing w:after="0" w:line="129" w:lineRule="exact"/>
              <w:rPr>
                <w:sz w:val="20"/>
                <w:szCs w:val="20"/>
                <w:color w:val="auto"/>
              </w:rPr>
            </w:pPr>
            <w:r>
              <w:rPr>
                <w:rFonts w:ascii="Times New Roman" w:cs="Times New Roman" w:eastAsia="Times New Roman" w:hAnsi="Times New Roman"/>
                <w:sz w:val="13"/>
                <w:szCs w:val="13"/>
                <w:b w:val="1"/>
                <w:bCs w:val="1"/>
                <w:color w:val="auto"/>
              </w:rPr>
              <w:t>(14,289,819)</w:t>
            </w:r>
          </w:p>
        </w:tc>
        <w:tc>
          <w:tcPr>
            <w:tcW w:w="26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237,927,000</w:t>
            </w:r>
          </w:p>
        </w:tc>
        <w:tc>
          <w:tcPr>
            <w:tcW w:w="460" w:type="dxa"/>
            <w:vAlign w:val="bottom"/>
            <w:gridSpan w:val="3"/>
            <w:shd w:val="clear" w:color="auto" w:fill="CFF0FC"/>
          </w:tcPr>
          <w:p>
            <w:pPr>
              <w:jc w:val="right"/>
              <w:ind w:right="10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138,849,566</w:t>
            </w:r>
          </w:p>
        </w:tc>
        <w:tc>
          <w:tcPr>
            <w:tcW w:w="360" w:type="dxa"/>
            <w:vAlign w:val="bottom"/>
            <w:gridSpan w:val="3"/>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40,000,000</w:t>
            </w:r>
          </w:p>
        </w:tc>
        <w:tc>
          <w:tcPr>
            <w:tcW w:w="380" w:type="dxa"/>
            <w:vAlign w:val="bottom"/>
            <w:gridSpan w:val="3"/>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237,326,928</w:t>
            </w:r>
          </w:p>
        </w:tc>
        <w:tc>
          <w:tcPr>
            <w:tcW w:w="360" w:type="dxa"/>
            <w:vAlign w:val="bottom"/>
            <w:gridSpan w:val="3"/>
            <w:shd w:val="clear" w:color="auto" w:fill="CFF0FC"/>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639,813,675</w:t>
            </w: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360" w:type="dxa"/>
            <w:vAlign w:val="bottom"/>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Total capitalization</w:t>
            </w:r>
          </w:p>
        </w:tc>
        <w:tc>
          <w:tcPr>
            <w:tcW w:w="260" w:type="dxa"/>
            <w:vAlign w:val="bottom"/>
          </w:tcPr>
          <w:p>
            <w:pPr>
              <w:jc w:val="right"/>
              <w:ind w:right="145"/>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19,093,122</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237,927,000</w:t>
            </w:r>
          </w:p>
        </w:tc>
        <w:tc>
          <w:tcPr>
            <w:tcW w:w="460" w:type="dxa"/>
            <w:vAlign w:val="bottom"/>
            <w:gridSpan w:val="3"/>
          </w:tcPr>
          <w:p>
            <w:pPr>
              <w:jc w:val="right"/>
              <w:ind w:right="10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138,849,566</w:t>
            </w:r>
          </w:p>
        </w:tc>
        <w:tc>
          <w:tcPr>
            <w:tcW w:w="360" w:type="dxa"/>
            <w:vAlign w:val="bottom"/>
            <w:gridSpan w:val="3"/>
          </w:tcPr>
          <w:p>
            <w:pPr>
              <w:jc w:val="right"/>
              <w:ind w:right="2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175,804,243</w:t>
            </w:r>
          </w:p>
        </w:tc>
        <w:tc>
          <w:tcPr>
            <w:tcW w:w="380" w:type="dxa"/>
            <w:vAlign w:val="bottom"/>
            <w:gridSpan w:val="3"/>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9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237,326,928</w:t>
            </w:r>
          </w:p>
        </w:tc>
        <w:tc>
          <w:tcPr>
            <w:tcW w:w="360" w:type="dxa"/>
            <w:vAlign w:val="bottom"/>
            <w:gridSpan w:val="3"/>
          </w:tcPr>
          <w:p>
            <w:pPr>
              <w:jc w:val="right"/>
              <w:ind w:right="8"/>
              <w:spacing w:after="0" w:line="129" w:lineRule="exact"/>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809,000,860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2838450</wp:posOffset>
            </wp:positionH>
            <wp:positionV relativeFrom="paragraph">
              <wp:posOffset>-1443355</wp:posOffset>
            </wp:positionV>
            <wp:extent cx="102235" cy="1282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102235" cy="128270"/>
                    </a:xfrm>
                    <a:prstGeom prst="rect">
                      <a:avLst/>
                    </a:prstGeom>
                    <a:noFill/>
                  </pic:spPr>
                </pic:pic>
              </a:graphicData>
            </a:graphic>
          </wp:anchor>
        </w:drawing>
        <w:drawing>
          <wp:anchor simplePos="0" relativeHeight="251657728" behindDoc="1" locked="0" layoutInCell="0" allowOverlap="1">
            <wp:simplePos x="0" y="0"/>
            <wp:positionH relativeFrom="column">
              <wp:posOffset>3678555</wp:posOffset>
            </wp:positionH>
            <wp:positionV relativeFrom="paragraph">
              <wp:posOffset>-1443355</wp:posOffset>
            </wp:positionV>
            <wp:extent cx="102870" cy="1282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102870" cy="128270"/>
                    </a:xfrm>
                    <a:prstGeom prst="rect">
                      <a:avLst/>
                    </a:prstGeom>
                    <a:noFill/>
                  </pic:spPr>
                </pic:pic>
              </a:graphicData>
            </a:graphic>
          </wp:anchor>
        </w:drawing>
        <w:drawing>
          <wp:anchor simplePos="0" relativeHeight="251657728" behindDoc="1" locked="0" layoutInCell="0" allowOverlap="1">
            <wp:simplePos x="0" y="0"/>
            <wp:positionH relativeFrom="column">
              <wp:posOffset>4518660</wp:posOffset>
            </wp:positionH>
            <wp:positionV relativeFrom="paragraph">
              <wp:posOffset>-1443355</wp:posOffset>
            </wp:positionV>
            <wp:extent cx="93980" cy="1282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5358765</wp:posOffset>
            </wp:positionH>
            <wp:positionV relativeFrom="paragraph">
              <wp:posOffset>-1443355</wp:posOffset>
            </wp:positionV>
            <wp:extent cx="93980"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6224270</wp:posOffset>
            </wp:positionH>
            <wp:positionV relativeFrom="paragraph">
              <wp:posOffset>-1443355</wp:posOffset>
            </wp:positionV>
            <wp:extent cx="93980" cy="128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6987540</wp:posOffset>
            </wp:positionH>
            <wp:positionV relativeFrom="paragraph">
              <wp:posOffset>-1443355</wp:posOffset>
            </wp:positionV>
            <wp:extent cx="93980" cy="1282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93980" cy="12827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-976630</wp:posOffset>
            </wp:positionV>
            <wp:extent cx="768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-976630</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-976630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-976630</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-976630</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-976630</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2851150</wp:posOffset>
            </wp:positionH>
            <wp:positionV relativeFrom="paragraph">
              <wp:posOffset>-102235</wp:posOffset>
            </wp:positionV>
            <wp:extent cx="768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3691255</wp:posOffset>
            </wp:positionH>
            <wp:positionV relativeFrom="paragraph">
              <wp:posOffset>-102235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-102235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-102235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-102235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-102235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2" w:lineRule="exact"/>
        <w:rPr>
          <w:sz w:val="20"/>
          <w:szCs w:val="20"/>
          <w:color w:val="auto"/>
        </w:rPr>
      </w:pPr>
    </w:p>
    <w:p>
      <w:pPr>
        <w:ind w:right="120" w:firstLine="8"/>
        <w:spacing w:after="0" w:line="281" w:lineRule="auto"/>
        <w:tabs>
          <w:tab w:leader="none" w:pos="265"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Includes short term interest bearing debt as disclosed in the Company's condensed interim combined consolidated balance sheet as of June 30, 2025, furnished with the SEC on Form 6-K on October 1, 2025: Short term debt, net of issuance costs of $28,745,993, Short term convertible debt of $111,837, Convertible promissory notes of $538,524 and Advisors loans of $3,865,447.</w:t>
      </w:r>
    </w:p>
    <w:p>
      <w:pPr>
        <w:spacing w:after="0" w:line="163" w:lineRule="exact"/>
        <w:rPr>
          <w:rFonts w:ascii="Times New Roman" w:cs="Times New Roman" w:eastAsia="Times New Roman" w:hAnsi="Times New Roman"/>
          <w:sz w:val="16"/>
          <w:szCs w:val="16"/>
          <w:b w:val="1"/>
          <w:bCs w:val="1"/>
          <w:color w:val="auto"/>
        </w:rPr>
      </w:pPr>
    </w:p>
    <w:p>
      <w:pPr>
        <w:ind w:right="460" w:firstLine="8"/>
        <w:spacing w:after="0" w:line="298" w:lineRule="auto"/>
        <w:tabs>
          <w:tab w:leader="none" w:pos="256"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Includes $143.3 million of debt assumed in the Crownpeak acquisition net of $57.5 million of repayments made on acquisition date as disclosed in the Company's unaudited pro forma condensed combined balance sheet as of June 30, 2025, furnished with the SEC on Form 6-K on December 15, 2025.</w:t>
      </w:r>
    </w:p>
    <w:p>
      <w:pPr>
        <w:spacing w:after="0" w:line="150" w:lineRule="exact"/>
        <w:rPr>
          <w:rFonts w:ascii="Times New Roman" w:cs="Times New Roman" w:eastAsia="Times New Roman" w:hAnsi="Times New Roman"/>
          <w:sz w:val="16"/>
          <w:szCs w:val="16"/>
          <w:b w:val="1"/>
          <w:bCs w:val="1"/>
          <w:color w:val="auto"/>
        </w:rPr>
      </w:pPr>
    </w:p>
    <w:p>
      <w:pPr>
        <w:jc w:val="both"/>
        <w:ind w:right="160" w:firstLine="8"/>
        <w:spacing w:after="0" w:line="275" w:lineRule="auto"/>
        <w:tabs>
          <w:tab w:leader="none" w:pos="265"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consideration under the Crownpeak Purchase Agreement include the following loan notes to be issued by the Company to the Crownpeak Seller: (i) a promissory note in the initial principal amount of $50.0 million made up of a $20.0 million tranche (the “First Loan Note” which is a 10% fixed rate loan note due 1 April 2027) and a $30.0 million tranche (the “Second Loan Note” which is a 10% fixed rate secured loan note due 31 December 2027), as disclosed in the Company's unaudited pro forma condensed combined balance sheet as of June 30, 2025, furnished with the SEC on Form 6-K on December 15, 2025.</w:t>
      </w:r>
    </w:p>
    <w:p>
      <w:pPr>
        <w:spacing w:after="0" w:line="169" w:lineRule="exact"/>
        <w:rPr>
          <w:rFonts w:ascii="Times New Roman" w:cs="Times New Roman" w:eastAsia="Times New Roman" w:hAnsi="Times New Roman"/>
          <w:sz w:val="16"/>
          <w:szCs w:val="16"/>
          <w:b w:val="1"/>
          <w:bCs w:val="1"/>
          <w:color w:val="auto"/>
        </w:rPr>
      </w:pPr>
    </w:p>
    <w:p>
      <w:pPr>
        <w:ind w:right="60" w:firstLine="8"/>
        <w:spacing w:after="0" w:line="281" w:lineRule="auto"/>
        <w:tabs>
          <w:tab w:leader="none" w:pos="265" w:val="left"/>
        </w:tabs>
        <w:numPr>
          <w:ilvl w:val="0"/>
          <w:numId w:val="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Reflects the issuance of Ordinary Shares as consideration for the acquisition of Crownpeak: the Company issued 11,127,780 of its Ordinary Shares to the Crownpeak Sellers. The pro forma adjustment assumes a price of $3.0488 per Ordinary Share, as disclosed in the Company's unaudited pro forma condensed combined balance sheet as of June 30, 2025, furnished with the SEC on Form 6-K on December 15,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SECURITIES,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1020" w:right="60" w:hanging="503"/>
        <w:spacing w:after="0" w:line="26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issued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1020" w:right="76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1020" w:right="34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1020" w:right="280" w:hanging="503"/>
        <w:spacing w:after="0" w:line="266"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 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 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ind w:right="220"/>
        <w:spacing w:after="0" w:line="282" w:lineRule="auto"/>
        <w:rPr>
          <w:sz w:val="20"/>
          <w:szCs w:val="20"/>
          <w:color w:val="auto"/>
        </w:rPr>
      </w:pPr>
      <w:r>
        <w:rPr>
          <w:rFonts w:ascii="Times New Roman" w:cs="Times New Roman" w:eastAsia="Times New Roman" w:hAnsi="Times New Roman"/>
          <w:sz w:val="18"/>
          <w:szCs w:val="18"/>
          <w:color w:val="auto"/>
        </w:rPr>
        <w:t>limited, or no, information regarding the ultimate beneficial owners of Rezolve’s Ordinary Shares. Rezolve’s share register is maintained by its registrar, Computershare Inc.</w:t>
      </w:r>
    </w:p>
    <w:p>
      <w:pPr>
        <w:spacing w:after="0" w:line="162"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issued shares held by Daniel Wagner as the “Rezolve Founder” or in which he is interested shall be equal to the higher of:</w:t>
      </w:r>
    </w:p>
    <w:p>
      <w:pPr>
        <w:spacing w:after="0" w:line="54"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jc w:val="both"/>
        <w:ind w:right="660"/>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32" w:right="359" w:bottom="1440" w:gutter="0" w:footer="0" w:header="0"/>
        </w:sectPr>
      </w:pPr>
    </w:p>
    <w:bookmarkStart w:id="36" w:name="page37"/>
    <w:bookmarkEnd w:id="36"/>
    <w:p>
      <w:pPr>
        <w:ind w:right="120"/>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Rezolve held in 2025, the second class being eligible for re-election at the annual general meeting of Rezolve held in 2026 and the third class being eligible for re-election at the annual general meeting of Rezolve held in 2027.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As of the date of this prospectus, there is currently no Class I director, four Class II directors and one Class III director.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38" w:name="page39"/>
    <w:bookmarkEnd w:id="38"/>
    <w:p>
      <w:pPr>
        <w:ind w:left="1020" w:right="1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1020" w:right="72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53" w:lineRule="exact"/>
        <w:rPr>
          <w:rFonts w:ascii="Times New Roman" w:cs="Times New Roman" w:eastAsia="Times New Roman" w:hAnsi="Times New Roman"/>
          <w:sz w:val="18"/>
          <w:szCs w:val="18"/>
          <w:color w:val="auto"/>
        </w:rPr>
      </w:pPr>
    </w:p>
    <w:p>
      <w:pPr>
        <w:jc w:val="both"/>
        <w:ind w:left="1020" w:right="600" w:hanging="503"/>
        <w:spacing w:after="0" w:line="266"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1020" w:right="88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1020" w:right="200" w:hanging="503"/>
        <w:spacing w:after="0" w:line="282" w:lineRule="auto"/>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 acquire, those shares on the same terms as the general offer. The offeror would do so by sending a notice to the outstanding minority shareholders telling them that it will compulsorily acquire their shares.</w:t>
      </w:r>
    </w:p>
    <w:p>
      <w:pPr>
        <w:spacing w:after="0" w:line="18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1020" w:right="140" w:hanging="503"/>
        <w:spacing w:after="0" w:line="26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5540" w:right="4320" w:hanging="5023"/>
        <w:spacing w:after="0" w:line="407" w:lineRule="auto"/>
        <w:tabs>
          <w:tab w:leader="none" w:pos="1032"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40" w:name="page41"/>
    <w:bookmarkEnd w:id="40"/>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1020" w:right="220" w:hanging="503"/>
        <w:spacing w:after="0" w:line="282" w:lineRule="auto"/>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UK General Data Protection Regulation and the Data Protection Act 2018 (“</w:t>
      </w:r>
      <w:r>
        <w:rPr>
          <w:rFonts w:ascii="Times New Roman" w:cs="Times New Roman" w:eastAsia="Times New Roman" w:hAnsi="Times New Roman"/>
          <w:sz w:val="18"/>
          <w:szCs w:val="18"/>
          <w:b w:val="1"/>
          <w:bCs w:val="1"/>
          <w:i w:val="1"/>
          <w:iCs w:val="1"/>
          <w:color w:val="auto"/>
        </w:rPr>
        <w:t>UK GDPR</w:t>
      </w:r>
      <w:r>
        <w:rPr>
          <w:rFonts w:ascii="Times New Roman" w:cs="Times New Roman" w:eastAsia="Times New Roman" w:hAnsi="Times New Roman"/>
          <w:sz w:val="18"/>
          <w:szCs w:val="18"/>
          <w:color w:val="auto"/>
        </w:rPr>
        <w:t>”) based on internationally accepted principles of data privacy.</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0" w:right="379" w:bottom="1440" w:gutter="0" w:footer="0" w:header="0"/>
        </w:sectPr>
      </w:pPr>
    </w:p>
    <w:bookmarkStart w:id="41" w:name="page42"/>
    <w:bookmarkEnd w:id="41"/>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1020" w:right="8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11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2" w:name="page43"/>
    <w:bookmarkEnd w:id="42"/>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29" w:lineRule="exact"/>
        <w:rPr>
          <w:sz w:val="20"/>
          <w:szCs w:val="20"/>
          <w:color w:val="auto"/>
        </w:rPr>
      </w:pPr>
    </w:p>
    <w:p>
      <w:pPr>
        <w:ind w:right="200"/>
        <w:spacing w:after="0" w:line="253"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the Ordinary Shares from time to time pursuant to underwritten public offerings, negotiated transactions, block trades or a combination of these methods or through underwriters or dealers, through agents and/or directly to one or more purchasers. The Ordinary Shares may be distributed from time to time in one or more transactions:</w:t>
      </w:r>
    </w:p>
    <w:p>
      <w:pPr>
        <w:spacing w:after="0" w:line="81" w:lineRule="exact"/>
        <w:rPr>
          <w:sz w:val="20"/>
          <w:szCs w:val="20"/>
          <w:color w:val="auto"/>
        </w:rPr>
      </w:pPr>
    </w:p>
    <w:p>
      <w:pPr>
        <w:ind w:left="1040" w:hanging="46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130" w:lineRule="exact"/>
        <w:rPr>
          <w:rFonts w:ascii="Times New Roman" w:cs="Times New Roman" w:eastAsia="Times New Roman" w:hAnsi="Times New Roman"/>
          <w:sz w:val="18"/>
          <w:szCs w:val="18"/>
          <w:color w:val="auto"/>
        </w:rPr>
      </w:pPr>
    </w:p>
    <w:p>
      <w:pPr>
        <w:ind w:left="1040" w:hanging="465"/>
        <w:spacing w:after="0"/>
        <w:tabs>
          <w:tab w:leader="none" w:pos="10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Each time that we sell Ordinary Shares covered by this prospectus, we will provide a prospectus supplement or supplements that will describe the method of distribution and set forth the terms and conditions of the offering of such securities, including the offering price of the Ordinary Shares and the proceeds to us, if applicable.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Offers to purchase the Ordinary Shares being offered by this prospectus may be solicited directly. Agents may also be designated to solicit offers to purchase the Ordinary Shares from time to time. Any agent involved in the offer or sale of our securities will be identified in a prospectus supplement.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Ordinary Shares being offered by this prospectus, the Ordinary Shares will be sold to the dealer, as principal. The dealer may then resell the Ordinary Shares to the public at varying prices to be determined by the dealer at the time of resale.</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 underwriter is utilized in the sale of the Ordinary Shares being offered by this prospectus, an underwriting agreement will be executed with the underwriter at the time of sale and the name of any underwriter will be provided in the prospectus supplement that the underwriter will use to make resales of the Ordinary Shares to the public. In connection with the sale of the Ordinary Shares, we or the purchasers of Ordinary Shares for whom the underwriter may act as agent, may compensate the underwriter in the form of underwriting discounts or commissions. The underwriter may sell the Ordinary Shares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commercially reasonable efforts basis and a dealer will purchase securities as a principal, and may then resell the securities at varying prices to be determined by the dealer.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Any compensation paid to underwriters, dealers or agents in connection with the offering of the Ordinary Shares,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w:t>
      </w:r>
      <w:r>
        <w:rPr>
          <w:rFonts w:ascii="Times New Roman" w:cs="Times New Roman" w:eastAsia="Times New Roman" w:hAnsi="Times New Roman"/>
          <w:sz w:val="18"/>
          <w:szCs w:val="18"/>
          <w:u w:val="single" w:color="auto"/>
          <w:color w:val="0067B1"/>
        </w:rPr>
        <w:t>Securities Act of 1933</w:t>
      </w:r>
      <w:r>
        <w:rPr>
          <w:rFonts w:ascii="Times New Roman" w:cs="Times New Roman" w:eastAsia="Times New Roman" w:hAnsi="Times New Roman"/>
          <w:sz w:val="18"/>
          <w:szCs w:val="18"/>
          <w:color w:val="auto"/>
        </w:rPr>
        <w:t xml:space="preserve">, as amended,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w:t>
      </w:r>
      <w:r>
        <w:rPr>
          <w:rFonts w:ascii="Times New Roman" w:cs="Times New Roman" w:eastAsia="Times New Roman" w:hAnsi="Times New Roman"/>
          <w:sz w:val="18"/>
          <w:szCs w:val="18"/>
          <w:u w:val="single" w:color="auto"/>
          <w:color w:val="0067B1"/>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67B1"/>
        </w:rPr>
        <w:t>Act</w:t>
      </w:r>
      <w:r>
        <w:rPr>
          <w:rFonts w:ascii="Times New Roman" w:cs="Times New Roman" w:eastAsia="Times New Roman" w:hAnsi="Times New Roman"/>
          <w:sz w:val="18"/>
          <w:szCs w:val="18"/>
          <w:color w:val="000000"/>
        </w:rPr>
        <w:t>, or to contribute to payments they may be required to make in respect thereof and to reimburse those persons for certain expenses.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Ordinary Shares will be listed on the Nasdaq. To facilitate the offering of Ordinary Shares, certain persons participating in the offering may engage in transactions that stabilize, maintain or otherwise affect the price of the Ordinary Shares. This may include over-allotments or short sales of the Ordinary Shares, which involve the sale by persons participating in the offering of more Ordinary Shares than were sold to them. In these circumstances, these persons would cover such over-allotments or short positions by making purchases in the open market or by exercising their over-allotment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0" w:right="339" w:bottom="1440" w:gutter="0" w:footer="0" w:header="0"/>
        </w:sectPr>
      </w:pPr>
    </w:p>
    <w:bookmarkStart w:id="44" w:name="page45"/>
    <w:bookmarkEnd w:id="4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8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
        </w:trPr>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09"/>
        </w:trPr>
        <w:tc>
          <w:tcPr>
            <w:tcW w:w="20" w:type="dxa"/>
            <w:vAlign w:val="bottom"/>
            <w:shd w:val="clear" w:color="auto" w:fill="CFF0FC"/>
          </w:tcPr>
          <w:p>
            <w:pPr>
              <w:spacing w:after="0"/>
              <w:rPr>
                <w:sz w:val="18"/>
                <w:szCs w:val="18"/>
                <w:color w:val="auto"/>
              </w:rPr>
            </w:pPr>
          </w:p>
        </w:tc>
        <w:tc>
          <w:tcPr>
            <w:tcW w:w="88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82,721.90</w:t>
            </w:r>
          </w:p>
        </w:tc>
        <w:tc>
          <w:tcPr>
            <w:tcW w:w="220" w:type="dxa"/>
            <w:vAlign w:val="bottom"/>
            <w:shd w:val="clear" w:color="auto" w:fill="CFF0FC"/>
          </w:tcPr>
          <w:p>
            <w:pPr>
              <w:spacing w:after="0"/>
              <w:rPr>
                <w:sz w:val="18"/>
                <w:szCs w:val="18"/>
                <w:color w:val="auto"/>
              </w:rPr>
            </w:pPr>
          </w:p>
        </w:tc>
      </w:tr>
      <w:tr>
        <w:trPr>
          <w:trHeight w:val="216"/>
        </w:trPr>
        <w:tc>
          <w:tcPr>
            <w:tcW w:w="8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FINRA filing fee</w:t>
            </w:r>
          </w:p>
        </w:tc>
        <w:tc>
          <w:tcPr>
            <w:tcW w:w="64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90,350.00</w:t>
            </w:r>
          </w:p>
        </w:tc>
        <w:tc>
          <w:tcPr>
            <w:tcW w:w="220" w:type="dxa"/>
            <w:vAlign w:val="bottom"/>
            <w:shd w:val="clear" w:color="auto" w:fill="CFF0FC"/>
          </w:tcPr>
          <w:p>
            <w:pPr>
              <w:spacing w:after="0"/>
              <w:rPr>
                <w:sz w:val="18"/>
                <w:szCs w:val="18"/>
                <w:color w:val="auto"/>
              </w:rPr>
            </w:pPr>
          </w:p>
        </w:tc>
      </w:tr>
      <w:tr>
        <w:trPr>
          <w:trHeight w:val="198"/>
        </w:trPr>
        <w:tc>
          <w:tcPr>
            <w:tcW w:w="8860" w:type="dxa"/>
            <w:vAlign w:val="bottom"/>
            <w:gridSpan w:val="3"/>
          </w:tcPr>
          <w:p>
            <w:pPr>
              <w:ind w:left="20"/>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8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20" w:type="dxa"/>
            <w:vAlign w:val="bottom"/>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r>
      <w:tr>
        <w:trPr>
          <w:trHeight w:val="216"/>
        </w:trPr>
        <w:tc>
          <w:tcPr>
            <w:tcW w:w="886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20" w:type="dxa"/>
            <w:vAlign w:val="bottom"/>
            <w:shd w:val="clear" w:color="auto" w:fill="CFF0FC"/>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540" w:right="1560" w:hanging="5532"/>
        <w:spacing w:after="0" w:line="657" w:lineRule="auto"/>
        <w:tabs>
          <w:tab w:leader="none" w:pos="14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239395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5" w:name="page46"/>
    <w:bookmarkEnd w:id="45"/>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6" w:name="page47"/>
    <w:bookmarkEnd w:id="46"/>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Taylor Wessing LLP, have passed upon the validity of the issue of the securities of Rezolve AI plc (formerly Rezolve AI Limited) which are offered by this prospectus.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incorporated by reference herein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7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GroupBy Group of Companies incorporated by reference herein have been audited by MNP, LLP an independent registered public accounting firm, as set forth in their report thereon, and are included in reliance on such report given upon the authority of such firm as experts in accounting and auditing.</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F-3,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that we file with the SEC,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spacing w:after="0" w:line="18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prospectus incorporates by reference the documents listed below and any future filings we make with the SEC until the offering of the securities under the registration statement of which this prospectus forms a part is terminated or completed:</w:t>
      </w:r>
    </w:p>
    <w:p>
      <w:pPr>
        <w:spacing w:after="0" w:line="54" w:lineRule="exact"/>
        <w:rPr>
          <w:sz w:val="20"/>
          <w:szCs w:val="20"/>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41">
        <w:r>
          <w:rPr>
            <w:rFonts w:ascii="Times New Roman" w:cs="Times New Roman" w:eastAsia="Times New Roman" w:hAnsi="Times New Roman"/>
            <w:sz w:val="18"/>
            <w:szCs w:val="18"/>
            <w:u w:val="single" w:color="auto"/>
            <w:color w:val="0000FF"/>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April 24, 2025;</w:t>
      </w:r>
    </w:p>
    <w:p>
      <w:pPr>
        <w:spacing w:after="0" w:line="117"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33"/>
        </w:numPr>
        <w:rPr>
          <w:rFonts w:ascii="Times New Roman" w:cs="Times New Roman" w:eastAsia="Times New Roman" w:hAnsi="Times New Roman"/>
          <w:sz w:val="18"/>
          <w:szCs w:val="18"/>
          <w:color w:val="0000FF"/>
        </w:rPr>
      </w:pPr>
      <w:hyperlink r:id="rId93">
        <w:r>
          <w:rPr>
            <w:rFonts w:ascii="Times New Roman" w:cs="Times New Roman" w:eastAsia="Times New Roman" w:hAnsi="Times New Roman"/>
            <w:sz w:val="18"/>
            <w:szCs w:val="18"/>
            <w:color w:val="auto"/>
          </w:rPr>
          <w:t xml:space="preserve">our Report of Foreign Private Issuer on Form 6-K filed with the SEC on </w:t>
        </w:r>
        <w:r>
          <w:rPr>
            <w:rFonts w:ascii="Times New Roman" w:cs="Times New Roman" w:eastAsia="Times New Roman" w:hAnsi="Times New Roman"/>
            <w:sz w:val="18"/>
            <w:szCs w:val="18"/>
            <w:u w:val="single" w:color="auto"/>
            <w:color w:val="0000FF"/>
          </w:rPr>
          <w:t>January 29,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7,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 21, 2025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February</w:t>
        </w:r>
      </w:hyperlink>
      <w:r>
        <w:rPr>
          <w:rFonts w:ascii="Times New Roman" w:cs="Times New Roman" w:eastAsia="Times New Roman" w:hAnsi="Times New Roman"/>
          <w:sz w:val="18"/>
          <w:szCs w:val="18"/>
          <w:color w:val="auto"/>
        </w:rPr>
        <w:t xml:space="preserve"> </w:t>
      </w:r>
      <w:hyperlink r:id="rId94">
        <w:r>
          <w:rPr>
            <w:rFonts w:ascii="Times New Roman" w:cs="Times New Roman" w:eastAsia="Times New Roman" w:hAnsi="Times New Roman"/>
            <w:sz w:val="18"/>
            <w:szCs w:val="18"/>
            <w:u w:val="single" w:color="auto"/>
            <w:color w:val="0000FF"/>
          </w:rPr>
          <w:t>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6,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March 31,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24,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July 25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August 15, 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September 24, 2025, September 24,</w:t>
        </w:r>
      </w:hyperlink>
      <w:r>
        <w:rPr>
          <w:rFonts w:ascii="Times New Roman" w:cs="Times New Roman" w:eastAsia="Times New Roman" w:hAnsi="Times New Roman"/>
          <w:sz w:val="18"/>
          <w:szCs w:val="18"/>
          <w:color w:val="0000FF"/>
        </w:rPr>
        <w:t xml:space="preserve"> </w:t>
      </w:r>
      <w:hyperlink r:id="rId94">
        <w:r>
          <w:rPr>
            <w:rFonts w:ascii="Times New Roman" w:cs="Times New Roman" w:eastAsia="Times New Roman" w:hAnsi="Times New Roman"/>
            <w:sz w:val="18"/>
            <w:szCs w:val="18"/>
            <w:u w:val="single" w:color="auto"/>
            <w:color w:val="0000FF"/>
          </w:rPr>
          <w:t>2025</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5">
        <w:r>
          <w:rPr>
            <w:rFonts w:ascii="Times New Roman" w:cs="Times New Roman" w:eastAsia="Times New Roman" w:hAnsi="Times New Roman"/>
            <w:sz w:val="18"/>
            <w:szCs w:val="18"/>
            <w:u w:val="single" w:color="auto"/>
            <w:color w:val="0000FF"/>
          </w:rPr>
          <w:t>September 26, 2025</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6">
        <w:r>
          <w:rPr>
            <w:rFonts w:ascii="Times New Roman" w:cs="Times New Roman" w:eastAsia="Times New Roman" w:hAnsi="Times New Roman"/>
            <w:sz w:val="18"/>
            <w:szCs w:val="18"/>
            <w:u w:val="single" w:color="auto"/>
            <w:color w:val="0000FF"/>
          </w:rPr>
          <w:t>October 1, 2025</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7">
        <w:r>
          <w:rPr>
            <w:rFonts w:ascii="Times New Roman" w:cs="Times New Roman" w:eastAsia="Times New Roman" w:hAnsi="Times New Roman"/>
            <w:sz w:val="18"/>
            <w:szCs w:val="18"/>
            <w:u w:val="single" w:color="auto"/>
            <w:color w:val="0000FF"/>
          </w:rPr>
          <w:t>October 6, 2025</w:t>
        </w:r>
      </w:hyperlink>
      <w:hyperlink r:id="rId94">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hyperlink>
      <w:hyperlink r:id="rId98">
        <w:r>
          <w:rPr>
            <w:rFonts w:ascii="Times New Roman" w:cs="Times New Roman" w:eastAsia="Times New Roman" w:hAnsi="Times New Roman"/>
            <w:sz w:val="18"/>
            <w:szCs w:val="18"/>
            <w:u w:val="single" w:color="auto"/>
            <w:color w:val="0000FF"/>
          </w:rPr>
          <w:t xml:space="preserve">October 10, 2025 </w:t>
        </w:r>
      </w:hyperlink>
      <w:hyperlink r:id="rId9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FF"/>
          </w:rPr>
          <w:t xml:space="preserve"> </w:t>
        </w:r>
      </w:hyperlink>
      <w:hyperlink r:id="rId42">
        <w:r>
          <w:rPr>
            <w:rFonts w:ascii="Times New Roman" w:cs="Times New Roman" w:eastAsia="Times New Roman" w:hAnsi="Times New Roman"/>
            <w:sz w:val="18"/>
            <w:szCs w:val="18"/>
            <w:u w:val="single" w:color="auto"/>
            <w:color w:val="0000FF"/>
          </w:rPr>
          <w:t>October 22, 2025</w:t>
        </w:r>
      </w:hyperlink>
      <w:hyperlink r:id="rId94">
        <w:r>
          <w:rPr>
            <w:rFonts w:ascii="Times New Roman" w:cs="Times New Roman" w:eastAsia="Times New Roman" w:hAnsi="Times New Roman"/>
            <w:sz w:val="18"/>
            <w:szCs w:val="18"/>
            <w:color w:val="000000"/>
          </w:rPr>
          <w:t>.</w:t>
        </w:r>
      </w:hyperlink>
    </w:p>
    <w:p>
      <w:pPr>
        <w:spacing w:after="0" w:line="67" w:lineRule="exact"/>
        <w:rPr>
          <w:rFonts w:ascii="Times New Roman" w:cs="Times New Roman" w:eastAsia="Times New Roman" w:hAnsi="Times New Roman"/>
          <w:sz w:val="18"/>
          <w:szCs w:val="18"/>
          <w:color w:val="0000FF"/>
        </w:rPr>
      </w:pPr>
    </w:p>
    <w:p>
      <w:pPr>
        <w:ind w:left="1020" w:right="54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w:t>
      </w:r>
      <w:hyperlink r:id="rId45">
        <w:r>
          <w:rPr>
            <w:rFonts w:ascii="Times New Roman" w:cs="Times New Roman" w:eastAsia="Times New Roman" w:hAnsi="Times New Roman"/>
            <w:sz w:val="18"/>
            <w:szCs w:val="18"/>
            <w:u w:val="single" w:color="auto"/>
            <w:color w:val="0000FF"/>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001-42254) filed with the SEC on August 15, 2024.</w:t>
      </w:r>
    </w:p>
    <w:p>
      <w:pPr>
        <w:spacing w:after="0" w:line="162" w:lineRule="exact"/>
        <w:rPr>
          <w:rFonts w:ascii="Times New Roman" w:cs="Times New Roman" w:eastAsia="Times New Roman" w:hAnsi="Times New Roman"/>
          <w:sz w:val="18"/>
          <w:szCs w:val="18"/>
          <w:color w:val="0000FF"/>
        </w:rPr>
      </w:pPr>
    </w:p>
    <w:p>
      <w:pPr>
        <w:ind w:right="100"/>
        <w:spacing w:after="0" w:line="257" w:lineRule="auto"/>
        <w:rPr>
          <w:sz w:val="20"/>
          <w:szCs w:val="20"/>
          <w:color w:val="auto"/>
        </w:rPr>
      </w:pPr>
      <w:r>
        <w:rPr>
          <w:rFonts w:ascii="Times New Roman" w:cs="Times New Roman" w:eastAsia="Times New Roman" w:hAnsi="Times New Roman"/>
          <w:sz w:val="18"/>
          <w:szCs w:val="18"/>
          <w:color w:val="auto"/>
        </w:rPr>
        <w:t>We also incorporate by reference all additional documents that we file with the SEC pursuant to Section 13(a), 13(c), 14 or 15(d) of the Exchange Act that are filed after the effective date of the registration statement of which this prospectus is a part and prior to the termination of the offering of securities offered pursuant to this prospectus. We also incorporate by reference all additional documents that we file with the SEC pursuant to Section 13(a), 13(c),</w:t>
      </w:r>
    </w:p>
    <w:p>
      <w:pPr>
        <w:spacing w:after="0" w:line="1" w:lineRule="exact"/>
        <w:rPr>
          <w:rFonts w:ascii="Times New Roman" w:cs="Times New Roman" w:eastAsia="Times New Roman" w:hAnsi="Times New Roman"/>
          <w:sz w:val="18"/>
          <w:szCs w:val="18"/>
          <w:color w:val="0000FF"/>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14 or 15(d) of the Exchange Act that are filed after the filing date of the registration statement of which this prospectus is a part and </w:t>
      </w:r>
      <w:r>
        <w:rPr>
          <w:rFonts w:ascii="Times New Roman" w:cs="Times New Roman" w:eastAsia="Times New Roman" w:hAnsi="Times New Roman"/>
          <w:sz w:val="18"/>
          <w:szCs w:val="18"/>
          <w:i w:val="1"/>
          <w:iCs w:val="1"/>
          <w:color w:val="auto"/>
        </w:rPr>
        <w:t>prior to effectiveness</w:t>
      </w:r>
      <w:r>
        <w:rPr>
          <w:rFonts w:ascii="Times New Roman" w:cs="Times New Roman" w:eastAsia="Times New Roman" w:hAnsi="Times New Roman"/>
          <w:sz w:val="18"/>
          <w:szCs w:val="18"/>
          <w:color w:val="auto"/>
        </w:rPr>
        <w:t xml:space="preserve"> of that registration statement. We are not, however, incorporating, in each case, any documents or information that we are deemed to “furnish” and not file in accordance with SEC rules.</w:t>
      </w:r>
    </w:p>
    <w:p>
      <w:pPr>
        <w:spacing w:after="0" w:line="186" w:lineRule="exact"/>
        <w:rPr>
          <w:rFonts w:ascii="Times New Roman" w:cs="Times New Roman" w:eastAsia="Times New Roman" w:hAnsi="Times New Roman"/>
          <w:sz w:val="18"/>
          <w:szCs w:val="18"/>
          <w:color w:val="0000FF"/>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Unless expressly incorporated by reference, nothing in this prospectus shall be deemed to incorporate by reference information furnished to, but not filed with, the SEC. Copies of all documents incorporated by reference in this prospectus, other than exhibits to those documents unless such exhibits are specifically incorporated by reference in this prospectus, will be provided at no cost to each person, including any beneficial owner, who receives a copy of this prospectus on the written or oral request of that person made to:</w:t>
      </w:r>
    </w:p>
    <w:p>
      <w:pPr>
        <w:spacing w:after="0" w:line="180"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Rezolve AI plc</w:t>
      </w:r>
    </w:p>
    <w:p>
      <w:pPr>
        <w:spacing w:after="0" w:line="27"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21 Sackville Street</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London, W1S 3DN</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Tel:+44 204 625 9700</w:t>
      </w: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00" w:lineRule="exact"/>
        <w:rPr>
          <w:rFonts w:ascii="Times New Roman" w:cs="Times New Roman" w:eastAsia="Times New Roman" w:hAnsi="Times New Roman"/>
          <w:sz w:val="18"/>
          <w:szCs w:val="18"/>
          <w:color w:val="0000FF"/>
        </w:rPr>
      </w:pPr>
    </w:p>
    <w:p>
      <w:pPr>
        <w:spacing w:after="0" w:line="219" w:lineRule="exact"/>
        <w:rPr>
          <w:rFonts w:ascii="Times New Roman" w:cs="Times New Roman" w:eastAsia="Times New Roman" w:hAnsi="Times New Roman"/>
          <w:sz w:val="18"/>
          <w:szCs w:val="18"/>
          <w:color w:val="0000FF"/>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4" w:right="339" w:bottom="1440" w:gutter="0" w:footer="0" w:header="0"/>
        </w:sectPr>
      </w:pPr>
    </w:p>
    <w:bookmarkStart w:id="48" w:name="page49"/>
    <w:bookmarkEnd w:id="48"/>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Rezolve AI plc</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62,500,000</w:t>
      </w:r>
    </w:p>
    <w:p>
      <w:pPr>
        <w:spacing w:after="0" w:line="1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407035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296545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i w:val="1"/>
          <w:iCs w:val="1"/>
          <w:color w:val="auto"/>
        </w:rPr>
        <w:t>Lead Placement Agent</w:t>
      </w:r>
    </w:p>
    <w:p>
      <w:pPr>
        <w:spacing w:after="0" w:line="199"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9"/>
          <w:szCs w:val="29"/>
          <w:b w:val="1"/>
          <w:bCs w:val="1"/>
          <w:color w:val="auto"/>
        </w:rPr>
        <w:t>A.G.P.</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i w:val="1"/>
          <w:iCs w:val="1"/>
          <w:color w:val="auto"/>
        </w:rPr>
        <w:t>Co-Lead Placement Agents</w:t>
      </w:r>
    </w:p>
    <w:p>
      <w:pPr>
        <w:spacing w:after="0" w:line="209" w:lineRule="exact"/>
        <w:rPr>
          <w:sz w:val="20"/>
          <w:szCs w:val="20"/>
          <w:color w:val="auto"/>
        </w:rPr>
      </w:pPr>
    </w:p>
    <w:p>
      <w:pPr>
        <w:ind w:left="740"/>
        <w:spacing w:after="0"/>
        <w:tabs>
          <w:tab w:leader="none" w:pos="5760" w:val="left"/>
        </w:tabs>
        <w:rPr>
          <w:sz w:val="20"/>
          <w:szCs w:val="20"/>
          <w:color w:val="auto"/>
        </w:rPr>
      </w:pPr>
      <w:r>
        <w:rPr>
          <w:rFonts w:ascii="Times New Roman" w:cs="Times New Roman" w:eastAsia="Times New Roman" w:hAnsi="Times New Roman"/>
          <w:sz w:val="25"/>
          <w:szCs w:val="25"/>
          <w:b w:val="1"/>
          <w:bCs w:val="1"/>
          <w:color w:val="auto"/>
        </w:rPr>
        <w:t>Titan Partners</w:t>
      </w:r>
      <w:r>
        <w:rPr>
          <w:sz w:val="20"/>
          <w:szCs w:val="20"/>
          <w:color w:val="auto"/>
        </w:rPr>
        <w:tab/>
      </w:r>
      <w:r>
        <w:rPr>
          <w:rFonts w:ascii="Times New Roman" w:cs="Times New Roman" w:eastAsia="Times New Roman" w:hAnsi="Times New Roman"/>
          <w:sz w:val="25"/>
          <w:szCs w:val="25"/>
          <w:b w:val="1"/>
          <w:bCs w:val="1"/>
          <w:color w:val="auto"/>
        </w:rPr>
        <w:t>Maxim Group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i w:val="1"/>
          <w:iCs w:val="1"/>
          <w:color w:val="auto"/>
        </w:rPr>
        <w:t>a division of American Capital Partners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22"/>
          <w:szCs w:val="22"/>
          <w:i w:val="1"/>
          <w:iCs w:val="1"/>
          <w:color w:val="auto"/>
        </w:rPr>
        <w:t>Financial Advisors</w:t>
      </w:r>
    </w:p>
    <w:p>
      <w:pPr>
        <w:spacing w:after="0" w:line="200" w:lineRule="exact"/>
        <w:rPr>
          <w:sz w:val="20"/>
          <w:szCs w:val="20"/>
          <w:color w:val="auto"/>
        </w:rPr>
      </w:pPr>
    </w:p>
    <w:p>
      <w:pPr>
        <w:spacing w:after="0" w:line="245" w:lineRule="exact"/>
        <w:rPr>
          <w:sz w:val="20"/>
          <w:szCs w:val="20"/>
          <w:color w:val="auto"/>
        </w:rPr>
      </w:pPr>
    </w:p>
    <w:p>
      <w:pPr>
        <w:ind w:left="740"/>
        <w:spacing w:after="0"/>
        <w:tabs>
          <w:tab w:leader="none" w:pos="4940" w:val="left"/>
        </w:tabs>
        <w:rPr>
          <w:sz w:val="20"/>
          <w:szCs w:val="20"/>
          <w:color w:val="auto"/>
        </w:rPr>
      </w:pPr>
      <w:r>
        <w:rPr>
          <w:rFonts w:ascii="Times New Roman" w:cs="Times New Roman" w:eastAsia="Times New Roman" w:hAnsi="Times New Roman"/>
          <w:sz w:val="23"/>
          <w:szCs w:val="23"/>
          <w:b w:val="1"/>
          <w:bCs w:val="1"/>
          <w:color w:val="auto"/>
        </w:rPr>
        <w:t>Roth Capital Partners</w:t>
      </w:r>
      <w:r>
        <w:rPr>
          <w:sz w:val="20"/>
          <w:szCs w:val="20"/>
          <w:color w:val="auto"/>
        </w:rPr>
        <w:tab/>
      </w:r>
      <w:r>
        <w:rPr>
          <w:rFonts w:ascii="Times New Roman" w:cs="Times New Roman" w:eastAsia="Times New Roman" w:hAnsi="Times New Roman"/>
          <w:sz w:val="23"/>
          <w:szCs w:val="23"/>
          <w:b w:val="1"/>
          <w:bCs w:val="1"/>
          <w:color w:val="auto"/>
        </w:rPr>
        <w:t>Northland Capital Markets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January 20, 2026</w:t>
      </w:r>
    </w:p>
    <w:p>
      <w:pPr>
        <w:spacing w:after="0" w:line="200" w:lineRule="exact"/>
        <w:rPr>
          <w:sz w:val="20"/>
          <w:szCs w:val="20"/>
          <w:color w:val="auto"/>
        </w:rPr>
      </w:pPr>
    </w:p>
    <w:p>
      <w:pPr>
        <w:spacing w:after="0" w:line="353"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484505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9379"/>
      </w:cols>
      <w:pgMar w:left="1080" w:top="11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1)"/>
      <w:numFmt w:val="decimal"/>
      <w:start w:val="1"/>
    </w:lvl>
  </w:abstractNum>
  <w:abstractNum w:abstractNumId="1">
    <w:nsid w:val="519B500D"/>
    <w:multiLevelType w:val="hybridMultilevel"/>
    <w:lvl w:ilvl="0">
      <w:lvlJc w:val="left"/>
      <w:lvlText w:val="1"/>
      <w:numFmt w:val="bullet"/>
      <w:start w:val="1"/>
    </w:lvl>
  </w:abstractNum>
  <w:abstractNum w:abstractNumId="2">
    <w:nsid w:val="431BD7B7"/>
    <w:multiLevelType w:val="hybridMultilevel"/>
    <w:lvl w:ilvl="0">
      <w:lvlJc w:val="left"/>
      <w:lvlText w:val="1"/>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1)"/>
      <w:numFmt w:val="decimal"/>
      <w:start w:val="1"/>
    </w:lvl>
    <w:lvl w:ilvl="1">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1)"/>
      <w:numFmt w:val="lowerRoman"/>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1)"/>
      <w:numFmt w:val="upperLetter"/>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1)"/>
      <w:numFmt w:val="lowerRoman"/>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41" Type="http://schemas.openxmlformats.org/officeDocument/2006/relationships/hyperlink" Target="https://www.sec.gov/Archives/edgar/data/1920294/000095017025057622/rzlv-20241231.htm" TargetMode="External"/><Relationship Id="rId42" Type="http://schemas.openxmlformats.org/officeDocument/2006/relationships/hyperlink" Target="https://www.sec.gov/Archives/edgar/data/1920294/000119312525245776/cfo_change_6-k.htm" TargetMode="External"/><Relationship Id="rId43" Type="http://schemas.openxmlformats.org/officeDocument/2006/relationships/hyperlink" Target="https://www.sec.gov/Archives/edgar/data/1920294/000119312526016830/registered_direct_6-k_ja.htm" TargetMode="External"/><Relationship Id="rId44" Type="http://schemas.openxmlformats.org/officeDocument/2006/relationships/hyperlink" Target="https://www.sec.gov/Archives/edgar/data/1920294/000119312526017635/registered_direct_6-ka_j.htm" TargetMode="External"/><Relationship Id="rId45" Type="http://schemas.openxmlformats.org/officeDocument/2006/relationships/hyperlink" Target="https://www.sec.gov/Archives/edgar/data/1920294/000119312524201396/d873446d8a12b.htm" TargetMode="External"/><Relationship Id="rId93" Type="http://schemas.openxmlformats.org/officeDocument/2006/relationships/hyperlink" Target="https://www.sec.gov/Archives/edgar/data/1920294/000095017025026125/jbaam_6-k.htm" TargetMode="External"/><Relationship Id="rId94" Type="http://schemas.openxmlformats.org/officeDocument/2006/relationships/hyperlink" Target="https://www.sec.gov/Archives/edgar/data/1920294/000119312525214041/second_pricing_6-k.htm" TargetMode="External"/><Relationship Id="rId95" Type="http://schemas.openxmlformats.org/officeDocument/2006/relationships/hyperlink" Target="https://www.sec.gov/Archives/edgar/data/1920294/000119312525220703/second_closing_6-k.htm" TargetMode="External"/><Relationship Id="rId96" Type="http://schemas.openxmlformats.org/officeDocument/2006/relationships/hyperlink" Target="https://www.sec.gov/Archives/edgar/data/1920294/000119312525226728/rzlv-20250630.htm" TargetMode="External"/><Relationship Id="rId97" Type="http://schemas.openxmlformats.org/officeDocument/2006/relationships/hyperlink" Target="https://www.sec.gov/Archives/edgar/data/1920294/000119312525230582/copy_of_general_meeting_.htm" TargetMode="External"/><Relationship Id="rId98" Type="http://schemas.openxmlformats.org/officeDocument/2006/relationships/hyperlink" Target="https://www.sec.gov/Archives/edgar/data/1920294/000119312525237242/acquisitions_6-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2026-01-21T12:59:42Z</dcterms:created>
  <dcterms:modified xsi:type="dcterms:W3CDTF">2026-01-21T12:59:42Z</dcterms:modified>
</cp:coreProperties>
</file>