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333-284240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58,444,822 Ordinary Shares </w:t>
      </w:r>
      <w:r>
        <w:rPr>
          <w:rFonts w:ascii="Times New Roman" w:cs="Times New Roman" w:eastAsia="Times New Roman" w:hAnsi="Times New Roman"/>
          <w:sz w:val="18"/>
          <w:szCs w:val="18"/>
          <w:b w:val="1"/>
          <w:bCs w:val="1"/>
          <w:i w:val="1"/>
          <w:iCs w:val="1"/>
          <w:color w:val="auto"/>
        </w:rPr>
        <w:t>(for resale)</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both"/>
        <w:ind w:right="140"/>
        <w:spacing w:after="0" w:line="278" w:lineRule="auto"/>
        <w:rPr>
          <w:sz w:val="20"/>
          <w:szCs w:val="20"/>
          <w:color w:val="auto"/>
        </w:rPr>
      </w:pPr>
      <w:r>
        <w:rPr>
          <w:rFonts w:ascii="Times New Roman" w:cs="Times New Roman" w:eastAsia="Times New Roman" w:hAnsi="Times New Roman"/>
          <w:sz w:val="17"/>
          <w:szCs w:val="17"/>
          <w:color w:val="auto"/>
        </w:rPr>
        <w:t>This prospectus relates to the resale by certain selling securityholders named herein (the “</w:t>
      </w:r>
      <w:r>
        <w:rPr>
          <w:rFonts w:ascii="Times New Roman" w:cs="Times New Roman" w:eastAsia="Times New Roman" w:hAnsi="Times New Roman"/>
          <w:sz w:val="17"/>
          <w:szCs w:val="17"/>
          <w:b w:val="1"/>
          <w:bCs w:val="1"/>
          <w:i w:val="1"/>
          <w:iCs w:val="1"/>
          <w:color w:val="auto"/>
        </w:rPr>
        <w:t>Selling Holders</w:t>
      </w:r>
      <w:r>
        <w:rPr>
          <w:rFonts w:ascii="Times New Roman" w:cs="Times New Roman" w:eastAsia="Times New Roman" w:hAnsi="Times New Roman"/>
          <w:sz w:val="17"/>
          <w:szCs w:val="17"/>
          <w:color w:val="auto"/>
        </w:rPr>
        <w:t>”) of an aggregate of up to 58,444,822 Ordinary Shares, consisting of (i) up to 8,070,845 Ordinary Shares issued upon exercise of certain Convertible Notes (as defined herein) by certain Selling Holders;</w:t>
      </w:r>
    </w:p>
    <w:p>
      <w:pPr>
        <w:spacing w:after="0" w:line="1" w:lineRule="exact"/>
        <w:rPr>
          <w:sz w:val="24"/>
          <w:szCs w:val="24"/>
          <w:color w:val="auto"/>
        </w:rPr>
      </w:pPr>
    </w:p>
    <w:p>
      <w:pPr>
        <w:ind w:right="120" w:firstLine="8"/>
        <w:spacing w:after="0" w:line="255" w:lineRule="auto"/>
        <w:tabs>
          <w:tab w:leader="none" w:pos="2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425,171 Ordinary Shares issuable upon conversion of certain Promissory Notes (as defined herein) (iii) up to 1,413,946 Ordinary Shares issued upon conversion of the YA Notes (as defined herein); and (iv) up to 48,534,860 Ordinary Shares issuable pursuant to the Second A&amp;R YA Agreement (as defined herein).</w:t>
      </w:r>
    </w:p>
    <w:p>
      <w:pPr>
        <w:spacing w:after="0" w:line="186" w:lineRule="exact"/>
        <w:rPr>
          <w:sz w:val="24"/>
          <w:szCs w:val="24"/>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 of 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Holders represent approximately 28.06% of the outstanding Ordinary Shares as of the date of this prospectus.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188"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8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Holders pursuant to this prospectus. We will pay the expenses, other than underwriting discounts and commissions,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 Distribution.”</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35" w:lineRule="exact"/>
        <w:rPr>
          <w:sz w:val="24"/>
          <w:szCs w:val="24"/>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The Ordinary Shares and the Public Warrants are traded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symbols “RZLV." On January 30, 2025, the closing price of the Ordinary Shares was $2.56 per share.</w:t>
      </w:r>
    </w:p>
    <w:p>
      <w:pPr>
        <w:spacing w:after="0" w:line="159"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Given the substantial amount of redemptions in connection with the Business Combination, and the relative lack of liquidity in our stock, sales of the Ordinary Shares under the registration statement of which this prospectus is a part could result in a significant decline in the market price of our securities.</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10 and in any applicable prospectus supplement.</w:t>
      </w:r>
    </w:p>
    <w:p>
      <w:pPr>
        <w:spacing w:after="0" w:line="225" w:lineRule="exact"/>
        <w:rPr>
          <w:sz w:val="24"/>
          <w:szCs w:val="24"/>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12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392"/>
        </w:trPr>
        <w:tc>
          <w:tcPr>
            <w:tcW w:w="22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7720" w:type="dxa"/>
            <w:vAlign w:val="bottom"/>
            <w:gridSpan w:val="11"/>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9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20"/>
        </w:trPr>
        <w:tc>
          <w:tcPr>
            <w:tcW w:w="7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20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SELECTED DEFINITIONS</w:t>
            </w:r>
          </w:p>
        </w:tc>
        <w:tc>
          <w:tcPr>
            <w:tcW w:w="7880" w:type="dxa"/>
            <w:vAlign w:val="bottom"/>
            <w:gridSpan w:val="1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196"/>
        </w:trPr>
        <w:tc>
          <w:tcPr>
            <w:tcW w:w="58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4100" w:type="dxa"/>
            <w:vAlign w:val="bottom"/>
            <w:gridSpan w:val="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vii</w:t>
            </w:r>
          </w:p>
        </w:tc>
      </w:tr>
      <w:tr>
        <w:trPr>
          <w:trHeight w:val="196"/>
        </w:trPr>
        <w:tc>
          <w:tcPr>
            <w:tcW w:w="21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7860" w:type="dxa"/>
            <w:vAlign w:val="bottom"/>
            <w:gridSpan w:val="1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THE OFFERING</w:t>
            </w:r>
          </w:p>
        </w:tc>
        <w:tc>
          <w:tcPr>
            <w:tcW w:w="8680" w:type="dxa"/>
            <w:vAlign w:val="bottom"/>
            <w:gridSpan w:val="18"/>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9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USE OF PROCEEDS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7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66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PRO FORMA CONDENSED COMBINED FINANCIAL INFORMATION</w:t>
            </w:r>
          </w:p>
        </w:tc>
        <w:tc>
          <w:tcPr>
            <w:tcW w:w="3360" w:type="dxa"/>
            <w:vAlign w:val="bottom"/>
            <w:gridSpan w:val="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9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320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 AND COMPENSATION</w:t>
            </w:r>
          </w:p>
        </w:tc>
        <w:tc>
          <w:tcPr>
            <w:tcW w:w="5760" w:type="dxa"/>
            <w:vAlign w:val="bottom"/>
            <w:tcBorders>
              <w:top w:val="single" w:sz="8" w:color="0000FF"/>
            </w:tcBorders>
            <w:gridSpan w:val="9"/>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9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556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BENEFICIAL OWNERSHIP OF SECURITIES</w:t>
            </w:r>
          </w:p>
        </w:tc>
        <w:tc>
          <w:tcPr>
            <w:tcW w:w="4400" w:type="dxa"/>
            <w:vAlign w:val="bottom"/>
            <w:gridSpan w:val="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348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SELLING HOLDERS</w:t>
            </w:r>
          </w:p>
        </w:tc>
        <w:tc>
          <w:tcPr>
            <w:tcW w:w="6480" w:type="dxa"/>
            <w:vAlign w:val="bottom"/>
            <w:gridSpan w:val="7"/>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7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MATERIAL INCOME TAX CONSIDERATIONS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196"/>
        </w:trPr>
        <w:tc>
          <w:tcPr>
            <w:tcW w:w="206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PLAN OF DISTRIBUTION</w:t>
            </w:r>
          </w:p>
        </w:tc>
        <w:tc>
          <w:tcPr>
            <w:tcW w:w="1640" w:type="dxa"/>
            <w:vAlign w:val="bottom"/>
            <w:tcBorders>
              <w:top w:val="single" w:sz="8" w:color="0000FF"/>
            </w:tcBorders>
            <w:gridSpan w:val="8"/>
          </w:tcPr>
          <w:p>
            <w:pPr>
              <w:spacing w:after="0"/>
              <w:rPr>
                <w:sz w:val="17"/>
                <w:szCs w:val="17"/>
                <w:color w:val="auto"/>
              </w:rPr>
            </w:pPr>
          </w:p>
        </w:tc>
        <w:tc>
          <w:tcPr>
            <w:tcW w:w="6260" w:type="dxa"/>
            <w:vAlign w:val="bottom"/>
            <w:gridSpan w:val="6"/>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196"/>
        </w:trPr>
        <w:tc>
          <w:tcPr>
            <w:tcW w:w="34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EXPENSES RELATED TO THIS OFFERING</w:t>
            </w:r>
          </w:p>
        </w:tc>
        <w:tc>
          <w:tcPr>
            <w:tcW w:w="6540" w:type="dxa"/>
            <w:vAlign w:val="bottom"/>
            <w:gridSpan w:val="8"/>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196"/>
        </w:trPr>
        <w:tc>
          <w:tcPr>
            <w:tcW w:w="14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MATTERS</w:t>
            </w:r>
          </w:p>
        </w:tc>
        <w:tc>
          <w:tcPr>
            <w:tcW w:w="8480" w:type="dxa"/>
            <w:vAlign w:val="bottom"/>
            <w:gridSpan w:val="17"/>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196"/>
        </w:trPr>
        <w:tc>
          <w:tcPr>
            <w:tcW w:w="9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20"/>
        </w:trPr>
        <w:tc>
          <w:tcPr>
            <w:tcW w:w="780" w:type="dxa"/>
            <w:vAlign w:val="bottom"/>
            <w:shd w:val="clear" w:color="auto" w:fill="0000FF"/>
          </w:tcPr>
          <w:p>
            <w:pPr>
              <w:spacing w:after="0" w:line="20" w:lineRule="exact"/>
              <w:rPr>
                <w:sz w:val="1"/>
                <w:szCs w:val="1"/>
                <w:color w:val="auto"/>
              </w:rPr>
            </w:pPr>
          </w:p>
        </w:tc>
        <w:tc>
          <w:tcPr>
            <w:tcW w:w="2500" w:type="dxa"/>
            <w:vAlign w:val="bottom"/>
            <w:gridSpan w:val="1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32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ENFORCEABILITY OF CIVIL LIABILITY</w:t>
            </w:r>
          </w:p>
        </w:tc>
        <w:tc>
          <w:tcPr>
            <w:tcW w:w="6680" w:type="dxa"/>
            <w:vAlign w:val="bottom"/>
            <w:gridSpan w:val="9"/>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196"/>
        </w:trPr>
        <w:tc>
          <w:tcPr>
            <w:tcW w:w="38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12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F-l that we filed with the SEC using a “shelf’ registration process. Under this shelf registration process, we and the Selling Holders may, from time to time, issue, offer and sell, as applicable, any combination of the securities described in this prospectus in one or more offerings. The Selling Holders may use the shelf registration statement to sell up to an aggregate of 58,444,822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Holders offer and sell may be provided in a prospectus supplement that describes, among other things, the specific amounts and prices of the Ordinary Shares being offered and the terms of the offering the Selling Holders may, from time to time, issue, offer and sell, as applicable, any combination of the securities described in this prospectus in one or more offerings.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7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On August 15, 2024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Armada Acquisition Corp. I, a Delaware corporation (“</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Rezolve AI Limited, a private limited company registered under the laws of England and Wales with registration number 14573691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Rezolve Merger Sub, Inc., a Delaware corporation (“</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pursuant to which, among other things, (i) on July 4, 2024, Rezolve Limited, a private limited company organized under the laws of England and Wales ("</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effected a pre-Closing demerger (the “</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18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520"/>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 adviser.</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Limited, including its subsidiaries.</w:t>
      </w:r>
    </w:p>
    <w:p>
      <w:pPr>
        <w:spacing w:after="0" w:line="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01"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18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0" w:lineRule="exact"/>
        <w:rPr>
          <w:sz w:val="20"/>
          <w:szCs w:val="20"/>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means Armada Acquisition Corp. I, a Delaware corporation;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Common Stock</w:t>
      </w:r>
      <w:r>
        <w:rPr>
          <w:rFonts w:ascii="Times New Roman" w:cs="Times New Roman" w:eastAsia="Times New Roman" w:hAnsi="Times New Roman"/>
          <w:sz w:val="18"/>
          <w:szCs w:val="18"/>
          <w:color w:val="auto"/>
        </w:rPr>
        <w:t>” means, prior to the Business Combination, an issued and outstanding share of common stock of Armada;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Unit</w:t>
      </w:r>
      <w:r>
        <w:rPr>
          <w:rFonts w:ascii="Times New Roman" w:cs="Times New Roman" w:eastAsia="Times New Roman" w:hAnsi="Times New Roman"/>
          <w:sz w:val="18"/>
          <w:szCs w:val="18"/>
          <w:color w:val="auto"/>
        </w:rPr>
        <w:t>” means, prior to the Business Combination, an issued and outstanding unit of Armada;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Warran</w:t>
      </w:r>
      <w:r>
        <w:rPr>
          <w:rFonts w:ascii="Times New Roman" w:cs="Times New Roman" w:eastAsia="Times New Roman" w:hAnsi="Times New Roman"/>
          <w:sz w:val="18"/>
          <w:szCs w:val="18"/>
          <w:color w:val="auto"/>
        </w:rPr>
        <w:t>t” means, prior to the Business Combination, an issued and outstanding warrant of Armada;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117" w:lineRule="exact"/>
        <w:rPr>
          <w:rFonts w:ascii="Times New Roman" w:cs="Times New Roman" w:eastAsia="Times New Roman" w:hAnsi="Times New Roman"/>
          <w:sz w:val="18"/>
          <w:szCs w:val="18"/>
          <w:color w:val="auto"/>
        </w:rPr>
      </w:pPr>
    </w:p>
    <w:p>
      <w:pPr>
        <w:ind w:left="900" w:right="80" w:hanging="383"/>
        <w:spacing w:after="0" w:line="268"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6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has the meaning given to it in the Business Combination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has the meaning given to it in the Business Combination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means the convertible loan notes issued on the terms of the Loan Note Instrument;</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means, collectively, the shares of Armada Common Stock held by the Sponsor, the chief executive officer of Armada, the president of Armada and independent directors of Armada;</w:t>
      </w:r>
    </w:p>
    <w:p>
      <w:pPr>
        <w:spacing w:after="0" w:line="4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GeoZone</w:t>
      </w:r>
      <w:r>
        <w:rPr>
          <w:rFonts w:ascii="Times New Roman" w:cs="Times New Roman" w:eastAsia="Times New Roman" w:hAnsi="Times New Roman"/>
          <w:sz w:val="18"/>
          <w:szCs w:val="18"/>
          <w:color w:val="auto"/>
        </w:rPr>
        <w:t>” means a location-based marketing tool which is a feature of Rezolve’s platform;</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means the amended form investor rights agreements entered into by Rezolve, Armada, the Sponsor and certain stockholders of Rezolve;</w:t>
      </w:r>
    </w:p>
    <w:p>
      <w:pPr>
        <w:spacing w:after="0" w:line="4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means the convertible note issued by Rezolve to J.V.B. Financial Group, LLC, a registered broker-dealer,on August 14, 2024.</w:t>
      </w:r>
    </w:p>
    <w:p>
      <w:pPr>
        <w:spacing w:after="0" w:line="117" w:lineRule="exact"/>
        <w:rPr>
          <w:rFonts w:ascii="Times New Roman" w:cs="Times New Roman" w:eastAsia="Times New Roman" w:hAnsi="Times New Roman"/>
          <w:sz w:val="18"/>
          <w:szCs w:val="18"/>
          <w:color w:val="auto"/>
        </w:rPr>
      </w:pPr>
    </w:p>
    <w:p>
      <w:pPr>
        <w:jc w:val="both"/>
        <w:ind w:left="900" w:hanging="383"/>
        <w:spacing w:after="0" w:line="268"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6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has the meaning given to it in the Loan Note Instrument.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117" w:lineRule="exact"/>
        <w:rPr>
          <w:rFonts w:ascii="Times New Roman" w:cs="Times New Roman" w:eastAsia="Times New Roman" w:hAnsi="Times New Roman"/>
          <w:sz w:val="18"/>
          <w:szCs w:val="18"/>
          <w:color w:val="auto"/>
        </w:rPr>
      </w:pPr>
    </w:p>
    <w:p>
      <w:pPr>
        <w:ind w:left="900" w:right="80" w:hanging="383"/>
        <w:spacing w:after="0" w:line="28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Noteholder Majority</w:t>
      </w:r>
      <w:r>
        <w:rPr>
          <w:rFonts w:ascii="Times New Roman" w:cs="Times New Roman" w:eastAsia="Times New Roman" w:hAnsi="Times New Roman"/>
          <w:sz w:val="18"/>
          <w:szCs w:val="18"/>
          <w:color w:val="auto"/>
        </w:rPr>
        <w:t>” means the prior consent of holders of more than two-thirds of the aggregate principal amount of the Convertible Notes outstanding from time to time;</w:t>
      </w:r>
    </w:p>
    <w:p>
      <w:pPr>
        <w:spacing w:after="0" w:line="46" w:lineRule="exact"/>
        <w:rPr>
          <w:rFonts w:ascii="Times New Roman" w:cs="Times New Roman" w:eastAsia="Times New Roman" w:hAnsi="Times New Roman"/>
          <w:sz w:val="18"/>
          <w:szCs w:val="18"/>
          <w:color w:val="auto"/>
        </w:rPr>
      </w:pPr>
    </w:p>
    <w:p>
      <w:pPr>
        <w:jc w:val="both"/>
        <w:ind w:left="900" w:hanging="383"/>
        <w:spacing w:after="0" w:line="268"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Platform Transactions</w:t>
      </w:r>
      <w:r>
        <w:rPr>
          <w:rFonts w:ascii="Times New Roman" w:cs="Times New Roman" w:eastAsia="Times New Roman" w:hAnsi="Times New Roman"/>
          <w:sz w:val="18"/>
          <w:szCs w:val="18"/>
          <w:color w:val="auto"/>
        </w:rPr>
        <w:t>” means radio advertisement and ticketing transactions for the years ended December 31, 2021 and 2022 and following the year ended December 31, 2022, radio advertisement and ticketing transactions or an audio, visual, social media or watermark trigger which leads to the use of Rezolve’s platform;</w:t>
      </w:r>
    </w:p>
    <w:p>
      <w:pPr>
        <w:spacing w:after="0" w:line="62" w:lineRule="exact"/>
        <w:rPr>
          <w:rFonts w:ascii="Times New Roman" w:cs="Times New Roman" w:eastAsia="Times New Roman" w:hAnsi="Times New Roman"/>
          <w:sz w:val="18"/>
          <w:szCs w:val="18"/>
          <w:color w:val="auto"/>
        </w:rPr>
      </w:pPr>
    </w:p>
    <w:p>
      <w:pPr>
        <w:ind w:left="900" w:hanging="383"/>
        <w:spacing w:after="0" w:line="275" w:lineRule="auto"/>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Pre-Closing Demerger</w:t>
      </w:r>
      <w:r>
        <w:rPr>
          <w:rFonts w:ascii="Times New Roman" w:cs="Times New Roman" w:eastAsia="Times New Roman" w:hAnsi="Times New Roman"/>
          <w:sz w:val="17"/>
          <w:szCs w:val="17"/>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60" w:lineRule="exact"/>
        <w:rPr>
          <w:rFonts w:ascii="Times New Roman" w:cs="Times New Roman" w:eastAsia="Times New Roman" w:hAnsi="Times New Roman"/>
          <w:sz w:val="17"/>
          <w:szCs w:val="17"/>
          <w:color w:val="auto"/>
        </w:rPr>
      </w:pPr>
    </w:p>
    <w:p>
      <w:pPr>
        <w:ind w:left="900" w:right="220" w:hanging="383"/>
        <w:spacing w:after="0" w:line="28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Form F-1</w:t>
      </w:r>
      <w:r>
        <w:rPr>
          <w:rFonts w:ascii="Times New Roman" w:cs="Times New Roman" w:eastAsia="Times New Roman" w:hAnsi="Times New Roman"/>
          <w:sz w:val="18"/>
          <w:szCs w:val="18"/>
          <w:color w:val="auto"/>
        </w:rPr>
        <w:t>” means the registration statement on Form F-1 (File No. 333-282004), originally filed on September 9, 2024, and declared effective on November 27, 2024.</w:t>
      </w:r>
    </w:p>
    <w:p>
      <w:pPr>
        <w:spacing w:after="0" w:line="4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Registerable Securities</w:t>
      </w:r>
      <w:r>
        <w:rPr>
          <w:rFonts w:ascii="Times New Roman" w:cs="Times New Roman" w:eastAsia="Times New Roman" w:hAnsi="Times New Roman"/>
          <w:sz w:val="18"/>
          <w:szCs w:val="18"/>
          <w:color w:val="auto"/>
        </w:rPr>
        <w:t>” has the meaning given to it in the Investor Rights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 w:name="page7"/>
    <w:bookmarkEnd w:id="6"/>
    <w:p>
      <w:pPr>
        <w:ind w:left="900" w:hanging="383"/>
        <w:spacing w:after="0" w:line="28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4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Incentive Equity Plan</w:t>
      </w:r>
      <w:r>
        <w:rPr>
          <w:rFonts w:ascii="Times New Roman" w:cs="Times New Roman" w:eastAsia="Times New Roman" w:hAnsi="Times New Roman"/>
          <w:sz w:val="18"/>
          <w:szCs w:val="18"/>
          <w:color w:val="auto"/>
        </w:rPr>
        <w:t>” means the incentive equity plan adopted by Rezolve;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means Rezolve Merger Sub, Inc., a Delaware corporation;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Options</w:t>
      </w:r>
      <w:r>
        <w:rPr>
          <w:rFonts w:ascii="Times New Roman" w:cs="Times New Roman" w:eastAsia="Times New Roman" w:hAnsi="Times New Roman"/>
          <w:sz w:val="18"/>
          <w:szCs w:val="18"/>
          <w:color w:val="auto"/>
        </w:rPr>
        <w:t>” means options to subscribe for Ordinary Shares;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F-1;</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Armada Sponsor LLC;</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72" w:lineRule="exact"/>
        <w:rPr>
          <w:sz w:val="20"/>
          <w:szCs w:val="20"/>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72" w:lineRule="exact"/>
        <w:rPr>
          <w:sz w:val="20"/>
          <w:szCs w:val="20"/>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transactions with Armada;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our business;</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 following the consummation of the Business Combination and the transactions contemplated thereby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or other hostilities;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11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Armada and Rezolve undertake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 w:name="page9"/>
    <w:bookmarkEnd w:id="8"/>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-127000</wp:posOffset>
            </wp:positionV>
            <wp:extent cx="7136130" cy="6398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6398895"/>
                    </a:xfrm>
                    <a:prstGeom prst="rect">
                      <a:avLst/>
                    </a:prstGeom>
                    <a:noFill/>
                  </pic:spPr>
                </pic:pic>
              </a:graphicData>
            </a:graphic>
          </wp:anchor>
        </w:drawing>
      </w:r>
    </w:p>
    <w:p>
      <w:pPr>
        <w:spacing w:after="0" w:line="167" w:lineRule="exact"/>
        <w:rPr>
          <w:sz w:val="20"/>
          <w:szCs w:val="20"/>
          <w:color w:val="auto"/>
        </w:rPr>
      </w:pPr>
    </w:p>
    <w:p>
      <w:pPr>
        <w:ind w:left="2" w:right="120" w:firstLine="505"/>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 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 or Warrants.</w:t>
      </w:r>
    </w:p>
    <w:p>
      <w:pPr>
        <w:spacing w:after="0" w:line="28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left="2" w:right="40" w:firstLine="505"/>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left="2" w:right="40" w:firstLine="742"/>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left="2" w:firstLine="505"/>
        <w:spacing w:after="0" w:line="277" w:lineRule="auto"/>
        <w:rPr>
          <w:sz w:val="20"/>
          <w:szCs w:val="20"/>
          <w:color w:val="auto"/>
        </w:rPr>
      </w:pPr>
      <w:r>
        <w:rPr>
          <w:rFonts w:ascii="Times New Roman" w:cs="Times New Roman" w:eastAsia="Times New Roman" w:hAnsi="Times New Roman"/>
          <w:sz w:val="17"/>
          <w:szCs w:val="17"/>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7"/>
          <w:szCs w:val="17"/>
          <w:i w:val="1"/>
          <w:iCs w:val="1"/>
          <w:color w:val="auto"/>
        </w:rPr>
        <w:t>Business of Rezolve—Partner Agreements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2" w:right="120" w:firstLine="505"/>
        <w:spacing w:after="0" w:line="261"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80" w:lineRule="exact"/>
        <w:rPr>
          <w:sz w:val="20"/>
          <w:szCs w:val="20"/>
          <w:color w:val="auto"/>
        </w:rPr>
      </w:pPr>
    </w:p>
    <w:p>
      <w:pPr>
        <w:ind w:left="2" w:right="400" w:firstLine="505"/>
        <w:spacing w:after="0" w:line="282" w:lineRule="auto"/>
        <w:rPr>
          <w:sz w:val="20"/>
          <w:szCs w:val="20"/>
          <w:color w:val="auto"/>
        </w:rPr>
      </w:pPr>
      <w:r>
        <w:rPr>
          <w:rFonts w:ascii="Times New Roman" w:cs="Times New Roman" w:eastAsia="Times New Roman" w:hAnsi="Times New Roman"/>
          <w:sz w:val="18"/>
          <w:szCs w:val="18"/>
          <w:color w:val="auto"/>
        </w:rPr>
        <w:t>The mailing address of Rezolve’s registered office is 5 New Street Square, London, United Kingdom, EC4A 3TW and its principal executive office is 21 Sackville Street, London, United Kingdom, W1S 3DN.</w:t>
      </w:r>
    </w:p>
    <w:p>
      <w:pPr>
        <w:spacing w:after="0" w:line="148" w:lineRule="exact"/>
        <w:rPr>
          <w:sz w:val="20"/>
          <w:szCs w:val="20"/>
          <w:color w:val="auto"/>
        </w:rPr>
      </w:pPr>
    </w:p>
    <w:p>
      <w:pPr>
        <w:ind w:left="2" w:right="320" w:hanging="2"/>
        <w:spacing w:after="0" w:line="223" w:lineRule="auto"/>
        <w:tabs>
          <w:tab w:leader="none" w:pos="107"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200" w:lineRule="exact"/>
        <w:rPr>
          <w:sz w:val="20"/>
          <w:szCs w:val="20"/>
          <w:color w:val="auto"/>
        </w:rPr>
      </w:pPr>
    </w:p>
    <w:p>
      <w:pPr>
        <w:spacing w:after="0" w:line="26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2"/>
          </w:cols>
          <w:pgMar w:left="378" w:top="995"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307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307580"/>
                    </a:xfrm>
                    <a:prstGeom prst="rect">
                      <a:avLst/>
                    </a:prstGeom>
                    <a:noFill/>
                  </pic:spPr>
                </pic:pic>
              </a:graphicData>
            </a:graphic>
          </wp:anchor>
        </w:drawing>
        <w:t>Background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the Closing Date, we consummated the previously announced Business Combination with Armada.</w:t>
      </w:r>
    </w:p>
    <w:p>
      <w:pPr>
        <w:spacing w:after="0" w:line="225" w:lineRule="exact"/>
        <w:rPr>
          <w:sz w:val="20"/>
          <w:szCs w:val="20"/>
          <w:color w:val="auto"/>
        </w:rPr>
      </w:pPr>
    </w:p>
    <w:p>
      <w:pPr>
        <w:ind w:right="80" w:firstLine="505"/>
        <w:spacing w:after="0" w:line="256" w:lineRule="auto"/>
        <w:rPr>
          <w:sz w:val="20"/>
          <w:szCs w:val="20"/>
          <w:color w:val="auto"/>
        </w:rPr>
      </w:pPr>
      <w:r>
        <w:rPr>
          <w:rFonts w:ascii="Times New Roman" w:cs="Times New Roman" w:eastAsia="Times New Roman" w:hAnsi="Times New Roman"/>
          <w:sz w:val="18"/>
          <w:szCs w:val="18"/>
          <w:color w:val="auto"/>
        </w:rPr>
        <w:t>On July 4, 2024, prior to the Closing Date, Rezolve Limited effected the Pre-Closing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187" w:lineRule="exact"/>
        <w:rPr>
          <w:sz w:val="20"/>
          <w:szCs w:val="20"/>
          <w:color w:val="auto"/>
        </w:rPr>
      </w:pPr>
    </w:p>
    <w:p>
      <w:pPr>
        <w:ind w:right="40" w:firstLine="505"/>
        <w:spacing w:after="0" w:line="256" w:lineRule="auto"/>
        <w:rPr>
          <w:sz w:val="20"/>
          <w:szCs w:val="20"/>
          <w:color w:val="auto"/>
        </w:rPr>
      </w:pPr>
      <w:r>
        <w:rPr>
          <w:rFonts w:ascii="Times New Roman" w:cs="Times New Roman" w:eastAsia="Times New Roman" w:hAnsi="Times New Roman"/>
          <w:sz w:val="18"/>
          <w:szCs w:val="18"/>
          <w:color w:val="auto"/>
        </w:rPr>
        <w:t>Pursuant to 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spacing w:after="0" w:line="214" w:lineRule="exact"/>
        <w:rPr>
          <w:sz w:val="20"/>
          <w:szCs w:val="20"/>
          <w:color w:val="auto"/>
        </w:rPr>
      </w:pPr>
    </w:p>
    <w:p>
      <w:pPr>
        <w:jc w:val="both"/>
        <w:ind w:right="280" w:firstLine="505"/>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Restrictions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right="120" w:firstLine="505"/>
        <w:spacing w:after="0" w:line="266"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Pursuant to the terms of the Investor Rights Agreement, the Holders are entitled to certain piggyback registration rights and customary registration rights.</w:t>
      </w:r>
    </w:p>
    <w:p>
      <w:pPr>
        <w:spacing w:after="0" w:line="176" w:lineRule="exact"/>
        <w:rPr>
          <w:sz w:val="20"/>
          <w:szCs w:val="20"/>
          <w:color w:val="auto"/>
        </w:rPr>
      </w:pPr>
    </w:p>
    <w:p>
      <w:pPr>
        <w:ind w:right="40" w:firstLine="505"/>
        <w:spacing w:after="0" w:line="261" w:lineRule="auto"/>
        <w:rPr>
          <w:sz w:val="20"/>
          <w:szCs w:val="20"/>
          <w:color w:val="auto"/>
        </w:rPr>
      </w:pPr>
      <w:r>
        <w:rPr>
          <w:rFonts w:ascii="Times New Roman" w:cs="Times New Roman" w:eastAsia="Times New Roman" w:hAnsi="Times New Roman"/>
          <w:sz w:val="18"/>
          <w:szCs w:val="18"/>
          <w:color w:val="auto"/>
        </w:rPr>
        <w:t>Pursuant to terms of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such as a member of a person’s immediate family or to a trust, the beneficiary of which is a member of a person’s immediate family or an affiliate of such person.</w:t>
      </w: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firstLine="505"/>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Upon the closing of the Pre-Closing Demerger, the Loan Note Instrument was novated to Rezolve and was secured by a debenture over the assets of Rezolve. As of December 5, 2024, there was outstanding an aggregate amount of approximately $49 million of Convertible Notes outstanding under the Loan Note Instrument.</w:t>
      </w:r>
    </w:p>
    <w:p>
      <w:pPr>
        <w:spacing w:after="0" w:line="183" w:lineRule="exact"/>
        <w:rPr>
          <w:sz w:val="20"/>
          <w:szCs w:val="20"/>
          <w:color w:val="auto"/>
        </w:rPr>
      </w:pPr>
    </w:p>
    <w:p>
      <w:pPr>
        <w:ind w:right="460" w:firstLine="742"/>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62" w:lineRule="exact"/>
        <w:rPr>
          <w:sz w:val="20"/>
          <w:szCs w:val="20"/>
          <w:color w:val="auto"/>
        </w:rPr>
      </w:pPr>
    </w:p>
    <w:p>
      <w:pPr>
        <w:ind w:right="40" w:firstLine="742"/>
        <w:spacing w:after="0" w:line="281" w:lineRule="auto"/>
        <w:rPr>
          <w:sz w:val="20"/>
          <w:szCs w:val="20"/>
          <w:color w:val="auto"/>
        </w:rPr>
      </w:pPr>
      <w:r>
        <w:rPr>
          <w:rFonts w:ascii="Times New Roman" w:cs="Times New Roman" w:eastAsia="Times New Roman" w:hAnsi="Times New Roman"/>
          <w:sz w:val="17"/>
          <w:szCs w:val="17"/>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to amend the Loan Note Instrument (the “</w:t>
      </w:r>
      <w:r>
        <w:rPr>
          <w:rFonts w:ascii="Times New Roman" w:cs="Times New Roman" w:eastAsia="Times New Roman" w:hAnsi="Times New Roman"/>
          <w:sz w:val="17"/>
          <w:szCs w:val="17"/>
          <w:b w:val="1"/>
          <w:bCs w:val="1"/>
          <w:i w:val="1"/>
          <w:iCs w:val="1"/>
          <w:color w:val="auto"/>
        </w:rPr>
        <w:t>Amendment</w:t>
      </w:r>
      <w:r>
        <w:rPr>
          <w:rFonts w:ascii="Times New Roman" w:cs="Times New Roman" w:eastAsia="Times New Roman" w:hAnsi="Times New Roman"/>
          <w:sz w:val="17"/>
          <w:szCs w:val="17"/>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319" w:right="399" w:bottom="1440" w:gutter="0" w:footer="0" w:header="0"/>
        </w:sectPr>
      </w:pPr>
    </w:p>
    <w:bookmarkStart w:id="10" w:name="page11"/>
    <w:bookmarkEnd w:id="10"/>
    <w:p>
      <w:pPr>
        <w:ind w:right="400" w:firstLine="742"/>
        <w:spacing w:after="0" w:line="282" w:lineRule="auto"/>
        <w:rPr>
          <w:sz w:val="20"/>
          <w:szCs w:val="20"/>
          <w:color w:val="auto"/>
        </w:rPr>
      </w:pPr>
      <w:r>
        <w:rPr>
          <w:rFonts w:ascii="Times New Roman" w:cs="Times New Roman" w:eastAsia="Times New Roman" w:hAnsi="Times New Roman"/>
          <w:sz w:val="18"/>
          <w:szCs w:val="18"/>
          <w:color w:val="auto"/>
        </w:rPr>
        <w:t>In December 2024, all of the remaining Convertible Note holders elected to convert. As of the date hereof, no amount remains outstanding under the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-307340</wp:posOffset>
            </wp:positionV>
            <wp:extent cx="7136130" cy="7324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324725"/>
                    </a:xfrm>
                    <a:prstGeom prst="rect">
                      <a:avLst/>
                    </a:prstGeom>
                    <a:noFill/>
                  </pic:spPr>
                </pic:pic>
              </a:graphicData>
            </a:graphic>
          </wp:anchor>
        </w:drawing>
      </w: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Promissory Note and Capital Commitment</w:t>
      </w:r>
    </w:p>
    <w:p>
      <w:pPr>
        <w:spacing w:after="0" w:line="117" w:lineRule="exact"/>
        <w:rPr>
          <w:sz w:val="20"/>
          <w:szCs w:val="20"/>
          <w:color w:val="auto"/>
        </w:rPr>
      </w:pPr>
    </w:p>
    <w:p>
      <w:pPr>
        <w:ind w:right="60" w:firstLine="505"/>
        <w:spacing w:after="0" w:line="256" w:lineRule="auto"/>
        <w:rPr>
          <w:sz w:val="20"/>
          <w:szCs w:val="20"/>
          <w:color w:val="auto"/>
        </w:rPr>
      </w:pPr>
      <w:r>
        <w:rPr>
          <w:rFonts w:ascii="Times New Roman" w:cs="Times New Roman" w:eastAsia="Times New Roman" w:hAnsi="Times New Roman"/>
          <w:sz w:val="18"/>
          <w:szCs w:val="18"/>
          <w:color w:val="212529"/>
        </w:rPr>
        <w:t>On February 23, 2023, Rezolve Limited entered into a $250 million standby equity purchase agreement with YA II PN, LTD (“</w:t>
      </w:r>
      <w:r>
        <w:rPr>
          <w:rFonts w:ascii="Times New Roman" w:cs="Times New Roman" w:eastAsia="Times New Roman" w:hAnsi="Times New Roman"/>
          <w:sz w:val="18"/>
          <w:szCs w:val="18"/>
          <w:b w:val="1"/>
          <w:bCs w:val="1"/>
          <w:i w:val="1"/>
          <w:iCs w:val="1"/>
          <w:color w:val="212529"/>
        </w:rPr>
        <w:t>YA</w:t>
      </w:r>
      <w:r>
        <w:rPr>
          <w:rFonts w:ascii="Times New Roman" w:cs="Times New Roman" w:eastAsia="Times New Roman" w:hAnsi="Times New Roman"/>
          <w:sz w:val="18"/>
          <w:szCs w:val="18"/>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8"/>
          <w:szCs w:val="18"/>
          <w:b w:val="1"/>
          <w:bCs w:val="1"/>
          <w:i w:val="1"/>
          <w:iCs w:val="1"/>
          <w:color w:val="212529"/>
        </w:rPr>
        <w:t>YA Agreement</w:t>
      </w:r>
      <w:r>
        <w:rPr>
          <w:rFonts w:ascii="Times New Roman" w:cs="Times New Roman" w:eastAsia="Times New Roman" w:hAnsi="Times New Roman"/>
          <w:sz w:val="18"/>
          <w:szCs w:val="18"/>
          <w:color w:val="212529"/>
        </w:rPr>
        <w:t>”). Pursuant to the YA Agreement, Rezolve has the right to sell to YA up to $250,000,000 Ordinary Shares, subject to certain limitations and conditions set forth in the YA Agreement, from time to time during the term of the YA Agreement. In connection with the amendment and restatement of the YA Agreement, on February 2, 2024, Rezolve Limited and Rezolve issued a convertible note with a total principal amount of $2.5 million (the “</w:t>
      </w:r>
      <w:r>
        <w:rPr>
          <w:rFonts w:ascii="Times New Roman" w:cs="Times New Roman" w:eastAsia="Times New Roman" w:hAnsi="Times New Roman"/>
          <w:sz w:val="18"/>
          <w:szCs w:val="18"/>
          <w:b w:val="1"/>
          <w:bCs w:val="1"/>
          <w:i w:val="1"/>
          <w:iCs w:val="1"/>
          <w:color w:val="212529"/>
        </w:rPr>
        <w:t>YA Note</w:t>
      </w:r>
      <w:r>
        <w:rPr>
          <w:rFonts w:ascii="Times New Roman" w:cs="Times New Roman" w:eastAsia="Times New Roman" w:hAnsi="Times New Roman"/>
          <w:sz w:val="18"/>
          <w:szCs w:val="18"/>
          <w:color w:val="212529"/>
        </w:rPr>
        <w:t>”) to YA, pursuant to the terms of a convertible promissory note instrument entered into by Rezolve Limited and Rezolve (“</w:t>
      </w:r>
      <w:r>
        <w:rPr>
          <w:rFonts w:ascii="Times New Roman" w:cs="Times New Roman" w:eastAsia="Times New Roman" w:hAnsi="Times New Roman"/>
          <w:sz w:val="18"/>
          <w:szCs w:val="18"/>
          <w:b w:val="1"/>
          <w:bCs w:val="1"/>
          <w:i w:val="1"/>
          <w:iCs w:val="1"/>
          <w:color w:val="212529"/>
        </w:rPr>
        <w:t>YA Note Instrument</w:t>
      </w:r>
      <w:r>
        <w:rPr>
          <w:rFonts w:ascii="Times New Roman" w:cs="Times New Roman" w:eastAsia="Times New Roman" w:hAnsi="Times New Roman"/>
          <w:sz w:val="18"/>
          <w:szCs w:val="18"/>
          <w:color w:val="212529"/>
        </w:rPr>
        <w:t>”).</w:t>
      </w:r>
    </w:p>
    <w:p>
      <w:pPr>
        <w:spacing w:after="0" w:line="75" w:lineRule="exact"/>
        <w:rPr>
          <w:sz w:val="20"/>
          <w:szCs w:val="20"/>
          <w:color w:val="auto"/>
        </w:rPr>
      </w:pPr>
    </w:p>
    <w:p>
      <w:pPr>
        <w:ind w:right="240" w:firstLine="742"/>
        <w:spacing w:after="0" w:line="256" w:lineRule="auto"/>
        <w:rPr>
          <w:sz w:val="20"/>
          <w:szCs w:val="20"/>
          <w:color w:val="auto"/>
        </w:rPr>
      </w:pPr>
      <w:r>
        <w:rPr>
          <w:rFonts w:ascii="Times New Roman" w:cs="Times New Roman" w:eastAsia="Times New Roman" w:hAnsi="Times New Roman"/>
          <w:sz w:val="18"/>
          <w:szCs w:val="18"/>
          <w:color w:val="auto"/>
        </w:rPr>
        <w:t>On September 6, 2024, YA and Rezolve amended and restated the YA Agreement (the “</w:t>
      </w:r>
      <w:r>
        <w:rPr>
          <w:rFonts w:ascii="Times New Roman" w:cs="Times New Roman" w:eastAsia="Times New Roman" w:hAnsi="Times New Roman"/>
          <w:sz w:val="18"/>
          <w:szCs w:val="18"/>
          <w:b w:val="1"/>
          <w:bCs w:val="1"/>
          <w:i w:val="1"/>
          <w:iCs w:val="1"/>
          <w:color w:val="auto"/>
        </w:rPr>
        <w:t>Second A&amp;R YA Agreement</w:t>
      </w:r>
      <w:r>
        <w:rPr>
          <w:rFonts w:ascii="Times New Roman" w:cs="Times New Roman" w:eastAsia="Times New Roman" w:hAnsi="Times New Roman"/>
          <w:sz w:val="18"/>
          <w:szCs w:val="18"/>
          <w:color w:val="auto"/>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79" w:lineRule="exact"/>
        <w:rPr>
          <w:sz w:val="20"/>
          <w:szCs w:val="20"/>
          <w:color w:val="auto"/>
        </w:rPr>
      </w:pPr>
    </w:p>
    <w:p>
      <w:pPr>
        <w:ind w:right="280" w:firstLine="742"/>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auto"/>
        </w:rPr>
        <w:t>YA Note Amendment</w:t>
      </w:r>
      <w:r>
        <w:rPr>
          <w:rFonts w:ascii="Times New Roman" w:cs="Times New Roman" w:eastAsia="Times New Roman" w:hAnsi="Times New Roman"/>
          <w:sz w:val="18"/>
          <w:szCs w:val="18"/>
          <w:color w:val="auto"/>
        </w:rPr>
        <w:t>” and the YA Note, as amended by the YA Note Amendment, the “</w:t>
      </w:r>
      <w:r>
        <w:rPr>
          <w:rFonts w:ascii="Times New Roman" w:cs="Times New Roman" w:eastAsia="Times New Roman" w:hAnsi="Times New Roman"/>
          <w:sz w:val="18"/>
          <w:szCs w:val="18"/>
          <w:b w:val="1"/>
          <w:bCs w:val="1"/>
          <w:i w:val="1"/>
          <w:iCs w:val="1"/>
          <w:color w:val="auto"/>
        </w:rPr>
        <w:t>Amended YA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Note</w:t>
      </w:r>
      <w:r>
        <w:rPr>
          <w:rFonts w:ascii="Times New Roman" w:cs="Times New Roman" w:eastAsia="Times New Roman" w:hAnsi="Times New Roman"/>
          <w:sz w:val="18"/>
          <w:szCs w:val="18"/>
          <w:color w:val="auto"/>
        </w:rPr>
        <w:t>”) whereby certain terms of the YA Note were amended. In particular, the YA Note Amendment extended the Maturity Date of the YA Note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75" w:lineRule="exact"/>
        <w:rPr>
          <w:sz w:val="20"/>
          <w:szCs w:val="20"/>
          <w:color w:val="auto"/>
        </w:rPr>
      </w:pPr>
    </w:p>
    <w:p>
      <w:pPr>
        <w:ind w:right="40" w:firstLine="742"/>
        <w:spacing w:after="0" w:line="258" w:lineRule="auto"/>
        <w:rPr>
          <w:sz w:val="20"/>
          <w:szCs w:val="20"/>
          <w:color w:val="auto"/>
        </w:rPr>
      </w:pPr>
      <w:r>
        <w:rPr>
          <w:rFonts w:ascii="Times New Roman" w:cs="Times New Roman" w:eastAsia="Times New Roman" w:hAnsi="Times New Roman"/>
          <w:sz w:val="18"/>
          <w:szCs w:val="18"/>
          <w:color w:val="auto"/>
        </w:rPr>
        <w:t>Also in connection with the Second A&amp;R YA Agreement, on September 9, 2024, Rezolve issued YA a promissory note in the principal amount of $5,000,000 (the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and together with the Amended YA Note and Second YA Note,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firstLine="742"/>
        <w:spacing w:after="0" w:line="266" w:lineRule="auto"/>
        <w:rPr>
          <w:sz w:val="20"/>
          <w:szCs w:val="20"/>
          <w:color w:val="auto"/>
        </w:rPr>
      </w:pPr>
      <w:r>
        <w:rPr>
          <w:rFonts w:ascii="Times New Roman" w:cs="Times New Roman" w:eastAsia="Times New Roman" w:hAnsi="Times New Roman"/>
          <w:sz w:val="18"/>
          <w:szCs w:val="18"/>
          <w:color w:val="auto"/>
        </w:rPr>
        <w:t>As of December 30, 2024, the Company satisfied all of the the principal and interest outstanding under the YA Notes. In connection therewith, the Company issued an aggregate of 5,724,154 Ordinary Shares (including in payment of a fee to YA). As of the date hereof, no amount remains outstanding under the YA Notes.</w:t>
      </w:r>
    </w:p>
    <w:p>
      <w:pPr>
        <w:spacing w:after="0" w:line="392" w:lineRule="exact"/>
        <w:rPr>
          <w:sz w:val="20"/>
          <w:szCs w:val="20"/>
          <w:color w:val="auto"/>
        </w:rPr>
      </w:pPr>
    </w:p>
    <w:p>
      <w:pPr>
        <w:ind w:firstLine="731"/>
        <w:spacing w:after="0" w:line="252" w:lineRule="auto"/>
        <w:rPr>
          <w:sz w:val="20"/>
          <w:szCs w:val="20"/>
          <w:color w:val="auto"/>
        </w:rPr>
      </w:pPr>
      <w:r>
        <w:rPr>
          <w:rFonts w:ascii="Times New Roman" w:cs="Times New Roman" w:eastAsia="Times New Roman" w:hAnsi="Times New Roman"/>
          <w:sz w:val="18"/>
          <w:szCs w:val="18"/>
          <w:color w:val="auto"/>
        </w:rPr>
        <w:t>Pursuant to the Second A&amp;R YA Agreement, we have the right to sell to YA up to $250 million ordinary shares of Rezolve, subject to certain limitations and conditions set forth in the Second A&amp;R YA Agreement, from time to time during the term of the Second A&amp;R YA Agreement. Sales of ordinary shares YA under the Second A&amp;R YA Agreement, and the timing of any such sales, are at our option, and we are under no obligation to sell any securities to YA under the Second A&amp;R YA Agreement. In accordance with our obligations under the Second A&amp;R YA Agreement, we have filed the registration statement of which this prospectus forms a part with the Securities and Exchange Commission (the “SEC”) to register under the Securities Act the resale by YA of up to 48,534,860 ordinary shares that we may elect, in our sole discretion, to issue and sell to YA, from time to time under the Second A&amp;R YA Agreement. From time to time at our discretion until August 23, 2027, upon the satisfaction of the conditions to YA’s purchase obligation set forth in the Second A&amp;R YA Agreement, including that the registration statement of which this prospectus forms a part be declared effective by the SEC and the final form of this prospectus is filed with the SEC, we will have the right, but not the obligation to direct YA to purchase a specified number of ordinary shares (each such sale, an “Advance”) by delivering written notice to YA (each, an “Advance Notice”). While there is no mandatory minimum amount for any Advance, it may not to exceed the greater of (i) 2,000,000; or (ii) 100.0% of the average of the daily trading volume of the ordinary shares on the five consecutive trading days immediately preceding an Advance Notice. The per share purchase price for the ordinary shares, if any, that we elect to sell to YA in an Advance pursuant to the Second A&amp;R YA Agreement will be determined by reference to the volume weighted average price of our ordinary shares (the “VWAP”) and calculated in accordance with the Second A&amp;R YA Agreement; provided, however, that the Company may establish a minimum acceptable price in certain Advance Notices, as specified in the Second A&amp;R YA Agreement, below which it shall not be obligated to make any sales to YA. There is no upper limit on the price per share that YA could be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99" w:right="399" w:bottom="144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18"/>
          <w:szCs w:val="18"/>
          <w:color w:val="auto"/>
        </w:rPr>
        <w:t>obligated to pay for the ordinary shares we may elect to sell to it in any Advance. We will control the timing and amount of any sales of ordinary shares to YA. Actual sales of shares of our ordinary shares to YA under the Second A&amp;R YA Agreement will depend on a variety of factors to be determined by us from time to time, which may include, among other things, market conditions, the trading price of our ordinary shares, and determinations by us as to the appropriate sources of funding for our business and its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-570230</wp:posOffset>
            </wp:positionV>
            <wp:extent cx="7136130" cy="7359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359015"/>
                    </a:xfrm>
                    <a:prstGeom prst="rect">
                      <a:avLst/>
                    </a:prstGeom>
                    <a:noFill/>
                  </pic:spPr>
                </pic:pic>
              </a:graphicData>
            </a:graphic>
          </wp:anchor>
        </w:drawing>
      </w:r>
    </w:p>
    <w:p>
      <w:pPr>
        <w:spacing w:after="0" w:line="106" w:lineRule="exact"/>
        <w:rPr>
          <w:sz w:val="20"/>
          <w:szCs w:val="20"/>
          <w:color w:val="auto"/>
        </w:rPr>
      </w:pPr>
    </w:p>
    <w:p>
      <w:pPr>
        <w:ind w:right="20" w:firstLine="742"/>
        <w:spacing w:after="0" w:line="253" w:lineRule="auto"/>
        <w:rPr>
          <w:sz w:val="20"/>
          <w:szCs w:val="20"/>
          <w:color w:val="auto"/>
        </w:rPr>
      </w:pPr>
      <w:r>
        <w:rPr>
          <w:rFonts w:ascii="Times New Roman" w:cs="Times New Roman" w:eastAsia="Times New Roman" w:hAnsi="Times New Roman"/>
          <w:sz w:val="18"/>
          <w:szCs w:val="18"/>
          <w:color w:val="auto"/>
        </w:rPr>
        <w:t xml:space="preserve">Under the applicable rules of The Nasdaq Stock Market LLC (“Nasdaq”), in no event may we issue to YA under the Second A&amp;R YA Agreement more than </w:t>
      </w:r>
      <w:r>
        <w:rPr>
          <w:rFonts w:ascii="Times New Roman" w:cs="Times New Roman" w:eastAsia="Times New Roman" w:hAnsi="Times New Roman"/>
          <w:sz w:val="18"/>
          <w:szCs w:val="18"/>
          <w:color w:val="212529"/>
        </w:rPr>
        <w:t>34,419,336 ordinary shares</w:t>
      </w:r>
      <w:r>
        <w:rPr>
          <w:rFonts w:ascii="Times New Roman" w:cs="Times New Roman" w:eastAsia="Times New Roman" w:hAnsi="Times New Roman"/>
          <w:sz w:val="18"/>
          <w:szCs w:val="18"/>
          <w:color w:val="auto"/>
        </w:rPr>
        <w:t xml:space="preserve">, which number of shares is equal to 19.99% of the aggregate number of shares of ordinary shares issued and outstanding </w:t>
      </w:r>
      <w:r>
        <w:rPr>
          <w:rFonts w:ascii="Times New Roman" w:cs="Times New Roman" w:eastAsia="Times New Roman" w:hAnsi="Times New Roman"/>
          <w:sz w:val="18"/>
          <w:szCs w:val="18"/>
          <w:color w:val="212529"/>
        </w:rPr>
        <w:t>as of the "Effective Date", as such term is defined in the Second A&amp;R YA Agreement</w:t>
      </w:r>
      <w:r>
        <w:rPr>
          <w:rFonts w:ascii="Times New Roman" w:cs="Times New Roman" w:eastAsia="Times New Roman" w:hAnsi="Times New Roman"/>
          <w:sz w:val="18"/>
          <w:szCs w:val="18"/>
          <w:color w:val="auto"/>
        </w:rPr>
        <w:t xml:space="preserve"> (the “Exchange Cap”), unless (i) we obtain stockholder approval to issue ordinary shares in excess of the Exchange Cap in accordance with applicable Nasdaq rules, (ii) all applicable sales of ordinary shares under the Second A&amp;R YA Agreement equal or exceed the “Minimum Price” (as such term is defined in Nasdaq Rule 5635), or (iii) as to any Advance, the issuance of ordinary shares pursuant to an Advance Notice would be excluded from the Exchange Cap under Nasdaq rules (or interpretive guidance provided by Nasdaq with respect thereto). Moreover, we may not issue or sell any ordinary shares to YA under the Second A&amp;R YA Agreement which, when aggregated with all other ordinary shares then beneficially owned by YA and its affiliates (as calculated pursuant to Section 13(d) of the U.S. Securities Exchange Act of 1934, as amended (the “Exchange Act”), and Rule 13d-3 promulgated thereunder), would result in YA beneficially owning more than 4.99% of the outstanding voting power or number of ordinary shares (the “Ownership Limitation”).</w:t>
      </w:r>
    </w:p>
    <w:p>
      <w:pPr>
        <w:spacing w:after="0" w:line="140" w:lineRule="exact"/>
        <w:rPr>
          <w:sz w:val="20"/>
          <w:szCs w:val="20"/>
          <w:color w:val="auto"/>
        </w:rPr>
      </w:pPr>
    </w:p>
    <w:p>
      <w:pPr>
        <w:ind w:right="160" w:firstLine="742"/>
        <w:spacing w:after="0" w:line="255" w:lineRule="auto"/>
        <w:rPr>
          <w:sz w:val="20"/>
          <w:szCs w:val="20"/>
          <w:color w:val="auto"/>
        </w:rPr>
      </w:pPr>
      <w:r>
        <w:rPr>
          <w:rFonts w:ascii="Times New Roman" w:cs="Times New Roman" w:eastAsia="Times New Roman" w:hAnsi="Times New Roman"/>
          <w:sz w:val="18"/>
          <w:szCs w:val="18"/>
          <w:color w:val="auto"/>
        </w:rPr>
        <w:t>Pursuant to the terms of the Second A&amp;R YA Agreement, the Exchange Cap will not apply if the Company is permitted to follow its home country practices instead of the stockholder approval requirements of Nasdaq Rule 5635, and has made such election to follow home country practice in accordance with the Nasdaq Rules. On December 18, 2024, we notified Nasdaq that we intend to follow our home country practice in lieu of following Nasdaq rule Rule 5635, which requires that a listed company obtain shareholder approval prior to an issuance of securities in connection with: (i) the acquisition of the stock or assets of another company; (ii) equity-based compensation of officers, directors, employees or consultants; (iii) a change of control; and (iv) private placements of common stock (or securities convertible into or exercisable for common stock) equal to 20% or more of the common stock or 20% or more of the voting power outstanding before the issuance for less than the greater of book or market value of the stock.</w:t>
      </w:r>
    </w:p>
    <w:p>
      <w:pPr>
        <w:spacing w:after="0" w:line="189" w:lineRule="exact"/>
        <w:rPr>
          <w:sz w:val="20"/>
          <w:szCs w:val="20"/>
          <w:color w:val="auto"/>
        </w:rPr>
      </w:pPr>
    </w:p>
    <w:p>
      <w:pPr>
        <w:ind w:right="20" w:firstLine="742"/>
        <w:spacing w:after="0" w:line="253" w:lineRule="auto"/>
        <w:rPr>
          <w:sz w:val="20"/>
          <w:szCs w:val="20"/>
          <w:color w:val="auto"/>
        </w:rPr>
      </w:pPr>
      <w:r>
        <w:rPr>
          <w:rFonts w:ascii="Times New Roman" w:cs="Times New Roman" w:eastAsia="Times New Roman" w:hAnsi="Times New Roman"/>
          <w:sz w:val="18"/>
          <w:szCs w:val="18"/>
          <w:color w:val="auto"/>
        </w:rPr>
        <w:t>The net proceeds from sales, if any, under the Second A&amp;R YA Agreement to us will depend on the frequency and prices at which we sell shares to YA. We expect that any proceeds received by us from such sales to YA will be used for working capital and general corporate purposes, including the repayment of debt. YA has agreed that it and its affiliates will not engage in any short sales of the ordinary shares nor enter into any transaction that establishes a net short position in the ordinary shares during the term of the Second A&amp;R YA Agreement. The Second A&amp;R YA Agreement will automatically terminate on the earlier to occur of (i) August 23, 2027 and (ii) the date on which YA shall have purchased from us under the Second A&amp;R YA Agreement ordinary shares for an aggregate gross purchase price of $250 million. We have the right to terminate the Second A&amp;R YA Agreement at no cost or penalty upon five trading days’ prior written notice to YA; provided that there are no outstanding Advance Notices and all outstanding amounts the Company owes to YA pursuant to the Second A&amp;R YA Agreement are repaid. We and YA may also agree to terminate the Second A&amp;R YA Agreement by mutual written consent. Neither we nor YA may assign or transfer our respective rights and obligations under the Second A&amp;R YA Agreement, and no provision of the Second A&amp;R YA Agreement may be modified or waived by us or YA other than by an instrument in writing signed by both parties.</w:t>
      </w:r>
    </w:p>
    <w:p>
      <w:pPr>
        <w:spacing w:after="0" w:line="138" w:lineRule="exact"/>
        <w:rPr>
          <w:sz w:val="20"/>
          <w:szCs w:val="20"/>
          <w:color w:val="auto"/>
        </w:rPr>
      </w:pPr>
    </w:p>
    <w:p>
      <w:pPr>
        <w:jc w:val="both"/>
        <w:ind w:right="260" w:firstLine="742"/>
        <w:spacing w:after="0" w:line="266" w:lineRule="auto"/>
        <w:rPr>
          <w:sz w:val="20"/>
          <w:szCs w:val="20"/>
          <w:color w:val="auto"/>
        </w:rPr>
      </w:pPr>
      <w:r>
        <w:rPr>
          <w:rFonts w:ascii="Times New Roman" w:cs="Times New Roman" w:eastAsia="Times New Roman" w:hAnsi="Times New Roman"/>
          <w:sz w:val="18"/>
          <w:szCs w:val="18"/>
          <w:color w:val="auto"/>
        </w:rPr>
        <w:t>The Second A&amp;R YA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122" w:lineRule="exact"/>
        <w:rPr>
          <w:sz w:val="20"/>
          <w:szCs w:val="20"/>
          <w:color w:val="auto"/>
        </w:rPr>
      </w:pPr>
    </w:p>
    <w:p>
      <w:pPr>
        <w:ind w:right="280" w:firstLine="742"/>
        <w:spacing w:after="0" w:line="256" w:lineRule="auto"/>
        <w:rPr>
          <w:sz w:val="20"/>
          <w:szCs w:val="20"/>
          <w:color w:val="auto"/>
        </w:rPr>
      </w:pPr>
      <w:r>
        <w:rPr>
          <w:rFonts w:ascii="Times New Roman" w:cs="Times New Roman" w:eastAsia="Times New Roman" w:hAnsi="Times New Roman"/>
          <w:sz w:val="18"/>
          <w:szCs w:val="18"/>
          <w:color w:val="auto"/>
        </w:rPr>
        <w:t>We do not know what the purchase price for our ordinary shares will be and therefore cannot be certain as to the number of shares we might issue to YA under the Second A&amp;R YA Agreement. Although the Second A&amp;R YA Agreement provides that we may sell up to $250 million ordinary shares to YA, only 48,534,860 ordinary shares are being registered for resale by YA under the registration statement of which this prospectus forms a part, which may be issued to YA from time to time, if and when we elect to sell shares to YA under the Second A&amp;R YA Agreement. As of the date hereof, we have sold up to approximately $9.4 million of ordinary shares of the $250 million of ordinary shares issuable under the Second A&amp;R YA Agreement and up to approximately $240.6 of ordinary shares may still be sold to YA.</w:t>
      </w:r>
    </w:p>
    <w:p>
      <w:pPr>
        <w:spacing w:after="0" w:line="133" w:lineRule="exact"/>
        <w:rPr>
          <w:sz w:val="20"/>
          <w:szCs w:val="20"/>
          <w:color w:val="auto"/>
        </w:rPr>
      </w:pPr>
    </w:p>
    <w:p>
      <w:pPr>
        <w:ind w:firstLine="742"/>
        <w:spacing w:after="0" w:line="255" w:lineRule="auto"/>
        <w:rPr>
          <w:sz w:val="20"/>
          <w:szCs w:val="20"/>
          <w:color w:val="auto"/>
        </w:rPr>
      </w:pPr>
      <w:r>
        <w:rPr>
          <w:rFonts w:ascii="Times New Roman" w:cs="Times New Roman" w:eastAsia="Times New Roman" w:hAnsi="Times New Roman"/>
          <w:sz w:val="18"/>
          <w:szCs w:val="18"/>
          <w:color w:val="auto"/>
        </w:rPr>
        <w:t>If and when we elect to issue and sell shares to YA under the Second A&amp;R YA Agreement, we may need to register for resale under the Securities Act additional ordinary shares in order to receive aggregate gross proceeds equal to the $250 million available to us under the Second A&amp;R YA Agreement, depending on market prices for our ordinary shares. If all of the 48,534,860 shares offered by YA for resale under the registration statement of which this prospectus forms a part were issued and outstanding as of the date hereof (without taking into account the 4.99% Ownership Limitation or the 19.99% Exchange Cap limitation), such shares would represent approximately 23.3% of the total number of ordinary shares outstanding as of January 31, 2025. If we elect to issue and sell more than the 48,534,860 shares offered under this prospectus to YA, which we have the right, but not the obligation, to do,</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99" w:right="399" w:bottom="1440" w:gutter="0" w:footer="0" w:header="0"/>
        </w:sectPr>
      </w:pPr>
    </w:p>
    <w:bookmarkStart w:id="12" w:name="page13"/>
    <w:bookmarkEnd w:id="12"/>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must first register for resale under the Securities Act any such additional shares, which could cause substantial additional dilution to our stockholders. The number of shares ultimately offered for resale by YA is dependent upon the number of shares we may elect to sell to YA under the Second A&amp;R YA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-435610</wp:posOffset>
            </wp:positionV>
            <wp:extent cx="7136130" cy="7118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118985"/>
                    </a:xfrm>
                    <a:prstGeom prst="rect">
                      <a:avLst/>
                    </a:prstGeom>
                    <a:noFill/>
                  </pic:spPr>
                </pic:pic>
              </a:graphicData>
            </a:graphic>
          </wp:anchor>
        </w:drawing>
      </w:r>
    </w:p>
    <w:p>
      <w:pPr>
        <w:spacing w:after="0" w:line="102" w:lineRule="exact"/>
        <w:rPr>
          <w:sz w:val="20"/>
          <w:szCs w:val="20"/>
          <w:color w:val="auto"/>
        </w:rPr>
      </w:pPr>
    </w:p>
    <w:p>
      <w:pPr>
        <w:ind w:right="40" w:firstLine="742"/>
        <w:spacing w:after="0" w:line="256" w:lineRule="auto"/>
        <w:rPr>
          <w:sz w:val="20"/>
          <w:szCs w:val="20"/>
          <w:color w:val="auto"/>
        </w:rPr>
      </w:pPr>
      <w:r>
        <w:rPr>
          <w:rFonts w:ascii="Times New Roman" w:cs="Times New Roman" w:eastAsia="Times New Roman" w:hAnsi="Times New Roman"/>
          <w:sz w:val="18"/>
          <w:szCs w:val="18"/>
          <w:color w:val="auto"/>
        </w:rPr>
        <w:t>There are substantial risks to our shareholders as a result of the sale and issuance of ordinary shares to YA under the Second A&amp;R YA Agreement. These risks include the potential for substantial dilution and significant declines in our stock price. See the section entitled “Risk Factors— Risks Related to this Offering.” Issuances of our ordinary shares in this offering will not affect the rights or privileges of our existing shareholders, except that the economic and voting interests of each of our existing shareholders will be diluted as a result of any such issuance. Although the number of ordinary shares that our existing shareholders own will not decrease as a result of sales, if any, under the Second A&amp;R YA Agreement to YA, the shares owned by our existing shareholders will represent a smaller percentage of our total outstanding shares after any such issuance to YA.</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Lock-In Agreements</w:t>
      </w:r>
    </w:p>
    <w:p>
      <w:pPr>
        <w:spacing w:after="0" w:line="225" w:lineRule="exact"/>
        <w:rPr>
          <w:sz w:val="20"/>
          <w:szCs w:val="20"/>
          <w:color w:val="auto"/>
        </w:rPr>
      </w:pPr>
    </w:p>
    <w:p>
      <w:pPr>
        <w:ind w:right="60" w:firstLine="505"/>
        <w:spacing w:after="0" w:line="282" w:lineRule="auto"/>
        <w:rPr>
          <w:sz w:val="20"/>
          <w:szCs w:val="20"/>
          <w:color w:val="auto"/>
        </w:rPr>
      </w:pPr>
      <w:r>
        <w:rPr>
          <w:rFonts w:ascii="Times New Roman" w:cs="Times New Roman" w:eastAsia="Times New Roman" w:hAnsi="Times New Roman"/>
          <w:sz w:val="17"/>
          <w:szCs w:val="17"/>
          <w:color w:val="auto"/>
        </w:rPr>
        <w:t>At the Closing, the Company entered into separate Lock-In Agreements (the "</w:t>
      </w:r>
      <w:r>
        <w:rPr>
          <w:rFonts w:ascii="Times New Roman" w:cs="Times New Roman" w:eastAsia="Times New Roman" w:hAnsi="Times New Roman"/>
          <w:sz w:val="17"/>
          <w:szCs w:val="17"/>
          <w:b w:val="1"/>
          <w:bCs w:val="1"/>
          <w:i w:val="1"/>
          <w:iCs w:val="1"/>
          <w:color w:val="auto"/>
        </w:rPr>
        <w:t>Lock-In Agreements</w:t>
      </w:r>
      <w:r>
        <w:rPr>
          <w:rFonts w:ascii="Times New Roman" w:cs="Times New Roman" w:eastAsia="Times New Roman" w:hAnsi="Times New Roman"/>
          <w:sz w:val="17"/>
          <w:szCs w:val="17"/>
          <w:color w:val="auto"/>
        </w:rPr>
        <w:t>") with certain holders of the Company (such persons, the "</w:t>
      </w:r>
      <w:r>
        <w:rPr>
          <w:rFonts w:ascii="Times New Roman" w:cs="Times New Roman" w:eastAsia="Times New Roman" w:hAnsi="Times New Roman"/>
          <w:sz w:val="17"/>
          <w:szCs w:val="17"/>
          <w:b w:val="1"/>
          <w:bCs w:val="1"/>
          <w:i w:val="1"/>
          <w:iCs w:val="1"/>
          <w:color w:val="auto"/>
        </w:rPr>
        <w:t>Rezolve Holders</w:t>
      </w:r>
      <w:r>
        <w:rPr>
          <w:rFonts w:ascii="Times New Roman" w:cs="Times New Roman" w:eastAsia="Times New Roman" w:hAnsi="Times New Roman"/>
          <w:sz w:val="17"/>
          <w:szCs w:val="17"/>
          <w:color w:val="auto"/>
        </w:rPr>
        <w:t>"), pursuant to which the Ordinary Shares held by the Rezolve Holders will be locked-up and subject to transfer restrictions for 180 days following the Closing, subject to certain customary exceptions, including: (i) transfers to permitted transferees, such as a member of the person's immediate family or to a trust, the beneficiary of which is a member of the person's immediate family or an affiliate of such person.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00" w:lineRule="exact"/>
        <w:rPr>
          <w:sz w:val="20"/>
          <w:szCs w:val="20"/>
          <w:color w:val="auto"/>
        </w:rPr>
      </w:pPr>
    </w:p>
    <w:p>
      <w:pPr>
        <w:spacing w:after="0" w:line="353" w:lineRule="exact"/>
        <w:rPr>
          <w:sz w:val="20"/>
          <w:szCs w:val="20"/>
          <w:color w:val="auto"/>
        </w:rPr>
      </w:pPr>
    </w:p>
    <w:p>
      <w:pPr>
        <w:jc w:val="both"/>
        <w:ind w:firstLine="742"/>
        <w:spacing w:after="0" w:line="266" w:lineRule="auto"/>
        <w:rPr>
          <w:sz w:val="20"/>
          <w:szCs w:val="20"/>
          <w:color w:val="auto"/>
        </w:rPr>
      </w:pPr>
      <w:r>
        <w:rPr>
          <w:rFonts w:ascii="Times New Roman" w:cs="Times New Roman" w:eastAsia="Times New Roman" w:hAnsi="Times New Roman"/>
          <w:sz w:val="18"/>
          <w:szCs w:val="18"/>
          <w:color w:val="auto"/>
        </w:rPr>
        <w:t>The Company was incorporated under the laws of England and Wales with registration number 14573691 on January 5, 2023 under the name Rezolve Group Limited and changed its name to Rezolve AI Limited on June 6, 2023. The Company intends to alter its legal status under English law from a private limited company and to re-register as a public limited company and change its name from Rezolve AI Limited to Rezolve AI PLC.</w:t>
      </w:r>
    </w:p>
    <w:p>
      <w:pPr>
        <w:spacing w:after="0" w:line="176" w:lineRule="exact"/>
        <w:rPr>
          <w:sz w:val="20"/>
          <w:szCs w:val="20"/>
          <w:color w:val="auto"/>
        </w:rPr>
      </w:pPr>
    </w:p>
    <w:p>
      <w:pPr>
        <w:ind w:right="20" w:firstLine="505"/>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Our registered office is at 5 New Street Square London EC4A 3TW and our principal executive office is 21 Sackville Street, London, United Kingdom, W1S 3DN. Our register of members is kept at our registered office.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20" w:firstLine="505"/>
        <w:spacing w:after="0" w:line="277" w:lineRule="auto"/>
        <w:rPr>
          <w:sz w:val="20"/>
          <w:szCs w:val="20"/>
          <w:color w:val="auto"/>
        </w:rPr>
      </w:pPr>
      <w:r>
        <w:rPr>
          <w:rFonts w:ascii="Times New Roman" w:cs="Times New Roman" w:eastAsia="Times New Roman" w:hAnsi="Times New Roman"/>
          <w:sz w:val="17"/>
          <w:szCs w:val="17"/>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68" w:lineRule="exact"/>
        <w:rPr>
          <w:sz w:val="20"/>
          <w:szCs w:val="20"/>
          <w:color w:val="auto"/>
        </w:rPr>
      </w:pPr>
    </w:p>
    <w:p>
      <w:pPr>
        <w:ind w:firstLine="505"/>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ind w:right="60" w:firstLine="505"/>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99" w:right="399" w:bottom="1440" w:gutter="0" w:footer="0" w:header="0"/>
        </w:sectPr>
      </w:pPr>
    </w:p>
    <w:bookmarkStart w:id="13" w:name="page14"/>
    <w:bookmarkEnd w:id="13"/>
    <w:p>
      <w:pPr>
        <w:ind w:left="2"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427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427595"/>
                    </a:xfrm>
                    <a:prstGeom prst="rect">
                      <a:avLst/>
                    </a:prstGeom>
                    <a:noFill/>
                  </pic:spPr>
                </pic:pic>
              </a:graphicData>
            </a:graphic>
          </wp:anchor>
        </w:drawing>
        <w:t>billion in non-convertible debt during the prior three year period. References herein to “emerging growth company” shall have the meaning associated with it in the JOBS Act.</w:t>
      </w:r>
    </w:p>
    <w:p>
      <w:pPr>
        <w:spacing w:after="0" w:line="2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left="2" w:right="20" w:firstLine="505"/>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left="2" w:right="40" w:firstLine="505"/>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3" w:lineRule="exact"/>
        <w:rPr>
          <w:sz w:val="20"/>
          <w:szCs w:val="20"/>
          <w:color w:val="auto"/>
        </w:rPr>
      </w:pPr>
    </w:p>
    <w:p>
      <w:pPr>
        <w:ind w:left="2" w:right="200" w:firstLine="505"/>
        <w:spacing w:after="0" w:line="276" w:lineRule="auto"/>
        <w:rPr>
          <w:sz w:val="20"/>
          <w:szCs w:val="20"/>
          <w:color w:val="auto"/>
        </w:rPr>
      </w:pPr>
      <w:r>
        <w:rPr>
          <w:rFonts w:ascii="Times New Roman" w:cs="Times New Roman" w:eastAsia="Times New Roman" w:hAnsi="Times New Roman"/>
          <w:sz w:val="17"/>
          <w:szCs w:val="17"/>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w:t>
      </w:r>
    </w:p>
    <w:p>
      <w:pPr>
        <w:spacing w:after="0" w:line="1" w:lineRule="exact"/>
        <w:rPr>
          <w:sz w:val="20"/>
          <w:szCs w:val="20"/>
          <w:color w:val="auto"/>
        </w:rPr>
      </w:pPr>
    </w:p>
    <w:p>
      <w:pPr>
        <w:ind w:left="2" w:hanging="2"/>
        <w:spacing w:after="0" w:line="260" w:lineRule="auto"/>
        <w:tabs>
          <w:tab w:leader="none" w:pos="2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executive officers or directors are U.S. citizens or residents; (ii) more than 50% of our assets are located in the United States; or (iii) our business is administered principally in the United States.</w:t>
      </w:r>
    </w:p>
    <w:p>
      <w:pPr>
        <w:spacing w:after="0" w:line="181" w:lineRule="exact"/>
        <w:rPr>
          <w:sz w:val="20"/>
          <w:szCs w:val="20"/>
          <w:color w:val="auto"/>
        </w:rPr>
      </w:pPr>
    </w:p>
    <w:p>
      <w:pPr>
        <w:ind w:left="2" w:right="40" w:firstLine="505"/>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ind w:left="502"/>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2" w:right="120" w:firstLine="505"/>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176" w:lineRule="exact"/>
        <w:rPr>
          <w:sz w:val="20"/>
          <w:szCs w:val="20"/>
          <w:color w:val="auto"/>
        </w:rPr>
      </w:pPr>
    </w:p>
    <w:p>
      <w:pPr>
        <w:ind w:left="2" w:right="280" w:firstLine="505"/>
        <w:spacing w:after="0" w:line="282" w:lineRule="auto"/>
        <w:rPr>
          <w:sz w:val="20"/>
          <w:szCs w:val="20"/>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4" w:lineRule="exact"/>
        <w:rPr>
          <w:sz w:val="20"/>
          <w:szCs w:val="20"/>
          <w:color w:val="auto"/>
        </w:rPr>
      </w:pPr>
    </w:p>
    <w:p>
      <w:pPr>
        <w:ind w:left="882" w:right="260" w:hanging="377"/>
        <w:spacing w:after="0" w:line="282" w:lineRule="auto"/>
        <w:tabs>
          <w:tab w:leader="none" w:pos="8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882" w:right="620" w:hanging="377"/>
        <w:spacing w:after="0" w:line="282" w:lineRule="auto"/>
        <w:tabs>
          <w:tab w:leader="none" w:pos="8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882" w:right="20" w:hanging="377"/>
        <w:spacing w:after="0" w:line="282" w:lineRule="auto"/>
        <w:tabs>
          <w:tab w:leader="none" w:pos="8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882" w:hanging="377"/>
        <w:spacing w:after="0"/>
        <w:tabs>
          <w:tab w:leader="none" w:pos="8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882" w:right="100" w:hanging="377"/>
        <w:spacing w:after="0" w:line="266" w:lineRule="auto"/>
        <w:tabs>
          <w:tab w:leader="none" w:pos="8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882" w:right="380" w:hanging="377"/>
        <w:spacing w:after="0" w:line="282" w:lineRule="auto"/>
        <w:tabs>
          <w:tab w:leader="none" w:pos="8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882" w:hanging="377"/>
        <w:spacing w:after="0"/>
        <w:tabs>
          <w:tab w:leader="none" w:pos="8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882" w:right="480" w:hanging="377"/>
        <w:spacing w:after="0" w:line="312" w:lineRule="auto"/>
        <w:tabs>
          <w:tab w:leader="none" w:pos="88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15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2"/>
          </w:cols>
          <w:pgMar w:left="378" w:top="1215" w:right="399" w:bottom="1440" w:gutter="0" w:footer="0" w:header="0"/>
        </w:sectPr>
      </w:pPr>
    </w:p>
    <w:bookmarkStart w:id="14" w:name="page15"/>
    <w:bookmarkEnd w:id="14"/>
    <w:p>
      <w:pPr>
        <w:ind w:left="380" w:right="4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564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564755"/>
                    </a:xfrm>
                    <a:prstGeom prst="rect">
                      <a:avLst/>
                    </a:prstGeom>
                    <a:noFill/>
                  </pic:spPr>
                </pic:pic>
              </a:graphicData>
            </a:graphic>
          </wp:anchor>
        </w:drawing>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380" w:right="400" w:hanging="377"/>
        <w:spacing w:after="0" w:line="26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380" w:right="10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estimates or judgments relating to Rezolve’s critical accounting policies are ultimately incorrect, Rezolve’s results of operations could be adversely affected.</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380" w:right="32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3" w:lineRule="exact"/>
        <w:rPr>
          <w:rFonts w:ascii="Times New Roman" w:cs="Times New Roman" w:eastAsia="Times New Roman" w:hAnsi="Times New Roman"/>
          <w:sz w:val="18"/>
          <w:szCs w:val="18"/>
          <w:color w:val="auto"/>
        </w:rPr>
      </w:pPr>
    </w:p>
    <w:p>
      <w:pPr>
        <w:ind w:left="380" w:right="140" w:hanging="377"/>
        <w:spacing w:after="0" w:line="26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380" w:right="8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party to the Loan Note Instrument, which contains a number of covenants that may restrict our current and future operations and could adversely affect our ability to execute business needs.</w:t>
      </w:r>
    </w:p>
    <w:p>
      <w:pPr>
        <w:spacing w:after="0" w:line="53" w:lineRule="exact"/>
        <w:rPr>
          <w:rFonts w:ascii="Times New Roman" w:cs="Times New Roman" w:eastAsia="Times New Roman" w:hAnsi="Times New Roman"/>
          <w:sz w:val="18"/>
          <w:szCs w:val="18"/>
          <w:color w:val="auto"/>
        </w:rPr>
      </w:pPr>
    </w:p>
    <w:p>
      <w:pPr>
        <w:ind w:left="38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380" w:right="14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38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380" w:right="6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have broad discretion in the use of proceeds from this offering and may invest or spend the proceeds in ways with which you do not agree and in ways that may not yield a return.</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380" w:right="80" w:hanging="377"/>
        <w:spacing w:after="0" w:line="26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380" w:right="60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380" w:right="6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upon consumers’ and merchants’ willingness to use the internet and internet-enabled mobile devices for commerce.</w:t>
      </w:r>
    </w:p>
    <w:p>
      <w:pPr>
        <w:spacing w:after="0" w:line="117" w:lineRule="exact"/>
        <w:rPr>
          <w:rFonts w:ascii="Times New Roman" w:cs="Times New Roman" w:eastAsia="Times New Roman" w:hAnsi="Times New Roman"/>
          <w:sz w:val="18"/>
          <w:szCs w:val="18"/>
          <w:color w:val="auto"/>
        </w:rPr>
      </w:pPr>
    </w:p>
    <w:p>
      <w:pPr>
        <w:ind w:left="380" w:right="16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380" w:right="32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380" w:right="56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17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880" w:top="1107" w:right="399" w:bottom="1440" w:gutter="0" w:footer="0" w:header="0"/>
        </w:sectPr>
      </w:pPr>
    </w:p>
    <w:bookmarkStart w:id="15" w:name="page16"/>
    <w:bookmarkEnd w:id="15"/>
    <w:p>
      <w:pPr>
        <w:ind w:left="380" w:right="120" w:hanging="377"/>
        <w:spacing w:after="0" w:line="312" w:lineRule="auto"/>
        <w:tabs>
          <w:tab w:leader="none" w:pos="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5781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5781675"/>
                    </a:xfrm>
                    <a:prstGeom prst="rect">
                      <a:avLst/>
                    </a:prstGeom>
                    <a:noFill/>
                  </pic:spPr>
                </pic:pic>
              </a:graphicData>
            </a:graphic>
          </wp:anchor>
        </w:drawing>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31" w:lineRule="exact"/>
        <w:rPr>
          <w:rFonts w:ascii="Times New Roman" w:cs="Times New Roman" w:eastAsia="Times New Roman" w:hAnsi="Times New Roman"/>
          <w:sz w:val="17"/>
          <w:szCs w:val="17"/>
          <w:color w:val="auto"/>
        </w:rPr>
      </w:pPr>
    </w:p>
    <w:p>
      <w:pPr>
        <w:ind w:left="380" w:right="480" w:hanging="377"/>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380" w:right="20" w:hanging="377"/>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380" w:right="240" w:hanging="377"/>
        <w:spacing w:after="0" w:line="26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380" w:right="500" w:hanging="377"/>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380" w:hanging="377"/>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380" w:right="320" w:hanging="377"/>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rFonts w:ascii="Times New Roman" w:cs="Times New Roman" w:eastAsia="Times New Roman" w:hAnsi="Times New Roman"/>
          <w:sz w:val="18"/>
          <w:szCs w:val="18"/>
          <w:color w:val="auto"/>
        </w:rPr>
      </w:pPr>
    </w:p>
    <w:p>
      <w:pPr>
        <w:ind w:left="380" w:right="60" w:hanging="377"/>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380" w:right="260" w:hanging="377"/>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accounting standards or practices may cause adverse, unexpected financial reporting fluctuations and adversely affect Rezolve’s results of operations.</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rulings could materially affect Rezolve’s financial position, results of operations, and cash flows.</w:t>
      </w:r>
    </w:p>
    <w:p>
      <w:pPr>
        <w:spacing w:after="0" w:line="117" w:lineRule="exact"/>
        <w:rPr>
          <w:rFonts w:ascii="Times New Roman" w:cs="Times New Roman" w:eastAsia="Times New Roman" w:hAnsi="Times New Roman"/>
          <w:sz w:val="18"/>
          <w:szCs w:val="18"/>
          <w:color w:val="auto"/>
        </w:rPr>
      </w:pPr>
    </w:p>
    <w:p>
      <w:pPr>
        <w:ind w:left="380" w:right="140" w:hanging="377"/>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380" w:right="460" w:hanging="377"/>
        <w:spacing w:after="0" w:line="26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380" w:right="40" w:hanging="377"/>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380" w:right="480" w:hanging="377"/>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23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880" w:top="1107" w:right="3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509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095875"/>
                    </a:xfrm>
                    <a:prstGeom prst="rect">
                      <a:avLst/>
                    </a:prstGeom>
                    <a:noFill/>
                  </pic:spPr>
                </pic:pic>
              </a:graphicData>
            </a:graphic>
          </wp:anchor>
        </w:drawing>
      </w:r>
    </w:p>
    <w:p>
      <w:pPr>
        <w:spacing w:after="0" w:line="209" w:lineRule="exact"/>
        <w:rPr>
          <w:sz w:val="20"/>
          <w:szCs w:val="20"/>
          <w:color w:val="auto"/>
        </w:rPr>
      </w:pPr>
    </w:p>
    <w:p>
      <w:pPr>
        <w:jc w:val="both"/>
        <w:ind w:left="60" w:right="220" w:firstLine="742"/>
        <w:spacing w:after="0" w:line="266" w:lineRule="auto"/>
        <w:rPr>
          <w:sz w:val="20"/>
          <w:szCs w:val="20"/>
          <w:color w:val="auto"/>
        </w:rPr>
      </w:pPr>
      <w:r>
        <w:rPr>
          <w:rFonts w:ascii="Times New Roman" w:cs="Times New Roman" w:eastAsia="Times New Roman" w:hAnsi="Times New Roman"/>
          <w:sz w:val="18"/>
          <w:szCs w:val="18"/>
          <w:color w:val="auto"/>
        </w:rPr>
        <w:t xml:space="preserve">We are registering the resale by the Selling Holders or their permitted transferees of up to 58,444,822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12 of this prospectus.</w:t>
      </w:r>
    </w:p>
    <w:p>
      <w:pPr>
        <w:spacing w:after="0" w:line="176" w:lineRule="exact"/>
        <w:rPr>
          <w:sz w:val="20"/>
          <w:szCs w:val="20"/>
          <w:color w:val="auto"/>
        </w:rPr>
      </w:pPr>
    </w:p>
    <w:p>
      <w:pPr>
        <w:ind w:left="60" w:right="340" w:firstLine="505"/>
        <w:spacing w:after="0" w:line="282" w:lineRule="auto"/>
        <w:rPr>
          <w:sz w:val="20"/>
          <w:szCs w:val="20"/>
          <w:color w:val="auto"/>
        </w:rPr>
      </w:pPr>
      <w:r>
        <w:rPr>
          <w:rFonts w:ascii="Times New Roman" w:cs="Times New Roman" w:eastAsia="Times New Roman" w:hAnsi="Times New Roman"/>
          <w:sz w:val="18"/>
          <w:szCs w:val="18"/>
          <w:color w:val="auto"/>
        </w:rPr>
        <w:t>The following information is as of January 31, 2025 and does not give effect to issuances of Ordinary Shares or Warrants after such date, or the exercise of Warrants after such date.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Resale of Ordinary Shares</w:t>
            </w:r>
          </w:p>
        </w:tc>
      </w:tr>
      <w:tr>
        <w:trPr>
          <w:trHeight w:val="373"/>
        </w:trPr>
        <w:tc>
          <w:tcPr>
            <w:tcW w:w="3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Ordinary Shares offered by the Selling Holders</w:t>
            </w: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58,444,822 Ordinary Shares, consisting of (i) up to 8,070,845 Ordinary</w:t>
            </w:r>
          </w:p>
        </w:tc>
      </w:tr>
      <w:tr>
        <w:trPr>
          <w:trHeight w:val="216"/>
        </w:trPr>
        <w:tc>
          <w:tcPr>
            <w:tcW w:w="3640" w:type="dxa"/>
            <w:vAlign w:val="bottom"/>
          </w:tcPr>
          <w:p>
            <w:pPr>
              <w:spacing w:after="0"/>
              <w:rPr>
                <w:sz w:val="18"/>
                <w:szCs w:val="18"/>
                <w:color w:val="auto"/>
              </w:rPr>
            </w:pP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Shares issued upon exercise of certain Convertible Notes by certain Selling</w:t>
            </w:r>
          </w:p>
        </w:tc>
      </w:tr>
      <w:tr>
        <w:trPr>
          <w:trHeight w:val="216"/>
        </w:trPr>
        <w:tc>
          <w:tcPr>
            <w:tcW w:w="3640" w:type="dxa"/>
            <w:vAlign w:val="bottom"/>
          </w:tcPr>
          <w:p>
            <w:pPr>
              <w:spacing w:after="0"/>
              <w:rPr>
                <w:sz w:val="18"/>
                <w:szCs w:val="18"/>
                <w:color w:val="auto"/>
              </w:rPr>
            </w:pP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Holders; (ii) up to 425,171 Ordinary Shares issuable upon conversion of</w:t>
            </w:r>
          </w:p>
        </w:tc>
      </w:tr>
      <w:tr>
        <w:trPr>
          <w:trHeight w:val="216"/>
        </w:trPr>
        <w:tc>
          <w:tcPr>
            <w:tcW w:w="3640" w:type="dxa"/>
            <w:vAlign w:val="bottom"/>
          </w:tcPr>
          <w:p>
            <w:pPr>
              <w:spacing w:after="0"/>
              <w:rPr>
                <w:sz w:val="18"/>
                <w:szCs w:val="18"/>
                <w:color w:val="auto"/>
              </w:rPr>
            </w:pP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certain Promissory Notes (iii) up to 1,413,946 Ordinary Shares issued upon</w:t>
            </w:r>
          </w:p>
        </w:tc>
      </w:tr>
      <w:tr>
        <w:trPr>
          <w:trHeight w:val="216"/>
        </w:trPr>
        <w:tc>
          <w:tcPr>
            <w:tcW w:w="3640" w:type="dxa"/>
            <w:vAlign w:val="bottom"/>
          </w:tcPr>
          <w:p>
            <w:pPr>
              <w:spacing w:after="0"/>
              <w:rPr>
                <w:sz w:val="18"/>
                <w:szCs w:val="18"/>
                <w:color w:val="auto"/>
              </w:rPr>
            </w:pP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conversion of the YA Notes; and (iv) up to 48,534,860 Ordinary Shares</w:t>
            </w:r>
          </w:p>
        </w:tc>
      </w:tr>
      <w:tr>
        <w:trPr>
          <w:trHeight w:val="234"/>
        </w:trPr>
        <w:tc>
          <w:tcPr>
            <w:tcW w:w="3640" w:type="dxa"/>
            <w:vAlign w:val="bottom"/>
          </w:tcPr>
          <w:p>
            <w:pPr>
              <w:spacing w:after="0"/>
              <w:rPr>
                <w:sz w:val="20"/>
                <w:szCs w:val="20"/>
                <w:color w:val="auto"/>
              </w:rPr>
            </w:pP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issuable pursuant to the Second A&amp;R YA Agreement.</w:t>
            </w:r>
          </w:p>
        </w:tc>
      </w:tr>
      <w:tr>
        <w:trPr>
          <w:trHeight w:val="306"/>
        </w:trPr>
        <w:tc>
          <w:tcPr>
            <w:tcW w:w="3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We will not receive any proceeds from the sale of the Ordinary Shares to</w:t>
            </w:r>
          </w:p>
        </w:tc>
      </w:tr>
      <w:tr>
        <w:trPr>
          <w:trHeight w:val="234"/>
        </w:trPr>
        <w:tc>
          <w:tcPr>
            <w:tcW w:w="3640" w:type="dxa"/>
            <w:vAlign w:val="bottom"/>
          </w:tcPr>
          <w:p>
            <w:pPr>
              <w:spacing w:after="0"/>
              <w:rPr>
                <w:sz w:val="20"/>
                <w:szCs w:val="20"/>
                <w:color w:val="auto"/>
              </w:rPr>
            </w:pP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be offered by the Selling Holders.</w:t>
            </w:r>
          </w:p>
        </w:tc>
      </w:tr>
      <w:tr>
        <w:trPr>
          <w:trHeight w:val="306"/>
        </w:trPr>
        <w:tc>
          <w:tcPr>
            <w:tcW w:w="3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Lock-up agreements</w:t>
            </w: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Certain securities that are owned by the Selling Holders are subject to the</w:t>
            </w:r>
          </w:p>
        </w:tc>
      </w:tr>
      <w:tr>
        <w:trPr>
          <w:trHeight w:val="216"/>
        </w:trPr>
        <w:tc>
          <w:tcPr>
            <w:tcW w:w="3640" w:type="dxa"/>
            <w:vAlign w:val="bottom"/>
          </w:tcPr>
          <w:p>
            <w:pPr>
              <w:spacing w:after="0"/>
              <w:rPr>
                <w:sz w:val="18"/>
                <w:szCs w:val="18"/>
                <w:color w:val="auto"/>
              </w:rPr>
            </w:pP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lock-up provisions pursuant to the Investor Rights Agreement, which</w:t>
            </w:r>
          </w:p>
        </w:tc>
      </w:tr>
      <w:tr>
        <w:trPr>
          <w:trHeight w:val="216"/>
        </w:trPr>
        <w:tc>
          <w:tcPr>
            <w:tcW w:w="3640" w:type="dxa"/>
            <w:vAlign w:val="bottom"/>
          </w:tcPr>
          <w:p>
            <w:pPr>
              <w:spacing w:after="0"/>
              <w:rPr>
                <w:sz w:val="18"/>
                <w:szCs w:val="18"/>
                <w:color w:val="auto"/>
              </w:rPr>
            </w:pP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provide for certain restrictions on transfer until the termination of</w:t>
            </w:r>
          </w:p>
        </w:tc>
      </w:tr>
      <w:tr>
        <w:trPr>
          <w:trHeight w:val="216"/>
        </w:trPr>
        <w:tc>
          <w:tcPr>
            <w:tcW w:w="3640" w:type="dxa"/>
            <w:vAlign w:val="bottom"/>
          </w:tcPr>
          <w:p>
            <w:pPr>
              <w:spacing w:after="0"/>
              <w:rPr>
                <w:sz w:val="18"/>
                <w:szCs w:val="18"/>
                <w:color w:val="auto"/>
              </w:rPr>
            </w:pP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applicable lock-up periods. See the Investor Rights Agreement, which is</w:t>
            </w:r>
          </w:p>
        </w:tc>
      </w:tr>
      <w:tr>
        <w:trPr>
          <w:trHeight w:val="216"/>
        </w:trPr>
        <w:tc>
          <w:tcPr>
            <w:tcW w:w="3640" w:type="dxa"/>
            <w:vAlign w:val="bottom"/>
          </w:tcPr>
          <w:p>
            <w:pPr>
              <w:spacing w:after="0"/>
              <w:rPr>
                <w:sz w:val="18"/>
                <w:szCs w:val="18"/>
                <w:color w:val="auto"/>
              </w:rPr>
            </w:pP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filed as an exhibit to the registration statement of which this prospectus</w:t>
            </w:r>
          </w:p>
        </w:tc>
      </w:tr>
      <w:tr>
        <w:trPr>
          <w:trHeight w:val="234"/>
        </w:trPr>
        <w:tc>
          <w:tcPr>
            <w:tcW w:w="3640" w:type="dxa"/>
            <w:vAlign w:val="bottom"/>
          </w:tcPr>
          <w:p>
            <w:pPr>
              <w:spacing w:after="0"/>
              <w:rPr>
                <w:sz w:val="20"/>
                <w:szCs w:val="20"/>
                <w:color w:val="auto"/>
              </w:rPr>
            </w:pP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forms a part.</w:t>
            </w:r>
          </w:p>
        </w:tc>
      </w:tr>
      <w:tr>
        <w:trPr>
          <w:trHeight w:val="306"/>
        </w:trPr>
        <w:tc>
          <w:tcPr>
            <w:tcW w:w="3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w:t>
            </w:r>
          </w:p>
        </w:tc>
      </w:tr>
      <w:tr>
        <w:trPr>
          <w:trHeight w:val="216"/>
        </w:trPr>
        <w:tc>
          <w:tcPr>
            <w:tcW w:w="3640" w:type="dxa"/>
            <w:vAlign w:val="bottom"/>
          </w:tcPr>
          <w:p>
            <w:pPr>
              <w:spacing w:after="0"/>
              <w:rPr>
                <w:sz w:val="18"/>
                <w:szCs w:val="18"/>
                <w:color w:val="auto"/>
              </w:rPr>
            </w:pP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prospectus and other information included in this prospectus for a</w:t>
            </w:r>
          </w:p>
        </w:tc>
      </w:tr>
      <w:tr>
        <w:trPr>
          <w:trHeight w:val="216"/>
        </w:trPr>
        <w:tc>
          <w:tcPr>
            <w:tcW w:w="3640" w:type="dxa"/>
            <w:vAlign w:val="bottom"/>
          </w:tcPr>
          <w:p>
            <w:pPr>
              <w:spacing w:after="0"/>
              <w:rPr>
                <w:sz w:val="18"/>
                <w:szCs w:val="18"/>
                <w:color w:val="auto"/>
              </w:rPr>
            </w:pP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discussion of factors that you should consider carefully before deciding to</w:t>
            </w:r>
          </w:p>
        </w:tc>
      </w:tr>
      <w:tr>
        <w:trPr>
          <w:trHeight w:val="234"/>
        </w:trPr>
        <w:tc>
          <w:tcPr>
            <w:tcW w:w="3640" w:type="dxa"/>
            <w:vAlign w:val="bottom"/>
          </w:tcPr>
          <w:p>
            <w:pPr>
              <w:spacing w:after="0"/>
              <w:rPr>
                <w:sz w:val="20"/>
                <w:szCs w:val="20"/>
                <w:color w:val="auto"/>
              </w:rPr>
            </w:pP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invest in Ordinary Shares and Warrants.</w:t>
            </w:r>
          </w:p>
        </w:tc>
      </w:tr>
      <w:tr>
        <w:trPr>
          <w:trHeight w:val="324"/>
        </w:trPr>
        <w:tc>
          <w:tcPr>
            <w:tcW w:w="3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Nasdaq symbol for Ordinary Shares</w:t>
            </w: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“RZLV.”</w:t>
            </w:r>
          </w:p>
        </w:tc>
      </w:tr>
      <w:tr>
        <w:trPr>
          <w:trHeight w:val="324"/>
        </w:trPr>
        <w:tc>
          <w:tcPr>
            <w:tcW w:w="3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Nasdaq symbol for our warrants</w:t>
            </w: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“RZLVW.”</w:t>
            </w:r>
          </w:p>
        </w:tc>
      </w:tr>
      <w:tr>
        <w:trPr>
          <w:trHeight w:val="213"/>
        </w:trPr>
        <w:tc>
          <w:tcPr>
            <w:tcW w:w="3640" w:type="dxa"/>
            <w:vAlign w:val="bottom"/>
            <w:tcBorders>
              <w:bottom w:val="single" w:sz="8" w:color="auto"/>
            </w:tcBorders>
          </w:tcPr>
          <w:p>
            <w:pPr>
              <w:spacing w:after="0"/>
              <w:rPr>
                <w:sz w:val="18"/>
                <w:szCs w:val="18"/>
                <w:color w:val="auto"/>
              </w:rPr>
            </w:pPr>
          </w:p>
        </w:tc>
        <w:tc>
          <w:tcPr>
            <w:tcW w:w="7600" w:type="dxa"/>
            <w:vAlign w:val="bottom"/>
            <w:tcBorders>
              <w:bottom w:val="single" w:sz="8" w:color="auto"/>
            </w:tcBorders>
          </w:tcPr>
          <w:p>
            <w:pPr>
              <w:spacing w:after="0"/>
              <w:rPr>
                <w:sz w:val="18"/>
                <w:szCs w:val="18"/>
                <w:color w:val="auto"/>
              </w:rPr>
            </w:pPr>
          </w:p>
        </w:tc>
      </w:tr>
      <w:tr>
        <w:trPr>
          <w:trHeight w:val="429"/>
        </w:trPr>
        <w:tc>
          <w:tcPr>
            <w:tcW w:w="3640" w:type="dxa"/>
            <w:vAlign w:val="bottom"/>
          </w:tcPr>
          <w:p>
            <w:pPr>
              <w:spacing w:after="0"/>
              <w:rPr>
                <w:sz w:val="24"/>
                <w:szCs w:val="24"/>
                <w:color w:val="auto"/>
              </w:rPr>
            </w:pPr>
          </w:p>
        </w:tc>
        <w:tc>
          <w:tcPr>
            <w:tcW w:w="76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9</w:t>
            </w:r>
          </w:p>
        </w:tc>
      </w:tr>
      <w:tr>
        <w:trPr>
          <w:trHeight w:val="763"/>
        </w:trPr>
        <w:tc>
          <w:tcPr>
            <w:tcW w:w="364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the Ordinary Shares and Warrants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or Warrants. If any of the following risks actually occur, our business, financial condition and operating results could be materially and adversely affected. In that case, the market price of the Ordinary Shares and Warrants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00" w:lineRule="exact"/>
        <w:rPr>
          <w:sz w:val="20"/>
          <w:szCs w:val="20"/>
          <w:color w:val="auto"/>
        </w:rPr>
      </w:pPr>
    </w:p>
    <w:p>
      <w:pPr>
        <w:spacing w:after="0" w:line="34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to YA under the Second A&amp;R YA Agreement, or the actual gross proceeds resulting from those sales. We may not have access to the full amount available under the Second A&amp;R YA Agreement.</w:t>
      </w:r>
    </w:p>
    <w:p>
      <w:pPr>
        <w:spacing w:after="0" w:line="9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On September 6, 2024, we entered into the Second A&amp;R YA Agreement with the YA, pursuant to which the YA committed to purchase up to $250 million ordinary shares, subject to certain limitations and conditions set forth in the Second A&amp;R YA Agreement. The ordinary shares that may be issued under the Second A&amp;R YA Agreement may be sold by us to the YA at our discretion, from time to time, over a 36-month period commencing on the date of the Second A&amp;R YA Agreement. We generally have the right to control the timing and amount of any sales of our ordinary shares to the YA under the Second A&amp;R YA Agreement. Sales of our ordinary shares to the YA under the Second A&amp;R YA Agreement will depend upon market conditions as well as other factors to be determined by us. We may ultimately decide to sell to YA all or a portion of the shares of our ordinary shares that may be available pursuant to the Second A&amp;R YA Agreement, or decide to terminate the Second A&amp;R YA Agreement or not sell to YA any ordinary shares that may be available for us to sell to YA thereunder.</w:t>
      </w:r>
    </w:p>
    <w:p>
      <w:pPr>
        <w:spacing w:after="0" w:line="138"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Because the purchase price per share to be paid by the YA for the ordinary shares that we may elect to sell to YA under the Second A&amp;R YA Agreement will fluctuate based on the market prices of our ordinary shares during the applicable pricing period for each purchase, it is not possible for us to predict, as of the date of this prospectus, the number of ordinary shares that we will sell to YA under the Second A&amp;R YA Agreement, the purchase price per share that the YA will pay for shares purchased from us under the Second A&amp;R YA Agreement, or the aggregate gross proceeds that we will receive from those purchases by the YA under the Second A&amp;R YA Agreement.</w:t>
      </w:r>
    </w:p>
    <w:p>
      <w:pPr>
        <w:spacing w:after="0" w:line="129"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Although the Second A&amp;R YA Agreement provides that we may sell up to an aggregate of $250 million ordinary shares to the YA, only 48,534,860 ordinary shares that may be issued to the YA under the Second A&amp;R YA Agreement are being registered for resale by the YA under the registration statement that includes this prospectus.</w:t>
      </w:r>
    </w:p>
    <w:p>
      <w:pPr>
        <w:spacing w:after="0" w:line="122"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If we elect to sell to YA all of the 48,534,860 ordinary shares being registered for resale by the YA in the registration statement that includes this prospectus, depending on the market prices of our ordinary shares during the applicable pricing period for each purchase made pursuant to the Second A&amp;R YA Agreement, the actual gross proceeds from the sale of all such shares may be substantially less than the $250 million total commitment originally available to us under the Second A&amp;R YA Agreement.</w:t>
      </w:r>
    </w:p>
    <w:p>
      <w:pPr>
        <w:spacing w:after="0" w:line="126"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If it becomes necessary for us to issue and sell to YA under the Second A&amp;R YA Agreement more than the 48,534,860 shares being registered for resale under the registration statement that includes this prospectus, in order to receive aggregate gross proceeds equal to the total commitment of $250 million under the Second A&amp;R YA Agreement, we must file with the SEC one or more additional registration statements to register under the Securities Act the resale by the YA of any such additional ordinary shares we wish to sell from time to time under the Second A&amp;R YA Agreement, which the SEC must declare effective. We will need to obtain shareholder approval to issue ordinary shares in excess of the Exchange Cap under the Second A&amp;R YA Agreement in accordance with the Nasdaq listing rules, unless the average per share purchase price paid by the YA for all ordinary shares sold under the Second A&amp;R YA Agreement equals or exceeds equal or exceed the average Nasdaq official closing price for the five (5) trading days immediately prior to the Effective Date of the Second A&amp;R YA Agreement, in which case, under the Nasdaq listing rules, the Exchange Cap limitation will not apply to issuances and sales of our ordinary shares under the Second A&amp;R YA Agreement. In addition, the YA will not be required to purchase any ordinary shares if such sale would result in the YA’s beneficial ownership exceeding 4.99% of the then-outstanding voting power or number of ordinary shares.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ind w:right="40"/>
        <w:spacing w:after="0" w:line="258" w:lineRule="auto"/>
        <w:rPr>
          <w:sz w:val="20"/>
          <w:szCs w:val="20"/>
          <w:color w:val="auto"/>
        </w:rPr>
      </w:pPr>
      <w:r>
        <w:rPr>
          <w:rFonts w:ascii="Times New Roman" w:cs="Times New Roman" w:eastAsia="Times New Roman" w:hAnsi="Times New Roman"/>
          <w:sz w:val="18"/>
          <w:szCs w:val="18"/>
          <w:color w:val="auto"/>
        </w:rPr>
        <w:t>Any issuance and sale by us under the Second A&amp;R YA Agreement of a substantial amount of shares of our ordinary shares in addition to the 48,534,860 ordinary shares being registered for resale by the YA under this prospectus could cause additional substantial dilution to our stockholders. The number of ordinary shares ultimately offered for resale by the YA is dependent upon the number of ordinary shares we ultimately sell to YA under the Second A&amp;R YA Agreement. Our inability to access a portion or the full amount available under the Second A&amp;R YA Agreement, in the absence of any other financing sources, could have a material adverse effect on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the Second A&amp;R YA Agreement, we will have discretion, subject to market demand, to vary the timing, prices, and numbers of shares sold to the YA. If and when we do elect to sell ordinary shares to the YA under the Second A&amp;R YA Agreement, after the YA has acquired such shares, the YA may resell all or a portion of such shares at any time or from time to time in its discretion and at different prices. As a result, investors who purchase shares from the YA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YA as a result of future sales made by us to the YA at prices lower than the prices such investors paid for their shares.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ACI in North America and Europe, CompuTop in Germany, MobiKwik in India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900" w:right="2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Rezolve incurred a net loss of, respectively, $110.7 million in the year ended December 31, 2022 and $30.7 million in the year ended December 31, 2023. At December 31, 2023, Rezolve had a total shareholders’ deficit of $54.3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9" w:name="page20"/>
    <w:bookmarkEnd w:id="19"/>
    <w:p>
      <w:pPr>
        <w:spacing w:after="0" w:line="253" w:lineRule="auto"/>
        <w:rPr>
          <w:sz w:val="20"/>
          <w:szCs w:val="20"/>
          <w:color w:val="auto"/>
        </w:rPr>
      </w:pPr>
      <w:r>
        <w:rPr>
          <w:rFonts w:ascii="Times New Roman" w:cs="Times New Roman" w:eastAsia="Times New Roman" w:hAnsi="Times New Roman"/>
          <w:sz w:val="18"/>
          <w:szCs w:val="18"/>
          <w:color w:val="auto"/>
        </w:rPr>
        <w:t>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9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2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20"/>
        <w:spacing w:after="0" w:line="254" w:lineRule="auto"/>
        <w:rPr>
          <w:sz w:val="20"/>
          <w:szCs w:val="20"/>
          <w:color w:val="auto"/>
        </w:rPr>
      </w:pPr>
      <w:r>
        <w:rPr>
          <w:rFonts w:ascii="Times New Roman" w:cs="Times New Roman" w:eastAsia="Times New Roman" w:hAnsi="Times New Roman"/>
          <w:sz w:val="18"/>
          <w:szCs w:val="18"/>
          <w:color w:val="auto"/>
        </w:rPr>
        <w:t>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1" w:name="page22"/>
    <w:bookmarkEnd w:id="21"/>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70 employees at December 31, 2022.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5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projected financial and operating information appearing elsewhere in this proxy statement/prospectus reflect current management estimates of future performance. Whether actual operating and financial results and business developments will be consistent with Rezolve’s expectations and assumptions as reflected in its forecasts depends on a number of factors, many of which are outside Rezolve’s control, including, but not limited to:</w:t>
      </w:r>
    </w:p>
    <w:p>
      <w:pPr>
        <w:spacing w:after="0" w:line="68"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existing and new market business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new software development activity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established and future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manage its growth;</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Rezolve can manage relationships with business partners and key customers;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retain existing key management, integrate recent hires and attract, retain and motivate qualified personnel;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stability of domestic and international economies.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all projected financial and operating information is subject to significant uncertainties and contingencies, many of which are beyond Rezolve’s control, Rezolve believes that the preparation of projected financial information involves increasingly higher levels of uncertainty the further out the projected financial information extends from the date of preparation. Unfavorable changes in any of the above-listed or other factors, many of which are beyond Rezolve’s control, could cause Rezolve to fall materially short of its projections, which could materially and adversely affect its business, results of operations, prospects and financial results.</w:t>
      </w:r>
    </w:p>
    <w:p>
      <w:pPr>
        <w:spacing w:after="0" w:line="287"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right="60"/>
        <w:spacing w:after="0" w:line="255" w:lineRule="auto"/>
        <w:rPr>
          <w:sz w:val="20"/>
          <w:szCs w:val="20"/>
          <w:color w:val="auto"/>
        </w:rPr>
      </w:pPr>
      <w:r>
        <w:rPr>
          <w:rFonts w:ascii="Times New Roman" w:cs="Times New Roman" w:eastAsia="Times New Roman" w:hAnsi="Times New Roman"/>
          <w:sz w:val="18"/>
          <w:szCs w:val="18"/>
          <w:color w:val="auto"/>
        </w:rPr>
        <w:t>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900" w:right="48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color w:val="auto"/>
        </w:rPr>
      </w:pPr>
    </w:p>
    <w:p>
      <w:pPr>
        <w:ind w:left="900" w:right="820" w:hanging="383"/>
        <w:spacing w:after="0" w:line="312"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31"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color w:val="auto"/>
        </w:rPr>
      </w:pPr>
    </w:p>
    <w:p>
      <w:pPr>
        <w:ind w:left="900" w:right="50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ind w:right="200"/>
        <w:spacing w:after="0" w:line="282" w:lineRule="auto"/>
        <w:rPr>
          <w:sz w:val="20"/>
          <w:szCs w:val="20"/>
          <w:color w:val="auto"/>
        </w:rPr>
      </w:pPr>
      <w:r>
        <w:rPr>
          <w:rFonts w:ascii="Times New Roman" w:cs="Times New Roman" w:eastAsia="Times New Roman" w:hAnsi="Times New Roman"/>
          <w:sz w:val="18"/>
          <w:szCs w:val="18"/>
          <w:color w:val="auto"/>
        </w:rPr>
        <w:t>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left="900" w:right="20" w:hanging="383"/>
        <w:spacing w:after="0" w:line="261"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At this time, Rezolve has made no commitments or agreements with respect to any such transaction.</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party to the Loan Note Instrument, which contains a number of covenants that may restrict our current and future operations and could adversely affect our ability to execute business needs.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Loan Note Instrument contains a number of covenants that limit Rezolve’s ability and its subsidiaries’ ability to, among other things, incur indebtedness that would rank senior to the Convertible Notes, advance loans, create security interests, enter into a corporate strategic relationship other than in the ordinary course of business and to acquire or dispose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without consent of the majority of noteholders. These covenants remain in force while the Convertible Notes are outstanding, including for so long as one or more of Apeiron Investment Group Ltd, Bradley Wickens and any of their respective affiliates or assignees holds at least an aggregate of $20 million of the principal amount of the Convertible Notes from time to time.</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terms of the Loan Note Instrument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If Rezolve is unable to comply with the covenants under the Loan Note Instrument or with other Loan Note Instrument requirements, the noteholders may accelerate Rezolve’s obligations under the Loan Note Instrument and foreclose upon the collateral, or Rezolve may be forced to sell assets, restructure its indebtedness or seek additional equity capital, which would dilute Rezolve’s shareholders’ interests.</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6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will have broad discretion in the use of proceeds from this offering and may invest or spend the proceeds in ways with which you do not agree and in ways that may not yield a return.</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 intends to use the net proceeds that it receives in this offering for working capital and other general corporate purposes, which may include offering development, general and administrative matters and capital expenditures. Rezolve may also use a portion of the net proceeds for the acquisition of, or investment in, technologies, solutions or businesses that complement its business, although Rezolve has no present commitments or agreements to enter into any acquisitions or investments. Consequently, Rezolve’s management will have broad discretion over the specific use of these net proceeds and may do so in a way with which Rezolve’s investors disagree. The failure by Rezolve’s management to apply and invest these funds effectively may not yield a favorable return to Rezolve’s investors and may adversely affect Rezolve’s business and financial condition. Pending their use, Rezolve may invest the net proceeds from this offering in a manner that does not produce income or that loses value. If Rezolve does not use the net proceeds that it receives in this offering effectively, Rezolve’s business, results of operations, and financial condition could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ind w:right="220"/>
        <w:spacing w:after="0" w:line="282" w:lineRule="auto"/>
        <w:rPr>
          <w:sz w:val="20"/>
          <w:szCs w:val="20"/>
          <w:color w:val="auto"/>
        </w:rPr>
      </w:pPr>
      <w:r>
        <w:rPr>
          <w:rFonts w:ascii="Times New Roman" w:cs="Times New Roman" w:eastAsia="Times New Roman" w:hAnsi="Times New Roman"/>
          <w:sz w:val="18"/>
          <w:szCs w:val="18"/>
          <w:color w:val="auto"/>
        </w:rPr>
        <w:t>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right="20"/>
        <w:spacing w:after="0" w:line="282" w:lineRule="auto"/>
        <w:rPr>
          <w:sz w:val="20"/>
          <w:szCs w:val="20"/>
          <w:color w:val="auto"/>
        </w:rPr>
      </w:pPr>
      <w:r>
        <w:rPr>
          <w:rFonts w:ascii="Times New Roman" w:cs="Times New Roman" w:eastAsia="Times New Roman" w:hAnsi="Times New Roman"/>
          <w:sz w:val="18"/>
          <w:szCs w:val="18"/>
          <w:color w:val="auto"/>
        </w:rPr>
        <w:t>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firstLine="509"/>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right="100"/>
        <w:spacing w:after="0" w:line="266" w:lineRule="auto"/>
        <w:rPr>
          <w:sz w:val="20"/>
          <w:szCs w:val="20"/>
          <w:color w:val="auto"/>
        </w:rPr>
      </w:pPr>
      <w:r>
        <w:rPr>
          <w:rFonts w:ascii="Times New Roman" w:cs="Times New Roman" w:eastAsia="Times New Roman" w:hAnsi="Times New Roman"/>
          <w:sz w:val="18"/>
          <w:szCs w:val="18"/>
          <w:color w:val="auto"/>
        </w:rPr>
        <w:t>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2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8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3" w:name="page34"/>
    <w:bookmarkEnd w:id="33"/>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w:t>
      </w:r>
    </w:p>
    <w:p>
      <w:pPr>
        <w:spacing w:after="0" w:line="1"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color w:val="auto"/>
        </w:rPr>
        <w:t>Furthermore, many of Rezolve’s current and potential competitors have the ability to dedicate substantially greater resources to developing and protecting their technology or intellectual property rights than Rezolve does.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right="220" w:firstLine="509"/>
        <w:spacing w:after="0" w:line="289" w:lineRule="auto"/>
        <w:rPr>
          <w:sz w:val="20"/>
          <w:szCs w:val="20"/>
          <w:color w:val="auto"/>
        </w:rPr>
      </w:pPr>
      <w:r>
        <w:rPr>
          <w:rFonts w:ascii="Times New Roman" w:cs="Times New Roman" w:eastAsia="Times New Roman" w:hAnsi="Times New Roman"/>
          <w:sz w:val="17"/>
          <w:szCs w:val="17"/>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5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5" w:name="page36"/>
    <w:bookmarkEnd w:id="35"/>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28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may not bear any relationship to the market price at which Ordinary Shares will trade after the Transactions or to any other established criteria of the value of our business and prospects, and the market price of Ordinary Shares following the Transactions may fluctuate substantially and may be lower than the price agreed by Armada with Rezolve in connection with the Transactions. In addition, the trading price of Ordinary Shares following the Transactions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in the Transactions. Factors that could cause fluctuations in the trading price of Ordinary Shares include the following:</w:t>
      </w:r>
    </w:p>
    <w:p>
      <w:pPr>
        <w:spacing w:after="0" w:line="81" w:lineRule="exact"/>
        <w:rPr>
          <w:sz w:val="20"/>
          <w:szCs w:val="20"/>
          <w:color w:val="auto"/>
        </w:rPr>
      </w:pPr>
    </w:p>
    <w:p>
      <w:pPr>
        <w:ind w:left="5540" w:right="4880" w:hanging="5023"/>
        <w:spacing w:after="0" w:line="532" w:lineRule="auto"/>
        <w:tabs>
          <w:tab w:leader="none" w:pos="89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rFonts w:ascii="Times New Roman" w:cs="Times New Roman" w:eastAsia="Times New Roman" w:hAnsi="Times New Roman"/>
          <w:sz w:val="18"/>
          <w:szCs w:val="18"/>
          <w:color w:val="auto"/>
        </w:rPr>
      </w:pPr>
    </w:p>
    <w:p>
      <w:pPr>
        <w:ind w:left="900" w:right="50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900" w:right="88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Warrants will ever be in the money at the time they become exercisable or otherwise, and they may expire worthless.</w:t>
      </w:r>
    </w:p>
    <w:p>
      <w:pPr>
        <w:spacing w:after="0" w:line="5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exercise price for the Public Warrants is $11.50 per Ordinary Share. There is no guarantee that such Public Warrants will ever be in the money prior to their expiration, and as such, the warrants may expire worthless.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develop or be sustained, which would adversely affect the liquidity and price of Ordinary Shares.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Following the Closing, the price of Ordinary Shares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9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Rezolve became a public reporting company by means other than a traditional underwritten initial public offering, the shareholders of Rezolve may face additional risks and uncertainties.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Rezolve became a public reporting company by means of consummating the Business Combination rather than by means of a traditional underwritten initial public offering, there is no independent third-party underwriter selling the shares of Rezolve’s common stock, and, accordingly, the shareholders of Rezolve will not have the benefit of an independent review and investigation of the type 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 Because there is no independent third-party underwriter selling Rezolve’s Ordinary Shares, Armada Stockholders must rely on the information included in this proxy statement/prospectus. Although Armada’s management conducted a due diligence review and investigation of Rezolve in connection with the Business Combination, the lack of an independent due diligence review and investigation increases the risk of investment in Rezolve because it may not have uncovered facts that would be important to a potential investor.</w:t>
      </w:r>
    </w:p>
    <w:p>
      <w:pPr>
        <w:spacing w:after="0" w:line="18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Moreover, the shareholders of Rezolve will not benefit from possible recourse against an underwriter for material misstatements or omissions in this proxy statement/prospectus or additional roles of the underwriters in a traditional underwritten initial public offering, such as the book-building process, which helps inform efficient price discovery, and underwriter support to help stabilize the public price of the new issue immediately after listing. The lack of such recourse process and support in connection with Rezolve’s Ordinary Shares could result in greater potential for errors, diminished investor demand, inefficiencies in pricing and a more volatile public price for the shares during the period immediately following the listing.</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because Rezolve will not become a public reporting company by means of a traditional underwritten initial public offering, securities or industry analysts may not provide, or be less likely to provide, coverage of Rezolve. Investment banks may also be less likely to agree to underwrite secondary offerings on behalf of Rezolve than they might if Rezolve became a public reporting company by means of a traditional underwritten initial public offering, because they may be less familiar with Rezolve as a result of more limited coverage by analysts and the media. The failure to receive research coverage or support in the market for Rezolve’s Ordinary Shares could have an adverse effect on Rezolve’s ability to develop a liquid market for Rezolve’s Ordinary Shares.</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8" w:name="page39"/>
    <w:bookmarkEnd w:id="38"/>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w:t>
      </w:r>
    </w:p>
    <w:p>
      <w:pPr>
        <w:spacing w:after="0" w:line="27" w:lineRule="exact"/>
        <w:rPr>
          <w:sz w:val="20"/>
          <w:szCs w:val="20"/>
          <w:color w:val="auto"/>
        </w:rPr>
      </w:pPr>
    </w:p>
    <w:p>
      <w:pPr>
        <w:ind w:firstLine="8"/>
        <w:spacing w:after="0" w:line="253" w:lineRule="auto"/>
        <w:tabs>
          <w:tab w:leader="none" w:pos="2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will be a “foreign private issuer” and, as a result, we will be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Upon the Closing, as a foreign private issuer whose ordinary shares are listed on the Nasdaq, we will be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 and</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162"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ind w:right="340" w:firstLine="509"/>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7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 For more information, see “</w:t>
      </w:r>
      <w:r>
        <w:rPr>
          <w:rFonts w:ascii="Times New Roman" w:cs="Times New Roman" w:eastAsia="Times New Roman" w:hAnsi="Times New Roman"/>
          <w:sz w:val="18"/>
          <w:szCs w:val="18"/>
          <w:i w:val="1"/>
          <w:iCs w:val="1"/>
          <w:color w:val="auto"/>
        </w:rPr>
        <w:t>Management and Compensation—Foreign Private Issuer</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9" w:name="page40"/>
    <w:bookmarkEnd w:id="39"/>
    <w:p>
      <w:pPr>
        <w:ind w:right="60"/>
        <w:spacing w:after="0" w:line="266" w:lineRule="auto"/>
        <w:rPr>
          <w:sz w:val="20"/>
          <w:szCs w:val="20"/>
          <w:color w:val="auto"/>
        </w:rPr>
      </w:pPr>
      <w:r>
        <w:rPr>
          <w:rFonts w:ascii="Times New Roman" w:cs="Times New Roman" w:eastAsia="Times New Roman" w:hAnsi="Times New Roman"/>
          <w:sz w:val="18"/>
          <w:szCs w:val="18"/>
          <w:color w:val="auto"/>
        </w:rPr>
        <w:t>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upon conversion of the secured Convertible Notes into Ordinary Shares and pursuant to the Standby Purchase Agreement.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7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we do not satisfy the conditions for re-registration as a public limited company by March 31, 2025 we will not be able to effect such re-registration by that date which could impact on the eligibility of our shares for DTC.</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undertaken to re-register as a public limited company by March 31, 2025. In the event that the Company does not meet the conditions required to be satisfied for re-registration by that date then the company will remain a private limited liability company which could impact on the eligibility of our shares for DTC and limit the range of investors from whom new investment may be sought by the Company until such re-registration occurs.</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at the time of Closing,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w:t>
      </w:r>
      <w:r>
        <w:rPr>
          <w:rFonts w:ascii="Times New Roman" w:cs="Times New Roman" w:eastAsia="Times New Roman" w:hAnsi="Times New Roman"/>
          <w:sz w:val="18"/>
          <w:szCs w:val="18"/>
          <w:b w:val="1"/>
          <w:bCs w:val="1"/>
          <w:i w:val="1"/>
          <w:iCs w:val="1"/>
          <w:color w:val="auto"/>
        </w:rPr>
        <w:t>PFIC</w:t>
      </w:r>
      <w:r>
        <w:rPr>
          <w:rFonts w:ascii="Times New Roman" w:cs="Times New Roman" w:eastAsia="Times New Roman" w:hAnsi="Times New Roman"/>
          <w:sz w:val="18"/>
          <w:szCs w:val="18"/>
          <w:color w:val="auto"/>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2023.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(as defined in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holds our ordinary shares, certain adverse U.S. federal income tax consequences could apply to such U.S. Holder. Prospective U.S. Holders should consult their tax advisors regarding the potential application of the PFIC rules to them.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7874 of the Code may limit the ability of Armada to use certain tax attributes following the Business Combination, increase Rezolve’s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affiliates’ U.S. taxable income or have other adverse consequences to Rezolve and Rezolve’s shareholders.</w:t>
      </w:r>
    </w:p>
    <w:p>
      <w:pPr>
        <w:spacing w:after="0" w:line="9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Following the acquisition of a U.S. corporation by a foreign corporation, Section 7874 of the Code can limit the ability of the acquired U.S. corporation and its U.S. affiliates to use U.S. tax attributes (including net operating losses and certain tax credits) to offset U.S. taxable income resulting from certain transactions, as well as result in certain other adverse tax consequences, even if the acquiring foreign corporation is respected as a foreign corporation for purposes of Section 7874 of the Code. In general, if a foreign corporation acquires, directly or indirectly, substantially all of the properties held directly or indirectly by a U.S. corporation and after the acquisition, the former shareholders of the acquired U.S. corporation hold at least 60% (by either vote or value) but less than 80% (by vote and value) of the shares of the foreign acquiring corporation by reason of holding shares in the acquired U.S. corporation, subject to other requirements, certain adverse tax consequences under Section 7874 of the Code may apply.</w:t>
      </w:r>
    </w:p>
    <w:p>
      <w:pPr>
        <w:spacing w:after="0" w:line="189"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If these rules apply to the Business Combination, Rezolve and certain of Rezolve’s shareholders may be subject to adverse tax consequences including, but not limited to, restrictions on the use of tax attributes with respect to “inversion gain” recognized over a 10-year period following the transaction, disqualification of dividends paid from preferential “qualified dividend income” rates and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1" w:name="page42"/>
    <w:bookmarkEnd w:id="41"/>
    <w:p>
      <w:pPr>
        <w:spacing w:after="0" w:line="266" w:lineRule="auto"/>
        <w:rPr>
          <w:sz w:val="20"/>
          <w:szCs w:val="20"/>
          <w:color w:val="auto"/>
        </w:rPr>
      </w:pPr>
      <w:r>
        <w:rPr>
          <w:rFonts w:ascii="Times New Roman" w:cs="Times New Roman" w:eastAsia="Times New Roman" w:hAnsi="Times New Roman"/>
          <w:sz w:val="18"/>
          <w:szCs w:val="18"/>
          <w:color w:val="auto"/>
        </w:rPr>
        <w:t>the requirement that any U.S. corporation owned by Rezolve include as “base erosion payments” that may be subject to a minimum U.S. federal income tax any amounts treated as reductions in gross income paid to certain related foreign persons. Furthermore, certain “disqualified individuals” (including officers and directors of a U.S. corporation) may be subject to an excise tax on certain stock-based compensation held thereby at a rate of 20%.</w:t>
      </w:r>
    </w:p>
    <w:p>
      <w:pPr>
        <w:spacing w:after="0" w:line="174" w:lineRule="exact"/>
        <w:rPr>
          <w:sz w:val="20"/>
          <w:szCs w:val="20"/>
          <w:color w:val="auto"/>
        </w:rPr>
      </w:pPr>
    </w:p>
    <w:p>
      <w:pPr>
        <w:ind w:right="160" w:firstLine="509"/>
        <w:spacing w:after="0" w:line="277" w:lineRule="auto"/>
        <w:rPr>
          <w:sz w:val="20"/>
          <w:szCs w:val="20"/>
          <w:color w:val="auto"/>
        </w:rPr>
      </w:pPr>
      <w:r>
        <w:rPr>
          <w:rFonts w:ascii="Times New Roman" w:cs="Times New Roman" w:eastAsia="Times New Roman" w:hAnsi="Times New Roman"/>
          <w:sz w:val="17"/>
          <w:szCs w:val="17"/>
          <w:color w:val="auto"/>
        </w:rPr>
        <w:t>As more fully described in the section titled “</w:t>
      </w:r>
      <w:r>
        <w:rPr>
          <w:rFonts w:ascii="Times New Roman" w:cs="Times New Roman" w:eastAsia="Times New Roman" w:hAnsi="Times New Roman"/>
          <w:sz w:val="17"/>
          <w:szCs w:val="17"/>
          <w:i w:val="1"/>
          <w:iCs w:val="1"/>
          <w:color w:val="auto"/>
        </w:rPr>
        <w:t>Material Tax Considerations — Material U.S. Federal Income Tax Considerations—U.S. Federal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Income Tax Treatment of Rezolve</w:t>
      </w:r>
      <w:r>
        <w:rPr>
          <w:rFonts w:ascii="Times New Roman" w:cs="Times New Roman" w:eastAsia="Times New Roman" w:hAnsi="Times New Roman"/>
          <w:sz w:val="17"/>
          <w:szCs w:val="17"/>
          <w:color w:val="auto"/>
        </w:rPr>
        <w:t>,” based on the terms of the Business Combination and certain factual assumptions, Rezolve does not currently expected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subject to these rules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assurances in this regard.</w:t>
      </w:r>
    </w:p>
    <w:p>
      <w:pPr>
        <w:spacing w:after="0" w:line="17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However, even if Rezolve is not subject to the above adverse consequences under Section 7874, Rezolve may be limited in using its equity to engage in future acquisitions of U.S. corporations over a 36-month period following the Business Combination. If Rezolve were to be treated as acquiring substantially all of the assets of a U.S. corporation or U.S. partnership within a 36-month period after the Business Combination, the Section 7874 Regulations would exclude certain shares of Rezolve attributable to the Business Combination for purposes of determining the Section 7874 Percentage of that subsequent acquisition, making it more likely that Section 7874 of the Code will apply to such subsequent acquisition.</w:t>
      </w:r>
    </w:p>
    <w:p>
      <w:pPr>
        <w:spacing w:after="0" w:line="181" w:lineRule="exact"/>
        <w:rPr>
          <w:sz w:val="20"/>
          <w:szCs w:val="20"/>
          <w:color w:val="auto"/>
        </w:rPr>
      </w:pPr>
    </w:p>
    <w:p>
      <w:pPr>
        <w:ind w:right="360" w:firstLine="50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Material Tax Considerations — Material U.S. Federal Income Tax Considerations—U.S. Federal Income Tax Treatment of Rezolve</w:t>
      </w:r>
      <w:r>
        <w:rPr>
          <w:rFonts w:ascii="Times New Roman" w:cs="Times New Roman" w:eastAsia="Times New Roman" w:hAnsi="Times New Roman"/>
          <w:sz w:val="18"/>
          <w:szCs w:val="18"/>
          <w:color w:val="auto"/>
        </w:rPr>
        <w:t>” for a more detailed discussion of the application of Section 7874 of the Code to the Business Combination. Investors in Rezolve should consult their own advisors regarding the application of Section 7874 of the Code to the Business Combination.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 We will not receive any of the proceeds from these sales.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1" w:right="49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PRICE OF OUR SECURITIES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 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January 31, 2025, there were approximately 2 shareholders of record of Ordinary Shares and one shareholder of record of Warrants. Such numbers do not include beneficial owners holding our securities through nominee names. On January 30, 2025, the last reported closing sale prices of our Ordinary Shares and Public Warrants were $2.56 and $0.6170, respectively.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following unaudited pro forma condensed combined financial information is based on Rezolve's historical consolidated financial statements and Armada's historical financial statements and gives effect to the consummation of the Business Combination. </w:t>
      </w:r>
      <w:r>
        <w:rPr>
          <w:rFonts w:ascii="Times New Roman" w:cs="Times New Roman" w:eastAsia="Times New Roman" w:hAnsi="Times New Roman"/>
          <w:sz w:val="18"/>
          <w:szCs w:val="18"/>
          <w:color w:val="212529"/>
        </w:rPr>
        <w:t>The unaudited pro forma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combined financial information has been prepared in accordance with Article 11 of Regulation S-X as amended by the final rule, Release No. 33-10786 “Amendments to Financial Disclosures about Acquired and Disposed Businesses.”</w:t>
      </w:r>
    </w:p>
    <w:p>
      <w:pPr>
        <w:spacing w:after="0" w:line="72"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212529"/>
        </w:rPr>
        <w:t>The following unaudited pro forma condensed combined Balance Sheet as of June 30, 2024 and the unaudited pro forma condensed combined statement of operations for the six months ended June 30, 2024, present the combination of the financial information of Rezolve and Armada after giving effect to the Business Combination.</w:t>
      </w:r>
    </w:p>
    <w:p>
      <w:pPr>
        <w:spacing w:after="0" w:line="68"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212529"/>
        </w:rPr>
        <w:t>Armada is a newly organized blank check company incorporated in Delaware on November 5, 2020, for the purpose of effecting a merger, stock exchange, asset acquisition, stock purchase, reorganization or other similar business combination with one or more businesses.</w:t>
      </w:r>
    </w:p>
    <w:p>
      <w:pPr>
        <w:spacing w:after="0" w:line="54" w:lineRule="exact"/>
        <w:rPr>
          <w:sz w:val="20"/>
          <w:szCs w:val="20"/>
          <w:color w:val="auto"/>
        </w:rPr>
      </w:pPr>
    </w:p>
    <w:p>
      <w:pPr>
        <w:jc w:val="both"/>
        <w:ind w:right="20" w:firstLine="749"/>
        <w:spacing w:after="0" w:line="312" w:lineRule="auto"/>
        <w:rPr>
          <w:sz w:val="20"/>
          <w:szCs w:val="20"/>
          <w:color w:val="auto"/>
        </w:rPr>
      </w:pPr>
      <w:r>
        <w:rPr>
          <w:rFonts w:ascii="Times New Roman" w:cs="Times New Roman" w:eastAsia="Times New Roman" w:hAnsi="Times New Roman"/>
          <w:sz w:val="17"/>
          <w:szCs w:val="17"/>
          <w:color w:val="212529"/>
        </w:rPr>
        <w:t>Rezolve provides an engagement platform, powered by cutting-edge artificial intelligence and machine learning that empowers retailers, brands, and manufacturers to create robust, dynamic connections with consumers, transcending barriers of location and device, whether they are mobile or desktop.</w:t>
      </w:r>
    </w:p>
    <w:p>
      <w:pPr>
        <w:spacing w:after="0" w:line="3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does not purport to represent, and is not necessarily indicative of, what the actual financial condition of the Combined Company would have been had the Business Combination taken place on June 30, 2024, nor is it indicative of the financial condition of the Combined Company as of any future date. The unaudited pro forma condensed combined statements of operations do not purport to represent, and are not necessarily indicative of, what the actual results of operations of the Combined Company would have been had the Business Combination taken place on January 1, 2024, nor are they indicative of the results of operations of the Combined Company for any future period. The unaudited pro forma condensed combined financial information should be read in conjunction with:</w:t>
      </w:r>
    </w:p>
    <w:p>
      <w:pPr>
        <w:spacing w:after="0" w:line="79"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Armada as of, and for the year ended, September 30, 2023 and 2022, included elsewhere in this proxy statement/prospectus;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for Armada as of and for the quarter ended June 30, 2024, included elsewhere in this proxy statement/prospectus;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carve-out financial statements of Rezolve as of, and for the year ended, December 31, 2023, included elsewhere in this proxy statement/prospectus;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carve-out financial statements of Rezolve as of, and for the six months ended, June 30, 2024, included elsewhere in this proxy statements/prospectus;</w:t>
      </w:r>
    </w:p>
    <w:p>
      <w:pPr>
        <w:spacing w:after="0" w:line="5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accounting principles generally accepted in the United States of America. Under this method of accounting, Armada will be treated as the acquired company for financial reporting purposes. Accordingly, for accounting purposes, the Business Combination will be treated as the equivalent of Rezolve issuing shares for the net assets of Armada, accompanied by a reverse recapitalization. Rezolve has been determined to be the accounting acquirer based on evaluation of the following facts and circumstances:</w:t>
      </w:r>
    </w:p>
    <w:p>
      <w:pPr>
        <w:spacing w:after="0" w:line="75" w:lineRule="exact"/>
        <w:rPr>
          <w:sz w:val="20"/>
          <w:szCs w:val="20"/>
          <w:color w:val="auto"/>
        </w:rPr>
      </w:pPr>
    </w:p>
    <w:p>
      <w:pPr>
        <w:ind w:left="1020" w:right="3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shareholders will have majority of the voting power under both the minimum redemption and maximum redemption scenarios described below;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appoint majority of the directors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existing management will comprise the management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operations will comprise the ongoing operations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the larger entity based on historical revenues and business operations;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6" w:name="page47"/>
    <w:bookmarkEnd w:id="46"/>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continue to use Rezolve Limited’s name and Rezolve’s headquarters in London.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Business Combination and related transactions is as follows:</w:t>
      </w:r>
    </w:p>
    <w:p>
      <w:pPr>
        <w:spacing w:after="0" w:line="333"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Business Combination Agreement:</w:t>
      </w:r>
    </w:p>
    <w:p>
      <w:pPr>
        <w:spacing w:after="0" w:line="333"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pre-Closing demerger (the “Pre-Closing Demerger”) of Rezolve Limited will be effected pursuant to UK legislation under which</w:t>
      </w:r>
    </w:p>
    <w:p>
      <w:pPr>
        <w:spacing w:after="0" w:line="27" w:lineRule="exact"/>
        <w:rPr>
          <w:rFonts w:ascii="Times New Roman" w:cs="Times New Roman" w:eastAsia="Times New Roman" w:hAnsi="Times New Roman"/>
          <w:sz w:val="18"/>
          <w:szCs w:val="18"/>
          <w:color w:val="auto"/>
        </w:rPr>
      </w:pPr>
    </w:p>
    <w:p>
      <w:pPr>
        <w:ind w:left="1780"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Rezolve Limited’s business and assets (being all of its business and assets except for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(b) Rezolve will be assigned, assume and/or reissue the secured Convertible Notes currently issued by Rezolve Limited, and (c) Rezolve Limited will then be wound up; and</w:t>
      </w:r>
    </w:p>
    <w:p>
      <w:pPr>
        <w:spacing w:after="0" w:line="80" w:lineRule="exact"/>
        <w:rPr>
          <w:sz w:val="20"/>
          <w:szCs w:val="20"/>
          <w:color w:val="auto"/>
        </w:rPr>
      </w:pPr>
    </w:p>
    <w:p>
      <w:pPr>
        <w:ind w:left="1780" w:right="40" w:hanging="515"/>
        <w:spacing w:after="0" w:line="256" w:lineRule="auto"/>
        <w:tabs>
          <w:tab w:leader="none" w:pos="17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w:t>
      </w:r>
    </w:p>
    <w:p>
      <w:pPr>
        <w:spacing w:after="0" w:line="295" w:lineRule="exact"/>
        <w:rPr>
          <w:rFonts w:ascii="Times New Roman" w:cs="Times New Roman" w:eastAsia="Times New Roman" w:hAnsi="Times New Roman"/>
          <w:sz w:val="18"/>
          <w:szCs w:val="18"/>
          <w:color w:val="auto"/>
        </w:rPr>
      </w:pPr>
    </w:p>
    <w:p>
      <w:pPr>
        <w:jc w:val="both"/>
        <w:ind w:left="1020" w:hanging="503"/>
        <w:spacing w:after="0" w:line="272" w:lineRule="auto"/>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w:t>
      </w:r>
    </w:p>
    <w:p>
      <w:pPr>
        <w:spacing w:after="0" w:line="1"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See the sections in this summary entitled “The Business Combination Proposal” for more information.</w:t>
      </w:r>
    </w:p>
    <w:p>
      <w:pPr>
        <w:spacing w:after="0" w:line="98" w:lineRule="exact"/>
        <w:rPr>
          <w:rFonts w:ascii="Times New Roman" w:cs="Times New Roman" w:eastAsia="Times New Roman" w:hAnsi="Times New Roman"/>
          <w:sz w:val="17"/>
          <w:szCs w:val="17"/>
          <w:color w:val="auto"/>
        </w:rPr>
      </w:pPr>
    </w:p>
    <w:p>
      <w:pPr>
        <w:ind w:left="1020" w:hanging="503"/>
        <w:spacing w:after="0" w:line="258"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a Rezolve Warrant that will entitle the holder to purchase one Rezolve Ordinary Share in lieu of one share of Armada Common Stock and otherwise on substantially the same terms and conditions as the Armada Warrants.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7" w:name="page48"/>
    <w:bookmarkEnd w:id="4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AT JUNE 30,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500" w:type="dxa"/>
            <w:vAlign w:val="bottom"/>
            <w:tcBorders>
              <w:bottom w:val="single" w:sz="8" w:color="auto"/>
            </w:tcBorders>
            <w:gridSpan w:val="4"/>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Proforma Combined</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Rezolve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AI Limited and</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560" w:type="dxa"/>
            <w:vAlign w:val="bottom"/>
            <w:gridSpan w:val="2"/>
            <w:vMerge w:val="restart"/>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560" w:type="dxa"/>
            <w:vAlign w:val="bottom"/>
            <w:gridSpan w:val="2"/>
            <w:vMerge w:val="restart"/>
          </w:tcPr>
          <w:p>
            <w:pPr>
              <w:jc w:val="right"/>
              <w:ind w:right="42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of 6/30/2024</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6/30/2024)</w:t>
            </w:r>
          </w:p>
        </w:tc>
        <w:tc>
          <w:tcPr>
            <w:tcW w:w="220" w:type="dxa"/>
            <w:vAlign w:val="bottom"/>
          </w:tcPr>
          <w:p>
            <w:pPr>
              <w:spacing w:after="0"/>
              <w:rPr>
                <w:sz w:val="9"/>
                <w:szCs w:val="9"/>
                <w:color w:val="auto"/>
              </w:rPr>
            </w:pPr>
          </w:p>
        </w:tc>
        <w:tc>
          <w:tcPr>
            <w:tcW w:w="15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tcPr>
          <w:p>
            <w:pPr>
              <w:spacing w:after="0"/>
              <w:rPr>
                <w:sz w:val="9"/>
                <w:szCs w:val="9"/>
                <w:color w:val="auto"/>
              </w:rPr>
            </w:pP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0" w:type="dxa"/>
            <w:vAlign w:val="bottom"/>
          </w:tcPr>
          <w:p>
            <w:pPr>
              <w:spacing w:after="0"/>
              <w:rPr>
                <w:sz w:val="1"/>
                <w:szCs w:val="1"/>
                <w:color w:val="auto"/>
              </w:rPr>
            </w:pPr>
          </w:p>
        </w:tc>
      </w:tr>
      <w:tr>
        <w:trPr>
          <w:trHeight w:val="64"/>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60,298</w:t>
            </w:r>
          </w:p>
        </w:tc>
        <w:tc>
          <w:tcPr>
            <w:tcW w:w="2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13,242</w:t>
            </w: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(1,300,000 )</w:t>
            </w:r>
          </w:p>
        </w:tc>
        <w:tc>
          <w:tcPr>
            <w:tcW w:w="9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  </w:t>
            </w: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(700,000 )</w:t>
            </w:r>
          </w:p>
        </w:tc>
        <w:tc>
          <w:tcPr>
            <w:tcW w:w="9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(6,035,757 )</w:t>
            </w:r>
          </w:p>
        </w:tc>
        <w:tc>
          <w:tcPr>
            <w:tcW w:w="9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(1,491,622 )</w:t>
            </w:r>
          </w:p>
        </w:tc>
        <w:tc>
          <w:tcPr>
            <w:tcW w:w="9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(3,056,726 )</w:t>
            </w:r>
          </w:p>
        </w:tc>
        <w:tc>
          <w:tcPr>
            <w:tcW w:w="9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12,510,565</w:t>
            </w:r>
          </w:p>
        </w:tc>
        <w:tc>
          <w:tcPr>
            <w:tcW w:w="120" w:type="dxa"/>
            <w:vAlign w:val="bottom"/>
          </w:tcPr>
          <w:p>
            <w:pPr>
              <w:spacing w:after="0"/>
              <w:rPr>
                <w:sz w:val="12"/>
                <w:szCs w:val="12"/>
                <w:color w:val="auto"/>
              </w:rPr>
            </w:pPr>
          </w:p>
        </w:tc>
        <w:tc>
          <w:tcPr>
            <w:tcW w:w="9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11,434</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430,691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41,788</w:t>
            </w:r>
          </w:p>
        </w:tc>
        <w:tc>
          <w:tcPr>
            <w:tcW w:w="2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472,479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502,423</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55,030</w:t>
            </w: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(73,540 )</w:t>
            </w:r>
          </w:p>
        </w:tc>
        <w:tc>
          <w:tcPr>
            <w:tcW w:w="3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483,913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 and Intangible assets, net</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3,396,489</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3,396,489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 and investment held in trust account, net</w:t>
            </w: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16,126,337</w:t>
            </w:r>
          </w:p>
        </w:tc>
        <w:tc>
          <w:tcPr>
            <w:tcW w:w="220" w:type="dxa"/>
            <w:vAlign w:val="bottom"/>
          </w:tcPr>
          <w:p>
            <w:pPr>
              <w:spacing w:after="0"/>
              <w:rPr>
                <w:sz w:val="12"/>
                <w:szCs w:val="12"/>
                <w:color w:val="auto"/>
              </w:rPr>
            </w:pPr>
          </w:p>
        </w:tc>
        <w:tc>
          <w:tcPr>
            <w:tcW w:w="1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(1,322,729 )</w:t>
            </w:r>
          </w:p>
        </w:tc>
        <w:tc>
          <w:tcPr>
            <w:tcW w:w="9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(14,803,608 )</w:t>
            </w:r>
          </w:p>
        </w:tc>
        <w:tc>
          <w:tcPr>
            <w:tcW w:w="94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Borders>
              <w:top w:val="single" w:sz="8" w:color="CFF0FC"/>
              <w:bottom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3,960,454</w:t>
            </w: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CFF0FC"/>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16,181,367</w:t>
            </w:r>
          </w:p>
        </w:tc>
        <w:tc>
          <w:tcPr>
            <w:tcW w:w="220" w:type="dxa"/>
            <w:vAlign w:val="bottom"/>
            <w:tcBorders>
              <w:top w:val="single" w:sz="8" w:color="CFF0FC"/>
            </w:tcBorders>
          </w:tcPr>
          <w:p>
            <w:pPr>
              <w:spacing w:after="0"/>
              <w:rPr>
                <w:sz w:val="12"/>
                <w:szCs w:val="12"/>
                <w:color w:val="auto"/>
              </w:rPr>
            </w:pPr>
          </w:p>
        </w:tc>
        <w:tc>
          <w:tcPr>
            <w:tcW w:w="1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(16,199,877</w:t>
            </w:r>
          </w:p>
        </w:tc>
        <w:tc>
          <w:tcPr>
            <w:tcW w:w="12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CFF0FC"/>
              <w:bottom w:val="single" w:sz="8" w:color="CFF0FC"/>
            </w:tcBorders>
          </w:tcPr>
          <w:p>
            <w:pPr>
              <w:spacing w:after="0"/>
              <w:rPr>
                <w:sz w:val="12"/>
                <w:szCs w:val="12"/>
                <w:color w:val="auto"/>
              </w:rPr>
            </w:pPr>
          </w:p>
        </w:tc>
        <w:tc>
          <w:tcPr>
            <w:tcW w:w="5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3,941,944</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Bank overdraft</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11,187,836</w:t>
            </w:r>
          </w:p>
        </w:tc>
        <w:tc>
          <w:tcPr>
            <w:tcW w:w="1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11,335,872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148,036</w:t>
            </w:r>
          </w:p>
        </w:tc>
        <w:tc>
          <w:tcPr>
            <w:tcW w:w="120" w:type="dxa"/>
            <w:vAlign w:val="bottom"/>
          </w:tcPr>
          <w:p>
            <w:pPr>
              <w:spacing w:after="0"/>
              <w:rPr>
                <w:sz w:val="12"/>
                <w:szCs w:val="12"/>
                <w:color w:val="auto"/>
              </w:rPr>
            </w:pPr>
          </w:p>
        </w:tc>
        <w:tc>
          <w:tcPr>
            <w:tcW w:w="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4,055,537</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6,035,757</w:t>
            </w: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(6,035,757 )</w:t>
            </w:r>
          </w:p>
        </w:tc>
        <w:tc>
          <w:tcPr>
            <w:tcW w:w="9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4,055,537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Due to related party</w:t>
            </w: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1,093,471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1,093,471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Short term debt to related party</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860,778</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860,778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 payable</w:t>
            </w: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1,491,622</w:t>
            </w:r>
          </w:p>
        </w:tc>
        <w:tc>
          <w:tcPr>
            <w:tcW w:w="220" w:type="dxa"/>
            <w:vAlign w:val="bottom"/>
          </w:tcPr>
          <w:p>
            <w:pPr>
              <w:spacing w:after="0"/>
              <w:rPr>
                <w:sz w:val="12"/>
                <w:szCs w:val="12"/>
                <w:color w:val="auto"/>
              </w:rPr>
            </w:pPr>
          </w:p>
        </w:tc>
        <w:tc>
          <w:tcPr>
            <w:tcW w:w="1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(1,491,622 )</w:t>
            </w:r>
          </w:p>
        </w:tc>
        <w:tc>
          <w:tcPr>
            <w:tcW w:w="9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148,036</w:t>
            </w:r>
          </w:p>
        </w:tc>
        <w:tc>
          <w:tcPr>
            <w:tcW w:w="1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(148,036 )</w:t>
            </w:r>
          </w:p>
        </w:tc>
        <w:tc>
          <w:tcPr>
            <w:tcW w:w="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Promissory Notes-Related Party</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3,056,726</w:t>
            </w: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(3,056,726 )</w:t>
            </w:r>
          </w:p>
        </w:tc>
        <w:tc>
          <w:tcPr>
            <w:tcW w:w="9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Ordinary shares payable</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10,236,655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(10,236,655 )</w:t>
            </w:r>
          </w:p>
        </w:tc>
        <w:tc>
          <w:tcPr>
            <w:tcW w:w="9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Subscription agreement liability, net</w:t>
            </w: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354,503</w:t>
            </w: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354,503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expenses and other payables</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4,708,590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4,708,590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payment liability</w:t>
            </w: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1,383,298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1,383,298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Promissory loan note</w:t>
            </w:r>
          </w:p>
        </w:tc>
        <w:tc>
          <w:tcPr>
            <w:tcW w:w="10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437,956</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437,956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22,776,285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10,938,608</w:t>
            </w:r>
          </w:p>
        </w:tc>
        <w:tc>
          <w:tcPr>
            <w:tcW w:w="2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(9,484,888 )</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24,230,005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Convertible debt</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38,737,594</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(38,737,594 )</w:t>
            </w:r>
          </w:p>
        </w:tc>
        <w:tc>
          <w:tcPr>
            <w:tcW w:w="9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(h)</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28,641,250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28,641,250</w:t>
            </w:r>
          </w:p>
        </w:tc>
        <w:tc>
          <w:tcPr>
            <w:tcW w:w="120" w:type="dxa"/>
            <w:vAlign w:val="bottom"/>
          </w:tcPr>
          <w:p>
            <w:pPr>
              <w:spacing w:after="0"/>
              <w:rPr>
                <w:sz w:val="12"/>
                <w:szCs w:val="12"/>
                <w:color w:val="auto"/>
              </w:rPr>
            </w:pPr>
          </w:p>
        </w:tc>
        <w:tc>
          <w:tcPr>
            <w:tcW w:w="9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(q)</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Convertible promissory notes</w:t>
            </w:r>
          </w:p>
        </w:tc>
        <w:tc>
          <w:tcPr>
            <w:tcW w:w="10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5,395,702</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5,395,702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66,909,581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10,938,608</w:t>
            </w:r>
          </w:p>
        </w:tc>
        <w:tc>
          <w:tcPr>
            <w:tcW w:w="2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(19,581,232 )</w:t>
            </w: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58,266,957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subject to possible redemption, 1,417,687 shares at</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16,040,786</w:t>
            </w:r>
          </w:p>
        </w:tc>
        <w:tc>
          <w:tcPr>
            <w:tcW w:w="220" w:type="dxa"/>
            <w:vAlign w:val="bottom"/>
          </w:tcPr>
          <w:p>
            <w:pPr>
              <w:spacing w:after="0"/>
              <w:rPr>
                <w:sz w:val="10"/>
                <w:szCs w:val="10"/>
                <w:color w:val="auto"/>
              </w:rPr>
            </w:pP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(14,803,608 )</w:t>
            </w:r>
          </w:p>
        </w:tc>
        <w:tc>
          <w:tcPr>
            <w:tcW w:w="940" w:type="dxa"/>
            <w:vAlign w:val="bottom"/>
            <w:gridSpan w:val="2"/>
            <w:vMerge w:val="restart"/>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redemption value of approximately $11.31 per share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(1,237,178 )</w:t>
            </w:r>
          </w:p>
        </w:tc>
        <w:tc>
          <w:tcPr>
            <w:tcW w:w="940" w:type="dxa"/>
            <w:vAlign w:val="bottom"/>
            <w:gridSpan w:val="2"/>
            <w:shd w:val="clear" w:color="auto" w:fill="CFF0FC"/>
          </w:tcPr>
          <w:p>
            <w:pPr>
              <w:jc w:val="center"/>
              <w:ind w:right="648"/>
              <w:spacing w:after="0" w:line="149" w:lineRule="exact"/>
              <w:rPr>
                <w:sz w:val="20"/>
                <w:szCs w:val="20"/>
                <w:color w:val="auto"/>
              </w:rPr>
            </w:pPr>
            <w:r>
              <w:rPr>
                <w:rFonts w:ascii="Times New Roman" w:cs="Times New Roman" w:eastAsia="Times New Roman" w:hAnsi="Times New Roman"/>
                <w:sz w:val="14"/>
                <w:szCs w:val="14"/>
                <w:b w:val="1"/>
                <w:bCs w:val="1"/>
                <w:color w:val="auto"/>
              </w:rPr>
              <w:t>(i)</w:t>
            </w: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16,040,786</w:t>
            </w:r>
          </w:p>
        </w:tc>
        <w:tc>
          <w:tcPr>
            <w:tcW w:w="2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(16,040,786 )</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-3007995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-3007995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-3007995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-1181735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-1181735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-1181735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-1181735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-701675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-701675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-701675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-127635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-127635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-127635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BALANCE SHEET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AT JUNE 30, 2024</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Rezolve</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AI Limited and</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0" w:type="dxa"/>
            <w:vAlign w:val="bottom"/>
          </w:tcPr>
          <w:p>
            <w:pPr>
              <w:spacing w:after="0"/>
              <w:rPr>
                <w:sz w:val="1"/>
                <w:szCs w:val="1"/>
                <w:color w:val="auto"/>
              </w:rPr>
            </w:pPr>
          </w:p>
        </w:tc>
      </w:tr>
      <w:tr>
        <w:trPr>
          <w:trHeight w:val="190"/>
        </w:trPr>
        <w:tc>
          <w:tcPr>
            <w:tcW w:w="44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6/30/2024</w:t>
            </w:r>
          </w:p>
        </w:tc>
        <w:tc>
          <w:tcPr>
            <w:tcW w:w="0" w:type="dxa"/>
            <w:vAlign w:val="bottom"/>
          </w:tcPr>
          <w:p>
            <w:pPr>
              <w:spacing w:after="0"/>
              <w:rPr>
                <w:sz w:val="1"/>
                <w:szCs w:val="1"/>
                <w:color w:val="auto"/>
              </w:rPr>
            </w:pPr>
          </w:p>
        </w:tc>
      </w:tr>
      <w:tr>
        <w:trPr>
          <w:trHeight w:val="64"/>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446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Ordinary shares</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and outstanding as of June 30, 2024 - 932,997,081; as of</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127,313</w:t>
            </w:r>
          </w:p>
        </w:tc>
        <w:tc>
          <w:tcPr>
            <w:tcW w:w="0" w:type="dxa"/>
            <w:vAlign w:val="bottom"/>
          </w:tcPr>
          <w:p>
            <w:pPr>
              <w:spacing w:after="0"/>
              <w:rPr>
                <w:sz w:val="1"/>
                <w:szCs w:val="1"/>
                <w:color w:val="auto"/>
              </w:rPr>
            </w:pPr>
          </w:p>
        </w:tc>
      </w:tr>
      <w:tr>
        <w:trPr>
          <w:trHeight w:val="188"/>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2023 - 932,969,424 at par value £ 0.0001</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939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939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939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93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Series A shares issued and outstanding as of June 30, 2024 and December</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 2023 - 28,039,517 nil at par value £0.0001</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$0.0001 par value; 100,000,000 shares authorized;</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5,709,500 shares issued and outstanding</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176,274,941</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713232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93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39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939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939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939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Stock subscription receivable</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(178,720 )</w:t>
            </w:r>
          </w:p>
        </w:tc>
      </w:tr>
      <w:tr>
        <w:trPr>
          <w:trHeight w:val="188"/>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(239,133,876 )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939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939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939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93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340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Proforma Combined</w:t>
            </w:r>
          </w:p>
        </w:tc>
        <w:tc>
          <w:tcPr>
            <w:tcW w:w="0" w:type="dxa"/>
            <w:vAlign w:val="bottom"/>
          </w:tcPr>
          <w:p>
            <w:pPr>
              <w:spacing w:after="0"/>
              <w:rPr>
                <w:sz w:val="1"/>
                <w:szCs w:val="1"/>
                <w:color w:val="auto"/>
              </w:rPr>
            </w:pPr>
          </w:p>
        </w:tc>
      </w:tr>
      <w:tr>
        <w:trPr>
          <w:trHeight w:val="117"/>
        </w:trPr>
        <w:tc>
          <w:tcPr>
            <w:tcW w:w="1640" w:type="dxa"/>
            <w:vAlign w:val="bottom"/>
            <w:gridSpan w:val="2"/>
            <w:vMerge w:val="continue"/>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5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20" w:type="dxa"/>
            <w:vAlign w:val="bottom"/>
          </w:tcPr>
          <w:p>
            <w:pPr>
              <w:spacing w:after="0"/>
              <w:rPr>
                <w:sz w:val="12"/>
                <w:szCs w:val="12"/>
                <w:color w:val="auto"/>
              </w:rPr>
            </w:pPr>
          </w:p>
        </w:tc>
        <w:tc>
          <w:tcPr>
            <w:tcW w:w="1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0" w:type="dxa"/>
            <w:vAlign w:val="bottom"/>
          </w:tcPr>
          <w:p>
            <w:pPr>
              <w:spacing w:after="0"/>
              <w:rPr>
                <w:sz w:val="1"/>
                <w:szCs w:val="1"/>
                <w:color w:val="auto"/>
              </w:rPr>
            </w:pPr>
          </w:p>
        </w:tc>
      </w:tr>
      <w:tr>
        <w:trPr>
          <w:trHeight w:val="173"/>
        </w:trPr>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6/30/2024)</w:t>
            </w:r>
          </w:p>
        </w:tc>
        <w:tc>
          <w:tcPr>
            <w:tcW w:w="22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63"/>
        </w:trPr>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2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(g)</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3,868</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(k)</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(i)</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(l)</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7,464</w:t>
            </w:r>
          </w:p>
        </w:tc>
        <w:tc>
          <w:tcPr>
            <w:tcW w:w="12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(m)</w:t>
            </w: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(3,868 )</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(k)</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20" w:type="dxa"/>
            <w:vAlign w:val="bottom"/>
          </w:tcPr>
          <w:p>
            <w:pPr>
              <w:spacing w:after="0"/>
              <w:rPr>
                <w:sz w:val="22"/>
                <w:szCs w:val="22"/>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(570 )</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261,161</w:t>
            </w:r>
          </w:p>
        </w:tc>
        <w:tc>
          <w:tcPr>
            <w:tcW w:w="220" w:type="dxa"/>
            <w:vAlign w:val="bottom"/>
          </w:tcPr>
          <w:p>
            <w:pPr>
              <w:spacing w:after="0"/>
              <w:rPr>
                <w:sz w:val="12"/>
                <w:szCs w:val="12"/>
                <w:color w:val="auto"/>
              </w:rPr>
            </w:pPr>
          </w:p>
        </w:tc>
        <w:tc>
          <w:tcPr>
            <w:tcW w:w="1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(1,300,000 )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1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(51,527,293 )</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38,736,731</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(h)</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10,235,219</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(g)</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1,237,075</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(i)</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3,062,197</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(l)</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36,731,490</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(11,059,758 )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(n)</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(276,572,830 )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(p)</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(28,641,250 )</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(q)</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(178,720 )</w:t>
            </w:r>
          </w:p>
        </w:tc>
        <w:tc>
          <w:tcPr>
            <w:tcW w:w="0" w:type="dxa"/>
            <w:vAlign w:val="bottom"/>
          </w:tcPr>
          <w:p>
            <w:pPr>
              <w:spacing w:after="0"/>
              <w:rPr>
                <w:sz w:val="1"/>
                <w:szCs w:val="1"/>
                <w:color w:val="auto"/>
              </w:rPr>
            </w:pPr>
          </w:p>
        </w:tc>
      </w:tr>
      <w:tr>
        <w:trPr>
          <w:trHeight w:val="109"/>
        </w:trPr>
        <w:tc>
          <w:tcPr>
            <w:tcW w:w="14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(700,000 )</w:t>
            </w: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6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(11,059,758 )</w:t>
            </w:r>
          </w:p>
        </w:tc>
        <w:tc>
          <w:tcPr>
            <w:tcW w:w="156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5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(2,717,736 )</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(148,036 )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(3,062,500 )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(l)</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(36,738,954 )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11,059,758</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(n)</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492,800</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276,572,830</w:t>
            </w:r>
          </w:p>
        </w:tc>
        <w:tc>
          <w:tcPr>
            <w:tcW w:w="12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(p)</w:t>
            </w: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980" w:space="180"/>
            <w:col w:w="508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44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680" w:type="dxa"/>
            <w:vAlign w:val="bottom"/>
            <w:gridSpan w:val="2"/>
            <w:shd w:val="clear" w:color="auto" w:fill="CCEEFF"/>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(42,653 )</w:t>
            </w:r>
          </w:p>
        </w:tc>
        <w:tc>
          <w:tcPr>
            <w:tcW w:w="14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(42,653 )</w:t>
            </w:r>
          </w:p>
        </w:tc>
      </w:tr>
      <w:tr>
        <w:trPr>
          <w:trHeight w:val="20"/>
        </w:trPr>
        <w:tc>
          <w:tcPr>
            <w:tcW w:w="44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2"/>
        </w:trPr>
        <w:tc>
          <w:tcPr>
            <w:tcW w:w="44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shareholders' equity (deficit)</w:t>
            </w:r>
          </w:p>
        </w:tc>
        <w:tc>
          <w:tcPr>
            <w:tcW w:w="16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(62,949,127 )</w:t>
            </w:r>
          </w:p>
        </w:tc>
        <w:tc>
          <w:tcPr>
            <w:tcW w:w="16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(10,798,027 )</w:t>
            </w:r>
          </w:p>
        </w:tc>
        <w:tc>
          <w:tcPr>
            <w:tcW w:w="1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19,422,141</w:t>
            </w:r>
          </w:p>
        </w:tc>
        <w:tc>
          <w:tcPr>
            <w:tcW w:w="440" w:type="dxa"/>
            <w:vAlign w:val="bottom"/>
          </w:tcPr>
          <w:p>
            <w:pPr>
              <w:spacing w:after="0"/>
              <w:rPr>
                <w:sz w:val="12"/>
                <w:szCs w:val="12"/>
                <w:color w:val="auto"/>
              </w:rPr>
            </w:pPr>
          </w:p>
        </w:tc>
        <w:tc>
          <w:tcPr>
            <w:tcW w:w="15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(54,325,013 )</w:t>
            </w:r>
          </w:p>
        </w:tc>
      </w:tr>
      <w:tr>
        <w:trPr>
          <w:trHeight w:val="182"/>
        </w:trPr>
        <w:tc>
          <w:tcPr>
            <w:tcW w:w="448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liabilities and shareholders' equity</w:t>
            </w:r>
          </w:p>
        </w:tc>
        <w:tc>
          <w:tcPr>
            <w:tcW w:w="1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3,960,454</w:t>
            </w:r>
          </w:p>
        </w:tc>
        <w:tc>
          <w:tcPr>
            <w:tcW w:w="2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16,181,367</w:t>
            </w:r>
          </w:p>
        </w:tc>
        <w:tc>
          <w:tcPr>
            <w:tcW w:w="2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(16,199,877</w:t>
            </w:r>
          </w:p>
        </w:tc>
        <w:tc>
          <w:tcPr>
            <w:tcW w:w="440" w:type="dxa"/>
            <w:vAlign w:val="bottom"/>
            <w:tcBorders>
              <w:bottom w:val="single" w:sz="8" w:color="CCEEFF"/>
            </w:tcBorders>
            <w:shd w:val="clear" w:color="auto" w:fill="CCEEFF"/>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3,941,944</w:t>
            </w: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-230505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-230505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-230505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49" w:name="page50"/>
    <w:bookmarkEnd w:id="4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JUNE 30, 2024</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40" w:type="dxa"/>
            <w:vAlign w:val="bottom"/>
          </w:tcPr>
          <w:p>
            <w:pPr>
              <w:spacing w:after="0"/>
              <w:rPr>
                <w:sz w:val="16"/>
                <w:szCs w:val="16"/>
                <w:color w:val="auto"/>
              </w:rPr>
            </w:pPr>
          </w:p>
        </w:tc>
        <w:tc>
          <w:tcPr>
            <w:tcW w:w="144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Rezolve AI Limited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00" w:type="dxa"/>
            <w:vAlign w:val="bottom"/>
          </w:tcPr>
          <w:p>
            <w:pPr>
              <w:spacing w:after="0"/>
              <w:rPr>
                <w:sz w:val="16"/>
                <w:szCs w:val="16"/>
                <w:color w:val="auto"/>
              </w:rPr>
            </w:pPr>
          </w:p>
        </w:tc>
        <w:tc>
          <w:tcPr>
            <w:tcW w:w="3480" w:type="dxa"/>
            <w:vAlign w:val="bottom"/>
            <w:gridSpan w:val="6"/>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Proforma Combined</w:t>
            </w:r>
          </w:p>
        </w:tc>
        <w:tc>
          <w:tcPr>
            <w:tcW w:w="0" w:type="dxa"/>
            <w:vAlign w:val="bottom"/>
          </w:tcPr>
          <w:p>
            <w:pPr>
              <w:spacing w:after="0"/>
              <w:rPr>
                <w:sz w:val="1"/>
                <w:szCs w:val="1"/>
                <w:color w:val="auto"/>
              </w:rPr>
            </w:pPr>
          </w:p>
        </w:tc>
      </w:tr>
      <w:tr>
        <w:trPr>
          <w:trHeight w:val="124"/>
        </w:trPr>
        <w:tc>
          <w:tcPr>
            <w:tcW w:w="454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44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and Subsidiaries (Six</w:t>
            </w:r>
          </w:p>
        </w:tc>
        <w:tc>
          <w:tcPr>
            <w:tcW w:w="120" w:type="dxa"/>
            <w:vAlign w:val="bottom"/>
          </w:tcPr>
          <w:p>
            <w:pPr>
              <w:spacing w:after="0"/>
              <w:rPr>
                <w:sz w:val="5"/>
                <w:szCs w:val="5"/>
                <w:color w:val="auto"/>
              </w:rPr>
            </w:pPr>
          </w:p>
        </w:tc>
        <w:tc>
          <w:tcPr>
            <w:tcW w:w="1460" w:type="dxa"/>
            <w:vAlign w:val="bottom"/>
            <w:gridSpan w:val="4"/>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 Corp. I</w:t>
            </w:r>
          </w:p>
        </w:tc>
        <w:tc>
          <w:tcPr>
            <w:tcW w:w="2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gridSpan w:val="2"/>
            <w:vMerge w:val="restart"/>
          </w:tcPr>
          <w:p>
            <w:pPr>
              <w:jc w:val="right"/>
              <w:ind w:right="488"/>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gridSpan w:val="2"/>
            <w:vMerge w:val="restart"/>
          </w:tcPr>
          <w:p>
            <w:pPr>
              <w:jc w:val="right"/>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440" w:type="dxa"/>
            <w:vAlign w:val="bottom"/>
            <w:gridSpan w:val="3"/>
            <w:vMerge w:val="restart"/>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 June</w:t>
            </w:r>
          </w:p>
        </w:tc>
        <w:tc>
          <w:tcPr>
            <w:tcW w:w="120" w:type="dxa"/>
            <w:vAlign w:val="bottom"/>
          </w:tcPr>
          <w:p>
            <w:pPr>
              <w:spacing w:after="0"/>
              <w:rPr>
                <w:sz w:val="5"/>
                <w:szCs w:val="5"/>
                <w:color w:val="auto"/>
              </w:rPr>
            </w:pPr>
          </w:p>
        </w:tc>
        <w:tc>
          <w:tcPr>
            <w:tcW w:w="1460" w:type="dxa"/>
            <w:vAlign w:val="bottom"/>
            <w:gridSpan w:val="4"/>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gridSpan w:val="2"/>
            <w:vMerge w:val="restart"/>
          </w:tcPr>
          <w:p>
            <w:pPr>
              <w:jc w:val="right"/>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5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53,399</w:t>
            </w:r>
          </w:p>
        </w:tc>
        <w:tc>
          <w:tcPr>
            <w:tcW w:w="1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53,399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551,409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(551,409 )</w:t>
            </w:r>
          </w:p>
        </w:tc>
        <w:tc>
          <w:tcPr>
            <w:tcW w:w="7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4"/>
              </w:rPr>
              <w:t>(aa)</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Sales and marketing expense</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1,431,430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4,599,000</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(bb)</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6,030,430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8,066,209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1,856,038</w:t>
            </w:r>
          </w:p>
        </w:tc>
        <w:tc>
          <w:tcPr>
            <w:tcW w:w="100" w:type="dxa"/>
            <w:vAlign w:val="bottom"/>
          </w:tcPr>
          <w:p>
            <w:pPr>
              <w:spacing w:after="0"/>
              <w:rPr>
                <w:sz w:val="12"/>
                <w:szCs w:val="12"/>
                <w:color w:val="auto"/>
              </w:rPr>
            </w:pPr>
          </w:p>
        </w:tc>
        <w:tc>
          <w:tcPr>
            <w:tcW w:w="7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4"/>
              </w:rPr>
              <w:t>(aa)</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45,124,701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32,139,954</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(bb)</w:t>
            </w: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3,062,500</w:t>
            </w:r>
          </w:p>
        </w:tc>
        <w:tc>
          <w:tcPr>
            <w:tcW w:w="100" w:type="dxa"/>
            <w:vAlign w:val="bottom"/>
          </w:tcPr>
          <w:p>
            <w:pPr>
              <w:spacing w:after="0"/>
              <w:rPr>
                <w:sz w:val="12"/>
                <w:szCs w:val="12"/>
                <w:color w:val="auto"/>
              </w:rPr>
            </w:pPr>
          </w:p>
        </w:tc>
        <w:tc>
          <w:tcPr>
            <w:tcW w:w="7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(cc)</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Formation cost</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1,304,629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(1,304,629 )</w:t>
            </w: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4"/>
              </w:rPr>
              <w:t>(aa)</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operating costs and expenses</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expenses</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120,841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Impairment of customer list</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24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9,719,157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1,856,038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39,801,454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51,376,649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5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240" w:type="dxa"/>
            <w:vAlign w:val="bottom"/>
            <w:tcBorders>
              <w:bottom w:val="single" w:sz="8" w:color="auto"/>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(9,665,758</w:t>
            </w:r>
          </w:p>
        </w:tc>
        <w:tc>
          <w:tcPr>
            <w:tcW w:w="1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(1,856,038</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(39,801,454</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(51,323,250</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78"/>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(3,009,002 )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(338,861 )</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(492,800 )</w:t>
            </w: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(dd)</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(3,840,663 )</w:t>
            </w:r>
          </w:p>
        </w:tc>
        <w:tc>
          <w:tcPr>
            <w:tcW w:w="0" w:type="dxa"/>
            <w:vAlign w:val="bottom"/>
          </w:tcPr>
          <w:p>
            <w:pPr>
              <w:spacing w:after="0"/>
              <w:rPr>
                <w:sz w:val="1"/>
                <w:szCs w:val="1"/>
                <w:color w:val="auto"/>
              </w:rPr>
            </w:pPr>
          </w:p>
        </w:tc>
      </w:tr>
      <w:tr>
        <w:trPr>
          <w:trHeight w:val="148"/>
        </w:trPr>
        <w:tc>
          <w:tcPr>
            <w:tcW w:w="4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476,445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(476,445 )</w:t>
            </w:r>
          </w:p>
        </w:tc>
        <w:tc>
          <w:tcPr>
            <w:tcW w:w="7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(ee)</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non-operating income (expense), net</w:t>
            </w:r>
          </w:p>
        </w:tc>
        <w:tc>
          <w:tcPr>
            <w:tcW w:w="2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(107,816 )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(2,100,000 )</w:t>
            </w: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6"/>
              </w:rPr>
              <w:t>(ff)</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(2,207,816 )</w:t>
            </w:r>
          </w:p>
        </w:tc>
        <w:tc>
          <w:tcPr>
            <w:tcW w:w="0" w:type="dxa"/>
            <w:vAlign w:val="bottom"/>
          </w:tcPr>
          <w:p>
            <w:pPr>
              <w:spacing w:after="0"/>
              <w:rPr>
                <w:sz w:val="1"/>
                <w:szCs w:val="1"/>
                <w:color w:val="auto"/>
              </w:rPr>
            </w:pPr>
          </w:p>
        </w:tc>
      </w:tr>
      <w:tr>
        <w:trPr>
          <w:trHeight w:val="148"/>
        </w:trPr>
        <w:tc>
          <w:tcPr>
            <w:tcW w:w="45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other (expenses) / income, net</w:t>
            </w: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82"/>
        </w:trPr>
        <w:tc>
          <w:tcPr>
            <w:tcW w:w="4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(3,116,818</w:t>
            </w: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(3,069,245</w:t>
            </w:r>
          </w:p>
        </w:tc>
        <w:tc>
          <w:tcPr>
            <w:tcW w:w="1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(6,048,479</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(loss) before taxes</w:t>
            </w:r>
          </w:p>
        </w:tc>
        <w:tc>
          <w:tcPr>
            <w:tcW w:w="2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(12,782,576 )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(1,718,454 )</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(42,870,699 )</w:t>
            </w: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(57,371,729 )</w:t>
            </w:r>
          </w:p>
        </w:tc>
        <w:tc>
          <w:tcPr>
            <w:tcW w:w="0" w:type="dxa"/>
            <w:vAlign w:val="bottom"/>
          </w:tcPr>
          <w:p>
            <w:pPr>
              <w:spacing w:after="0"/>
              <w:rPr>
                <w:sz w:val="1"/>
                <w:szCs w:val="1"/>
                <w:color w:val="auto"/>
              </w:rPr>
            </w:pPr>
          </w:p>
        </w:tc>
      </w:tr>
      <w:tr>
        <w:trPr>
          <w:trHeight w:val="297"/>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(59,870 )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(85,487 )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85,487</w:t>
            </w:r>
          </w:p>
        </w:tc>
        <w:tc>
          <w:tcPr>
            <w:tcW w:w="100" w:type="dxa"/>
            <w:vAlign w:val="bottom"/>
          </w:tcPr>
          <w:p>
            <w:pPr>
              <w:spacing w:after="0"/>
              <w:rPr>
                <w:sz w:val="24"/>
                <w:szCs w:val="24"/>
                <w:color w:val="auto"/>
              </w:rPr>
            </w:pPr>
          </w:p>
        </w:tc>
        <w:tc>
          <w:tcPr>
            <w:tcW w:w="7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4"/>
              </w:rPr>
              <w:t>(gg)</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(207,906 )</w:t>
            </w: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(148,036 )</w:t>
            </w: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(hh)</w:t>
            </w: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4540" w:type="dxa"/>
            <w:vAlign w:val="bottom"/>
            <w:tcBorders>
              <w:top w:val="single" w:sz="8" w:color="CFF0FC"/>
              <w:bottom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(12,842,446</w:t>
            </w:r>
          </w:p>
        </w:tc>
        <w:tc>
          <w:tcPr>
            <w:tcW w:w="12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CFF0FC"/>
              <w:bottom w:val="single" w:sz="8" w:color="CFF0FC"/>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(1,803,941</w:t>
            </w:r>
          </w:p>
        </w:tc>
        <w:tc>
          <w:tcPr>
            <w:tcW w:w="10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(42,933,248</w:t>
            </w:r>
          </w:p>
        </w:tc>
        <w:tc>
          <w:tcPr>
            <w:tcW w:w="10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tcBorders>
              <w:top w:val="single" w:sz="8" w:color="CFF0FC"/>
              <w:bottom w:val="single" w:sz="8" w:color="CFF0FC"/>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(57,579,635</w:t>
            </w:r>
          </w:p>
        </w:tc>
        <w:tc>
          <w:tcPr>
            <w:tcW w:w="10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 Share</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4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Weighted average shares of Rezolve common stock used in computing net</w:t>
            </w:r>
          </w:p>
        </w:tc>
        <w:tc>
          <w:tcPr>
            <w:tcW w:w="2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927,893,144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loss per share, basic and diluted</w:t>
            </w:r>
          </w:p>
        </w:tc>
        <w:tc>
          <w:tcPr>
            <w:tcW w:w="2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Basic and diluted weighted average shares outstanding</w:t>
            </w:r>
          </w:p>
        </w:tc>
        <w:tc>
          <w:tcPr>
            <w:tcW w:w="2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(0.01 )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4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 shares outstanding, common stock</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8,770,367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subject to possible redemption</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(0.05 )</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4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 shares outstanding, common stock</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subject to possible redemption</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(0.05 )</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Proforma Basic and diluted weighted average shares outstanding, common</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204,702,306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 subject to possible redemption</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Proforma Net loss per share, basic and diluted</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-3188335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-3188335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-3188335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-2896870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-2879725</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-2896870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-2879725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-2896870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-2879725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-1731010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-1731010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-1731010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(iii) Rezolve’s existing management will comprise the management of Rezolve; (iv) Rezolve will comprise the ongoing operations of Rezolve; (v) Rezolve is the larger entity based on historical revenues and business operations; and (vi) Rezolve will continue to use Rezolve’s name and Rezolve’s headquarters in London.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2023 presents the pro forma effect of the Business Combination and related transactions as if they had occurred on December 31, 2023. The unaudited pro forma condensed combined statements of operations for the year ended ended December 31, 2023 presents the pro forma effect of the Business Combination and related transactions as if they had been completed on December 31, 2023. These periods are presented on the basis of Rezolve as the accounting acquirer.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w:t>
      </w:r>
    </w:p>
    <w:p>
      <w:pPr>
        <w:spacing w:after="0" w:line="117"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Armada as of and for the year ended September 30, 2023 and 2022, incorporated by reference in this filing;</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for Armada as of and for the quarter ended December 31, 2023, incorporated by reference to this filing;</w:t>
      </w:r>
    </w:p>
    <w:p>
      <w:pPr>
        <w:spacing w:after="0" w:line="53"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carve-out financial statements of Rezolve AI Limited as of, and for the year ended, December 31, 2023, included elsewhere in this proxy statement/prospectus; and</w:t>
      </w:r>
    </w:p>
    <w:p>
      <w:pPr>
        <w:spacing w:after="0" w:line="5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9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1" w:name="page52"/>
    <w:bookmarkEnd w:id="51"/>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They should be read in conjunction with the audited financial statements and notes thereto of each of Armada and Rezolve included elsewhere in this proxy statement/prospectus.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2023 are as follows:</w:t>
      </w:r>
    </w:p>
    <w:p>
      <w:pPr>
        <w:spacing w:after="0" w:line="117" w:lineRule="exact"/>
        <w:rPr>
          <w:sz w:val="20"/>
          <w:szCs w:val="20"/>
          <w:color w:val="auto"/>
        </w:rPr>
      </w:pPr>
    </w:p>
    <w:p>
      <w:pPr>
        <w:ind w:left="900" w:right="200" w:hanging="383"/>
        <w:spacing w:after="0" w:line="282" w:lineRule="auto"/>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transaction costs incurred including, but not limited to advisory fees, legal fees and demerger costs that will be paid in connection with the consummation of the Business Combination.</w:t>
      </w:r>
    </w:p>
    <w:p>
      <w:pPr>
        <w:spacing w:after="0" w:line="53" w:lineRule="exact"/>
        <w:rPr>
          <w:rFonts w:ascii="Times New Roman" w:cs="Times New Roman" w:eastAsia="Times New Roman" w:hAnsi="Times New Roman"/>
          <w:sz w:val="18"/>
          <w:szCs w:val="18"/>
          <w:i w:val="1"/>
          <w:iCs w:val="1"/>
          <w:color w:val="auto"/>
        </w:rPr>
      </w:pPr>
    </w:p>
    <w:p>
      <w:pPr>
        <w:ind w:left="1280" w:right="240" w:hanging="374"/>
        <w:spacing w:after="0" w:line="282" w:lineRule="auto"/>
        <w:tabs>
          <w:tab w:leader="none" w:pos="12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Fee payments of an aggregate of approximately $31.5 million to CCM, Northland and Cantor Fitzgerald due upon Closing of the Business Combination.</w:t>
      </w:r>
    </w:p>
    <w:p>
      <w:pPr>
        <w:spacing w:after="0" w:line="53" w:lineRule="exact"/>
        <w:rPr>
          <w:rFonts w:ascii="Times New Roman" w:cs="Times New Roman" w:eastAsia="Times New Roman" w:hAnsi="Times New Roman"/>
          <w:sz w:val="18"/>
          <w:szCs w:val="18"/>
          <w:color w:val="auto"/>
        </w:rPr>
      </w:pPr>
    </w:p>
    <w:p>
      <w:pPr>
        <w:ind w:left="1280" w:hanging="374"/>
        <w:spacing w:after="0"/>
        <w:tabs>
          <w:tab w:leader="none" w:pos="12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Demerger and Liquidation costs of approximately $3.1 million.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settlement of Accounts payable of Armada primarily due to legal costs of the Business Combinations.</w:t>
      </w:r>
    </w:p>
    <w:p>
      <w:pPr>
        <w:spacing w:after="0" w:line="117" w:lineRule="exact"/>
        <w:rPr>
          <w:rFonts w:ascii="Times New Roman" w:cs="Times New Roman" w:eastAsia="Times New Roman" w:hAnsi="Times New Roman"/>
          <w:sz w:val="18"/>
          <w:szCs w:val="18"/>
          <w:i w:val="1"/>
          <w:iCs w:val="1"/>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payment of taxes payable using interest earned on cash held in trust.</w:t>
      </w:r>
    </w:p>
    <w:p>
      <w:pPr>
        <w:spacing w:after="0" w:line="117" w:lineRule="exact"/>
        <w:rPr>
          <w:rFonts w:ascii="Times New Roman" w:cs="Times New Roman" w:eastAsia="Times New Roman" w:hAnsi="Times New Roman"/>
          <w:sz w:val="18"/>
          <w:szCs w:val="18"/>
          <w:i w:val="1"/>
          <w:iCs w:val="1"/>
          <w:color w:val="auto"/>
        </w:rPr>
      </w:pPr>
    </w:p>
    <w:p>
      <w:pPr>
        <w:ind w:left="900" w:right="140" w:hanging="383"/>
        <w:spacing w:after="0" w:line="266" w:lineRule="auto"/>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 promissory note issued by Rezolve AI Limited to Cohen &amp; Company Financial Management LLC for $3,056,726 with interest on the principal amount outstanding at a rate of 4.95% per annum with the principal amount and any accrued interest due and payable on August 14, 2027.</w:t>
      </w:r>
    </w:p>
    <w:p>
      <w:pPr>
        <w:spacing w:after="0" w:line="67" w:lineRule="exact"/>
        <w:rPr>
          <w:rFonts w:ascii="Times New Roman" w:cs="Times New Roman" w:eastAsia="Times New Roman" w:hAnsi="Times New Roman"/>
          <w:sz w:val="18"/>
          <w:szCs w:val="18"/>
          <w:i w:val="1"/>
          <w:iCs w:val="1"/>
          <w:color w:val="auto"/>
        </w:rPr>
      </w:pPr>
    </w:p>
    <w:p>
      <w:pPr>
        <w:ind w:left="900" w:hanging="383"/>
        <w:spacing w:after="0" w:line="269" w:lineRule="auto"/>
        <w:tabs>
          <w:tab w:leader="none" w:pos="900" w:val="left"/>
        </w:tabs>
        <w:numPr>
          <w:ilvl w:val="0"/>
          <w:numId w:val="2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Reflects the withdrawals of cash from the Trust Account, excluding the redemptions in note (f). The Charter Limitation in the Armada Charter would prohibit Armada from closing the Business Combination if has net tangible assets less than $5,000,001 immediately prior to or upon consummation of its initial business combination. Armada currently has net tangible assets that are less than $5,000,001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 Armada did not present the Charter Limitation Amendment Proposal at the August special meeting of stockholders because the requirement in the Armada Charter to have net tangible assets of $5,000,001 is a condition to consummating a business combination. As such, Armada is presenting the Charter Limitation Amendment Proposal in this proxy statement/prospectus in connection with the special meeting at which the Business Combination is being approved.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70" w:lineRule="exact"/>
        <w:rPr>
          <w:rFonts w:ascii="Times New Roman" w:cs="Times New Roman" w:eastAsia="Times New Roman" w:hAnsi="Times New Roman"/>
          <w:sz w:val="17"/>
          <w:szCs w:val="17"/>
          <w:i w:val="1"/>
          <w:iCs w:val="1"/>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redemption of 1,300,391 shares in August 2024, respectively out of a total of 1,417,687 as at June 30, 2024.</w:t>
      </w:r>
    </w:p>
    <w:p>
      <w:pPr>
        <w:spacing w:after="0" w:line="117" w:lineRule="exact"/>
        <w:rPr>
          <w:rFonts w:ascii="Times New Roman" w:cs="Times New Roman" w:eastAsia="Times New Roman" w:hAnsi="Times New Roman"/>
          <w:sz w:val="18"/>
          <w:szCs w:val="18"/>
          <w:i w:val="1"/>
          <w:iCs w:val="1"/>
          <w:color w:val="auto"/>
        </w:rPr>
      </w:pPr>
    </w:p>
    <w:p>
      <w:pPr>
        <w:ind w:left="900" w:right="340" w:hanging="383"/>
        <w:spacing w:after="0" w:line="282" w:lineRule="auto"/>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the ordinary shares payable under the rights issue upon the completion of the reorganization immediately before listing.</w:t>
      </w:r>
    </w:p>
    <w:p>
      <w:pPr>
        <w:spacing w:after="0" w:line="53" w:lineRule="exact"/>
        <w:rPr>
          <w:rFonts w:ascii="Times New Roman" w:cs="Times New Roman" w:eastAsia="Times New Roman" w:hAnsi="Times New Roman"/>
          <w:sz w:val="18"/>
          <w:szCs w:val="18"/>
          <w:i w:val="1"/>
          <w:iCs w:val="1"/>
          <w:color w:val="auto"/>
        </w:rPr>
      </w:pPr>
    </w:p>
    <w:p>
      <w:pPr>
        <w:ind w:left="900" w:right="40" w:hanging="383"/>
        <w:spacing w:after="0" w:line="258" w:lineRule="auto"/>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short-term convertible debt into Rezolve Common stock at $1 per loan note to a 5% discount to the pre-equity consummation of the Business Combination. Reflects the conversion of long-term convertible debt at the close of the Business Combination at $1 per loan note with a discount of 0.7 to the pre-IPO share price of the Combined Company’s ordinary shares. A corresponding increase in Rezolve’s ordinary shares (at the nominal share value of £0.0001 per share), is reflected, with the remainder captured in Rezolve’s additional paid-in capital.</w:t>
      </w:r>
    </w:p>
    <w:p>
      <w:pPr>
        <w:spacing w:after="0" w:line="75" w:lineRule="exact"/>
        <w:rPr>
          <w:rFonts w:ascii="Times New Roman" w:cs="Times New Roman" w:eastAsia="Times New Roman" w:hAnsi="Times New Roman"/>
          <w:sz w:val="18"/>
          <w:szCs w:val="18"/>
          <w:i w:val="1"/>
          <w:iCs w:val="1"/>
          <w:color w:val="auto"/>
        </w:rPr>
      </w:pPr>
    </w:p>
    <w:p>
      <w:pPr>
        <w:ind w:left="900" w:right="100" w:hanging="383"/>
        <w:spacing w:after="0" w:line="282" w:lineRule="auto"/>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exchange of Armada Common Stock having a nominal value of $0.0001 per share into the Combined Company’s ordinary shares of £0.0001 per share, with the remainder captured in Rezolve’s additional paid-in capital.</w:t>
      </w:r>
    </w:p>
    <w:p>
      <w:pPr>
        <w:spacing w:after="0" w:line="53" w:lineRule="exact"/>
        <w:rPr>
          <w:rFonts w:ascii="Times New Roman" w:cs="Times New Roman" w:eastAsia="Times New Roman" w:hAnsi="Times New Roman"/>
          <w:sz w:val="18"/>
          <w:szCs w:val="18"/>
          <w:i w:val="1"/>
          <w:iCs w:val="1"/>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Armada redeemable stock into Rezolve ordinary shares under the minimum redemption scenarios.</w:t>
      </w:r>
    </w:p>
    <w:p>
      <w:pPr>
        <w:spacing w:after="0" w:line="117" w:lineRule="exact"/>
        <w:rPr>
          <w:rFonts w:ascii="Times New Roman" w:cs="Times New Roman" w:eastAsia="Times New Roman" w:hAnsi="Times New Roman"/>
          <w:sz w:val="18"/>
          <w:szCs w:val="18"/>
          <w:i w:val="1"/>
          <w:iCs w:val="1"/>
          <w:color w:val="auto"/>
        </w:rPr>
      </w:pPr>
    </w:p>
    <w:p>
      <w:pPr>
        <w:ind w:left="900" w:right="420" w:hanging="383"/>
        <w:spacing w:after="0" w:line="266" w:lineRule="auto"/>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Pursuant to the Business Combination, each outstanding share of Rezolve’s Series A Preferred Stock will automatically convert into one Rezolve ordinary share and thereafter the ordinary shares will be the subject of the Company Reorganization. As a result, the adjustments reflect the reduction in Rezolve’s Series A shares, and a corresponding increase in Rezolve’s ordinary shares.</w:t>
      </w:r>
    </w:p>
    <w:p>
      <w:pPr>
        <w:spacing w:after="0" w:line="67" w:lineRule="exact"/>
        <w:rPr>
          <w:rFonts w:ascii="Times New Roman" w:cs="Times New Roman" w:eastAsia="Times New Roman" w:hAnsi="Times New Roman"/>
          <w:sz w:val="18"/>
          <w:szCs w:val="18"/>
          <w:i w:val="1"/>
          <w:iCs w:val="1"/>
          <w:color w:val="auto"/>
        </w:rPr>
      </w:pPr>
    </w:p>
    <w:p>
      <w:pPr>
        <w:ind w:left="900" w:right="40" w:hanging="383"/>
        <w:spacing w:after="0" w:line="282" w:lineRule="auto"/>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2" w:name="page53"/>
    <w:bookmarkEnd w:id="52"/>
    <w:p>
      <w:pPr>
        <w:ind w:left="900" w:right="500" w:hanging="383"/>
        <w:spacing w:after="0" w:line="282" w:lineRule="auto"/>
        <w:tabs>
          <w:tab w:leader="none" w:pos="90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$0.63 for employee shares that will trigger a grant upon amending the articles of the company, anticipated before the close of the Business Combination.</w:t>
      </w:r>
    </w:p>
    <w:p>
      <w:pPr>
        <w:spacing w:after="0" w:line="53" w:lineRule="exact"/>
        <w:rPr>
          <w:rFonts w:ascii="Times New Roman" w:cs="Times New Roman" w:eastAsia="Times New Roman" w:hAnsi="Times New Roman"/>
          <w:sz w:val="18"/>
          <w:szCs w:val="18"/>
          <w:i w:val="1"/>
          <w:iCs w:val="1"/>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Elimination of historical retained earnings of Armada as part of the acquisition accounting.</w:t>
      </w:r>
    </w:p>
    <w:p>
      <w:pPr>
        <w:spacing w:after="0" w:line="117" w:lineRule="exact"/>
        <w:rPr>
          <w:rFonts w:ascii="Times New Roman" w:cs="Times New Roman" w:eastAsia="Times New Roman" w:hAnsi="Times New Roman"/>
          <w:sz w:val="18"/>
          <w:szCs w:val="18"/>
          <w:i w:val="1"/>
          <w:iCs w:val="1"/>
          <w:color w:val="auto"/>
        </w:rPr>
      </w:pPr>
    </w:p>
    <w:p>
      <w:pPr>
        <w:ind w:left="900" w:right="340" w:hanging="383"/>
        <w:spacing w:after="0" w:line="282" w:lineRule="auto"/>
        <w:tabs>
          <w:tab w:leader="none" w:pos="90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w:t>
      </w:r>
    </w:p>
    <w:p>
      <w:pPr>
        <w:spacing w:after="0" w:line="53" w:lineRule="exact"/>
        <w:rPr>
          <w:rFonts w:ascii="Times New Roman" w:cs="Times New Roman" w:eastAsia="Times New Roman" w:hAnsi="Times New Roman"/>
          <w:sz w:val="18"/>
          <w:szCs w:val="18"/>
          <w:i w:val="1"/>
          <w:iCs w:val="1"/>
          <w:color w:val="auto"/>
        </w:rPr>
      </w:pPr>
    </w:p>
    <w:p>
      <w:pPr>
        <w:ind w:left="900" w:right="380" w:hanging="383"/>
        <w:spacing w:after="0" w:line="282" w:lineRule="auto"/>
        <w:tabs>
          <w:tab w:leader="none" w:pos="90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reclass of accumulated deficit from Rezolve Limited into Additional Paid-in Capital of Rezolve Ai Limited upon demerger of Rezolve Limited,</w:t>
      </w:r>
    </w:p>
    <w:p>
      <w:pPr>
        <w:spacing w:after="0" w:line="53" w:lineRule="exact"/>
        <w:rPr>
          <w:rFonts w:ascii="Times New Roman" w:cs="Times New Roman" w:eastAsia="Times New Roman" w:hAnsi="Times New Roman"/>
          <w:sz w:val="18"/>
          <w:szCs w:val="18"/>
          <w:i w:val="1"/>
          <w:iCs w:val="1"/>
          <w:color w:val="auto"/>
        </w:rPr>
      </w:pPr>
    </w:p>
    <w:p>
      <w:pPr>
        <w:ind w:left="900" w:right="160" w:hanging="383"/>
        <w:spacing w:after="0" w:line="256" w:lineRule="auto"/>
        <w:tabs>
          <w:tab w:leader="none" w:pos="90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an aggregate of $ 28,641,250 principal amount due under certain promissory notes, consisting of (1) a promissory note issued by Armada to Northland Securities, Inc. for $5,141,250 with interest on the principal amount outstanding at a rate of 10% per annum from July 30, 2024,until the note is fully paid; (2) a promissory note issued by Armada to J.V.B. Financial Group for $7,500,000 with interest on the principal amount outstanding at a rate 4.95% per annum from August 14, 2024, until the note is fully paid; and $16,000,000 in advisors fees payable to Cantor Fitzgerald &amp; Co. The advisors shares may be paid in ordinary stock of Rezolve AI Limited provided that both of the above promissory notes are settled by issuing Ordinary shares.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3—Unaudited pro forma condensed combined statements of operations adjustments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2023 are as follows:</w:t>
      </w:r>
    </w:p>
    <w:p>
      <w:pPr>
        <w:spacing w:after="0" w:line="54" w:lineRule="exact"/>
        <w:rPr>
          <w:sz w:val="20"/>
          <w:szCs w:val="20"/>
          <w:color w:val="auto"/>
        </w:rPr>
      </w:pPr>
    </w:p>
    <w:p>
      <w:pPr>
        <w:ind w:left="880" w:hanging="363"/>
        <w:spacing w:after="0"/>
        <w:tabs>
          <w:tab w:leader="none" w:pos="88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 reclassification of Armada costs to conform with S-X 5-03.</w:t>
      </w:r>
    </w:p>
    <w:p>
      <w:pPr>
        <w:spacing w:after="0" w:line="117" w:lineRule="exact"/>
        <w:rPr>
          <w:rFonts w:ascii="Times New Roman" w:cs="Times New Roman" w:eastAsia="Times New Roman" w:hAnsi="Times New Roman"/>
          <w:sz w:val="18"/>
          <w:szCs w:val="18"/>
          <w:i w:val="1"/>
          <w:iCs w:val="1"/>
          <w:color w:val="auto"/>
        </w:rPr>
      </w:pPr>
    </w:p>
    <w:p>
      <w:pPr>
        <w:ind w:left="900" w:right="380" w:hanging="383"/>
        <w:spacing w:after="0" w:line="282" w:lineRule="auto"/>
        <w:tabs>
          <w:tab w:leader="none" w:pos="88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$0.63 for employee shares. Upon amending the articles of the company, anticipated before the close of the Business Combination), a grant date will be triggered.</w:t>
      </w:r>
    </w:p>
    <w:p>
      <w:pPr>
        <w:spacing w:after="0" w:line="53" w:lineRule="exact"/>
        <w:rPr>
          <w:rFonts w:ascii="Times New Roman" w:cs="Times New Roman" w:eastAsia="Times New Roman" w:hAnsi="Times New Roman"/>
          <w:sz w:val="18"/>
          <w:szCs w:val="18"/>
          <w:i w:val="1"/>
          <w:iCs w:val="1"/>
          <w:color w:val="auto"/>
        </w:rPr>
      </w:pPr>
    </w:p>
    <w:p>
      <w:pPr>
        <w:ind w:left="900" w:right="60" w:hanging="383"/>
        <w:spacing w:after="0" w:line="282" w:lineRule="auto"/>
        <w:tabs>
          <w:tab w:leader="none" w:pos="88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53" w:lineRule="exact"/>
        <w:rPr>
          <w:rFonts w:ascii="Times New Roman" w:cs="Times New Roman" w:eastAsia="Times New Roman" w:hAnsi="Times New Roman"/>
          <w:sz w:val="18"/>
          <w:szCs w:val="18"/>
          <w:i w:val="1"/>
          <w:iCs w:val="1"/>
          <w:color w:val="auto"/>
        </w:rPr>
      </w:pPr>
    </w:p>
    <w:p>
      <w:pPr>
        <w:ind w:left="900" w:right="360" w:hanging="383"/>
        <w:spacing w:after="0" w:line="282" w:lineRule="auto"/>
        <w:tabs>
          <w:tab w:leader="none" w:pos="88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w:t>
      </w:r>
    </w:p>
    <w:p>
      <w:pPr>
        <w:spacing w:after="0" w:line="53" w:lineRule="exact"/>
        <w:rPr>
          <w:rFonts w:ascii="Times New Roman" w:cs="Times New Roman" w:eastAsia="Times New Roman" w:hAnsi="Times New Roman"/>
          <w:sz w:val="18"/>
          <w:szCs w:val="18"/>
          <w:i w:val="1"/>
          <w:iCs w:val="1"/>
          <w:color w:val="auto"/>
        </w:rPr>
      </w:pPr>
    </w:p>
    <w:p>
      <w:pPr>
        <w:ind w:left="880" w:hanging="363"/>
        <w:spacing w:after="0"/>
        <w:tabs>
          <w:tab w:leader="none" w:pos="88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eliminate the interest income earned assuming the Business Combination completed on January 1, 2024.</w:t>
      </w:r>
    </w:p>
    <w:p>
      <w:pPr>
        <w:spacing w:after="0" w:line="117" w:lineRule="exact"/>
        <w:rPr>
          <w:rFonts w:ascii="Times New Roman" w:cs="Times New Roman" w:eastAsia="Times New Roman" w:hAnsi="Times New Roman"/>
          <w:sz w:val="18"/>
          <w:szCs w:val="18"/>
          <w:i w:val="1"/>
          <w:iCs w:val="1"/>
          <w:color w:val="auto"/>
        </w:rPr>
      </w:pPr>
    </w:p>
    <w:p>
      <w:pPr>
        <w:ind w:left="900" w:right="80" w:hanging="383"/>
        <w:spacing w:after="0" w:line="282" w:lineRule="auto"/>
        <w:tabs>
          <w:tab w:leader="none" w:pos="88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costs of the Pre-Closing Demerger that will be paid in connection with the consummation of the Business Combination. This is a non-recurring item.</w:t>
      </w:r>
    </w:p>
    <w:p>
      <w:pPr>
        <w:spacing w:after="0" w:line="53" w:lineRule="exact"/>
        <w:rPr>
          <w:rFonts w:ascii="Times New Roman" w:cs="Times New Roman" w:eastAsia="Times New Roman" w:hAnsi="Times New Roman"/>
          <w:sz w:val="18"/>
          <w:szCs w:val="18"/>
          <w:i w:val="1"/>
          <w:iCs w:val="1"/>
          <w:color w:val="auto"/>
        </w:rPr>
      </w:pPr>
    </w:p>
    <w:p>
      <w:pPr>
        <w:ind w:left="900" w:right="220" w:hanging="383"/>
        <w:spacing w:after="0" w:line="282" w:lineRule="auto"/>
        <w:tabs>
          <w:tab w:leader="none" w:pos="88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eliminate the taxes payable on interest income that would have not been incurred given the Business Combination completed on January 1, 2024.</w:t>
      </w:r>
    </w:p>
    <w:p>
      <w:pPr>
        <w:spacing w:after="0" w:line="53" w:lineRule="exact"/>
        <w:rPr>
          <w:rFonts w:ascii="Times New Roman" w:cs="Times New Roman" w:eastAsia="Times New Roman" w:hAnsi="Times New Roman"/>
          <w:sz w:val="18"/>
          <w:szCs w:val="18"/>
          <w:i w:val="1"/>
          <w:iCs w:val="1"/>
          <w:color w:val="auto"/>
        </w:rPr>
      </w:pPr>
    </w:p>
    <w:p>
      <w:pPr>
        <w:ind w:left="880" w:hanging="363"/>
        <w:spacing w:after="0"/>
        <w:tabs>
          <w:tab w:leader="none" w:pos="88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excise tax payable on the redemption of 1,300,391 shares in August 2024, respectively out of a total of 1,417,687 at June 30,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4—Earnings per Share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Represents the net earnings per share calculated using the historical weighted average shares outstanding, and the issuance of additional shares in connection with the Business Combination, assuming the shares were outstanding since January 1, 2023.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64"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8"/>
          <w:szCs w:val="18"/>
          <w:i w:val="1"/>
          <w:iCs w:val="1"/>
          <w:color w:val="auto"/>
        </w:rPr>
        <w:t>Business of Rezolve Limited—Partner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firstLine="749"/>
        <w:spacing w:after="0" w:line="281" w:lineRule="auto"/>
        <w:rPr>
          <w:sz w:val="20"/>
          <w:szCs w:val="20"/>
          <w:color w:val="auto"/>
        </w:rPr>
      </w:pPr>
      <w:r>
        <w:rPr>
          <w:rFonts w:ascii="Times New Roman" w:cs="Times New Roman" w:eastAsia="Times New Roman" w:hAnsi="Times New Roman"/>
          <w:sz w:val="17"/>
          <w:szCs w:val="17"/>
          <w:color w:val="auto"/>
        </w:rPr>
        <w:t>Rezolve was incorporated in England and Wales as a private limited company on January 5, 2023 under the name Rezolve Group Limited with company number 14573691 and changed its name on June 5, 2023 to Rezolve AI Limited. Rezolve intends to re-register as a public limited company.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19030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520" w:firstLine="8"/>
        <w:spacing w:after="0" w:line="223" w:lineRule="auto"/>
        <w:tabs>
          <w:tab w:leader="none" w:pos="105"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https://www.rezolve.com/investors/britainsbrain-heralds-new-era-of-commerce-enabled-ai/</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4" w:name="page55"/>
    <w:bookmarkEnd w:id="54"/>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13" w:lineRule="exact"/>
        <w:rPr>
          <w:sz w:val="20"/>
          <w:szCs w:val="20"/>
          <w:color w:val="auto"/>
        </w:rPr>
      </w:pPr>
    </w:p>
    <w:p>
      <w:pPr>
        <w:ind w:left="900" w:right="100" w:hanging="383"/>
        <w:spacing w:after="0" w:line="28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w:t>
      </w:r>
    </w:p>
    <w:p>
      <w:pPr>
        <w:spacing w:after="0" w:line="46" w:lineRule="exact"/>
        <w:rPr>
          <w:rFonts w:ascii="Times New Roman" w:cs="Times New Roman" w:eastAsia="Times New Roman" w:hAnsi="Times New Roman"/>
          <w:sz w:val="18"/>
          <w:szCs w:val="18"/>
          <w:color w:val="auto"/>
        </w:rPr>
      </w:pPr>
    </w:p>
    <w:p>
      <w:pPr>
        <w:ind w:left="900" w:right="100" w:hanging="383"/>
        <w:spacing w:after="0" w:line="259"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71" w:lineRule="exact"/>
        <w:rPr>
          <w:rFonts w:ascii="Times New Roman" w:cs="Times New Roman" w:eastAsia="Times New Roman" w:hAnsi="Times New Roman"/>
          <w:sz w:val="18"/>
          <w:szCs w:val="18"/>
          <w:color w:val="auto"/>
        </w:rPr>
      </w:pPr>
    </w:p>
    <w:p>
      <w:pPr>
        <w:ind w:left="900" w:hanging="383"/>
        <w:spacing w:after="0" w:line="259"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71" w:lineRule="exact"/>
        <w:rPr>
          <w:rFonts w:ascii="Times New Roman" w:cs="Times New Roman" w:eastAsia="Times New Roman" w:hAnsi="Times New Roman"/>
          <w:sz w:val="18"/>
          <w:szCs w:val="18"/>
          <w:color w:val="auto"/>
        </w:rPr>
      </w:pPr>
    </w:p>
    <w:p>
      <w:pPr>
        <w:ind w:left="900" w:right="80" w:hanging="383"/>
        <w:spacing w:after="0" w:line="259"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Merchant Retention and Expansion</w:t>
      </w:r>
      <w:r>
        <w:rPr>
          <w:rFonts w:ascii="Times New Roman" w:cs="Times New Roman" w:eastAsia="Times New Roman" w:hAnsi="Times New Roman"/>
          <w:sz w:val="18"/>
          <w:szCs w:val="18"/>
          <w:color w:val="auto"/>
        </w:rPr>
        <w:t>: We care deeply about merchants. Our commitment to their success, we believe, increases retention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71" w:lineRule="exact"/>
        <w:rPr>
          <w:rFonts w:ascii="Times New Roman" w:cs="Times New Roman" w:eastAsia="Times New Roman" w:hAnsi="Times New Roman"/>
          <w:sz w:val="18"/>
          <w:szCs w:val="18"/>
          <w:color w:val="auto"/>
        </w:rPr>
      </w:pPr>
    </w:p>
    <w:p>
      <w:pPr>
        <w:ind w:left="900" w:right="20" w:hanging="383"/>
        <w:spacing w:after="0" w:line="28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Offering and service enhancement</w:t>
      </w:r>
      <w:r>
        <w:rPr>
          <w:rFonts w:ascii="Times New Roman" w:cs="Times New Roman" w:eastAsia="Times New Roman" w:hAnsi="Times New Roman"/>
          <w:sz w:val="18"/>
          <w:szCs w:val="18"/>
          <w:color w:val="auto"/>
        </w:rPr>
        <w:t>: We intend to continue investing in the capabilities of our offerings and services to deliver better value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users and merchants and address new market opportunities. Additionally, we will work to perfect our platform service</w:t>
      </w:r>
    </w:p>
    <w:p>
      <w:pPr>
        <w:spacing w:after="0" w:line="46" w:lineRule="exact"/>
        <w:rPr>
          <w:rFonts w:ascii="Times New Roman" w:cs="Times New Roman" w:eastAsia="Times New Roman" w:hAnsi="Times New Roman"/>
          <w:sz w:val="18"/>
          <w:szCs w:val="18"/>
          <w:color w:val="auto"/>
        </w:rPr>
      </w:pPr>
    </w:p>
    <w:p>
      <w:pPr>
        <w:ind w:left="900" w:right="80" w:hanging="383"/>
        <w:spacing w:after="0" w:line="268"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 successful merger agreement with a SPAC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financing through capital markets. Additionally, our growth may be supported by acquisitions of businesses where management identifies synergistic growth opportunities.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2" w:lineRule="exact"/>
        <w:rPr>
          <w:sz w:val="20"/>
          <w:szCs w:val="20"/>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4"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50"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71" w:lineRule="exact"/>
        <w:rPr>
          <w:rFonts w:ascii="Times New Roman" w:cs="Times New Roman" w:eastAsia="Times New Roman" w:hAnsi="Times New Roman"/>
          <w:sz w:val="18"/>
          <w:szCs w:val="18"/>
          <w:color w:val="auto"/>
        </w:rPr>
      </w:pPr>
    </w:p>
    <w:p>
      <w:pPr>
        <w:jc w:val="both"/>
        <w:ind w:left="900" w:right="160" w:hanging="383"/>
        <w:spacing w:after="0" w:line="267"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a customer list and acquired information technology intangible assets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depreciation of fixed tangible assets. We note that all software development expenditure up until the end of December 2022 has been expensed.</w:t>
      </w:r>
    </w:p>
    <w:p>
      <w:pPr>
        <w:spacing w:after="0" w:line="6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of loans and accounts receivable in the years ended December 31, 2023.</w:t>
      </w:r>
    </w:p>
    <w:p>
      <w:pPr>
        <w:spacing w:after="0" w:line="117" w:lineRule="exact"/>
        <w:rPr>
          <w:rFonts w:ascii="Times New Roman" w:cs="Times New Roman" w:eastAsia="Times New Roman" w:hAnsi="Times New Roman"/>
          <w:sz w:val="18"/>
          <w:szCs w:val="18"/>
          <w:color w:val="auto"/>
        </w:rPr>
      </w:pPr>
    </w:p>
    <w:p>
      <w:pPr>
        <w:ind w:left="900" w:right="40" w:hanging="383"/>
        <w:spacing w:after="0" w:line="284"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investment in ANY</w:t>
      </w:r>
      <w:r>
        <w:rPr>
          <w:rFonts w:ascii="Times New Roman" w:cs="Times New Roman" w:eastAsia="Times New Roman" w:hAnsi="Times New Roman"/>
          <w:sz w:val="18"/>
          <w:szCs w:val="18"/>
          <w:color w:val="auto"/>
        </w:rPr>
        <w:t>: Consists of the value of the investment in ANY which was impaired following the Company’s loss of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and indicators of impairment.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costs associated with convertible debt. The group currently has no bank debt and no banking facilities which would incur interest.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 ended December 31, 2023.</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in dollar amounts and as a percentage of total revenues for each period presented:</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6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100" w:type="dxa"/>
            <w:vAlign w:val="bottom"/>
          </w:tcPr>
          <w:p>
            <w:pPr>
              <w:spacing w:after="0"/>
              <w:rPr>
                <w:sz w:val="18"/>
                <w:szCs w:val="18"/>
                <w:color w:val="auto"/>
              </w:rPr>
            </w:pPr>
          </w:p>
        </w:tc>
      </w:tr>
      <w:tr>
        <w:trPr>
          <w:trHeight w:val="209"/>
        </w:trPr>
        <w:tc>
          <w:tcPr>
            <w:tcW w:w="46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745,040</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4,338,557</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86,640,500</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3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FF0FC"/>
          </w:tcPr>
          <w:p>
            <w:pPr>
              <w:spacing w:after="0"/>
              <w:rPr>
                <w:sz w:val="18"/>
                <w:szCs w:val="18"/>
                <w:color w:val="auto"/>
              </w:rPr>
            </w:pPr>
          </w:p>
        </w:tc>
      </w:tr>
      <w:tr>
        <w:trPr>
          <w:trHeight w:val="209"/>
        </w:trPr>
        <w:tc>
          <w:tcPr>
            <w:tcW w:w="46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26,151,325</w:t>
            </w: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107,161,306</w:t>
            </w:r>
          </w:p>
        </w:tc>
        <w:tc>
          <w:tcPr>
            <w:tcW w:w="100" w:type="dxa"/>
            <w:vAlign w:val="bottom"/>
            <w:tcBorders>
              <w:top w:val="single" w:sz="8" w:color="CFF0FC"/>
            </w:tcBorders>
          </w:tcPr>
          <w:p>
            <w:pPr>
              <w:spacing w:after="0"/>
              <w:rPr>
                <w:sz w:val="18"/>
                <w:szCs w:val="18"/>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(26,006,274 )</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(107,046,147 )</w:t>
            </w:r>
          </w:p>
        </w:tc>
      </w:tr>
      <w:tr>
        <w:trPr>
          <w:trHeight w:val="209"/>
        </w:trPr>
        <w:tc>
          <w:tcPr>
            <w:tcW w:w="4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(4,791,782 )</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(3,884,695 )</w:t>
            </w: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256,659</w:t>
            </w:r>
          </w:p>
        </w:tc>
        <w:tc>
          <w:tcPr>
            <w:tcW w:w="100" w:type="dxa"/>
            <w:vAlign w:val="bottom"/>
          </w:tcPr>
          <w:p>
            <w:pPr>
              <w:spacing w:after="0"/>
              <w:rPr>
                <w:sz w:val="18"/>
                <w:szCs w:val="18"/>
                <w:color w:val="auto"/>
              </w:rPr>
            </w:pPr>
          </w:p>
        </w:tc>
      </w:tr>
      <w:tr>
        <w:trPr>
          <w:trHeight w:val="209"/>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(4,666,416 )</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(3,628,036 )</w:t>
            </w:r>
          </w:p>
        </w:tc>
      </w:tr>
      <w:tr>
        <w:trPr>
          <w:trHeight w:val="20"/>
        </w:trPr>
        <w:tc>
          <w:tcPr>
            <w:tcW w:w="4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(30,672,690 )</w:t>
            </w:r>
          </w:p>
        </w:tc>
        <w:tc>
          <w:tcPr>
            <w:tcW w:w="2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(110,674,183 )</w:t>
            </w:r>
          </w:p>
        </w:tc>
      </w:tr>
      <w:tr>
        <w:trPr>
          <w:trHeight w:val="20"/>
        </w:trPr>
        <w:tc>
          <w:tcPr>
            <w:tcW w:w="4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(63,408 )</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(38,765 )</w:t>
            </w:r>
          </w:p>
        </w:tc>
      </w:tr>
      <w:tr>
        <w:trPr>
          <w:trHeight w:val="20"/>
        </w:trPr>
        <w:tc>
          <w:tcPr>
            <w:tcW w:w="4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(30,736,098 )</w:t>
            </w:r>
          </w:p>
        </w:tc>
        <w:tc>
          <w:tcPr>
            <w:tcW w:w="2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(110,712,948 )</w:t>
            </w:r>
          </w:p>
        </w:tc>
      </w:tr>
      <w:tr>
        <w:trPr>
          <w:trHeight w:val="20"/>
        </w:trPr>
        <w:tc>
          <w:tcPr>
            <w:tcW w:w="4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-2408555</wp:posOffset>
            </wp:positionV>
            <wp:extent cx="596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-2408555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-1302385</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-1302385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-1010920</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-1010920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-445135</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-445135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-153670</wp:posOffset>
            </wp:positionV>
            <wp:extent cx="596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-153670</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 ended December 31, 2023 and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shows total revenues from ticketing transactions for the year ended December 31, 2023, as compared to the year ended December 31,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210"/>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r>
      <w:tr>
        <w:trPr>
          <w:trHeight w:val="209"/>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90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4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-170815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Revenues increased from $0.11 million for the year ended December 31, 2022 as compared to $0.15 million for the year ended December 31, 2023 is attributable to increased ticketing revenue from Spain.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operating expenses for the year ended December 31, 2023, as compared to the year ended December 31, 2022:</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4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745,040</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(710,259 )</w:t>
            </w:r>
          </w:p>
        </w:tc>
        <w:tc>
          <w:tcPr>
            <w:tcW w:w="3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95 %</w:t>
            </w: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4,338,557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2,392,697</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55 %</w:t>
            </w: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86,640,500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(68,653,972 )</w:t>
            </w:r>
          </w:p>
        </w:tc>
        <w:tc>
          <w:tcPr>
            <w:tcW w:w="3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(79 )%</w:t>
            </w: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821,364</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245 %</w:t>
            </w: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(14,822,022 )</w:t>
            </w:r>
          </w:p>
        </w:tc>
        <w:tc>
          <w:tcPr>
            <w:tcW w:w="3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 of goodwill</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(44,438 )</w:t>
            </w:r>
          </w:p>
        </w:tc>
        <w:tc>
          <w:tcPr>
            <w:tcW w:w="3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0"/>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26,151,325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107,161,306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(81,009,981 )</w:t>
            </w:r>
          </w:p>
        </w:tc>
        <w:tc>
          <w:tcPr>
            <w:tcW w:w="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(76 )%</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-24765</wp:posOffset>
            </wp:positionV>
            <wp:extent cx="596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596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596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Cost of revenues have decreased by $0.7 million, for the year ended December 31, 2023, compared to the year ended December 31, 2022. This was due to the impairment of inventory of $0.7 million in 2022.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$2.4 million, for the year ended December 31, 2023, compared to the year ended December 31, 2022. This was primarily due to an increase in share-based payments of $3.3 million from a grant made in September 2023, offset by a reduction of $0.5 million and $0.4 million in advertisement and salary costs, respectively due to reduced headcount.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$68.6 million, for the year ended December 31, 2023, compared to the year ended December 31, 2022. $14.6 million of the reduction related to the impairment of investment in ANY in 2022. Share-based payments to employees increased by $3.6 million due to a grant in September 2023. Share based payments to directors decreased by $36.5 million for payments to related parties due to a grant to DBLP Sea Cow and directors of the Company, and a decrease in share-based payments of $18.4 million for share based payments to consultants. Other general and administrative expenses decreased by $2.7 million due to the Company’s reduced head count and reduced activities and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operating expenses increased by $0.8 million due to an impairment of a loan receivables to Swipeby and Moneymatic.</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unchanged at $0.24 million, for the year ended December 31, 2023, compared to the year ended December 31, 2022.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Impairment of investment in ANY in the year ended December 31, 2023 decreased by $14.8 million primarily due to an impairment charge in 2022.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impaired our investment in ANY due to the loss of voting rights, the uncertainty of completing the acquisition of control of ANY at the end of 2022.</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interest expense and other non-operating income for the year ended December 31, 2023, as compared to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5"/>
                <w:szCs w:val="15"/>
                <w:color w:val="auto"/>
              </w:rPr>
            </w:pPr>
          </w:p>
        </w:tc>
        <w:tc>
          <w:tcPr>
            <w:tcW w:w="150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42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907,087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23 %</w:t>
            </w: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(125,366 )</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(256,659 )</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131,293</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r>
      <w:tr>
        <w:trPr>
          <w:trHeight w:val="210"/>
        </w:trPr>
        <w:tc>
          <w:tcPr>
            <w:tcW w:w="4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4,666,416</w:t>
            </w:r>
          </w:p>
        </w:tc>
        <w:tc>
          <w:tcPr>
            <w:tcW w:w="2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3,628,036</w:t>
            </w:r>
          </w:p>
        </w:tc>
        <w:tc>
          <w:tcPr>
            <w:tcW w:w="2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1,038,380</w:t>
            </w:r>
          </w:p>
        </w:tc>
        <w:tc>
          <w:tcPr>
            <w:tcW w:w="18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116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29 %</w:t>
            </w:r>
          </w:p>
        </w:tc>
      </w:tr>
      <w:tr>
        <w:trPr>
          <w:trHeight w:val="20"/>
        </w:trPr>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-170815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59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Interest expense increased by $0.9 million for the year ended December 31, 2023 as compared to the year ended December 31, 2022. This was primarily due to an increase in borrowing in 2023 related to the convertible loan note. An additional loan from Igor Lychagov of $4.2 million added an additional $1.2 million of borrowing fees to interest costs, offset by the forbearance of $0.5 million of interest costs related to the convertible loan note.</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decreased by $0.1 million for the year ended December 31, 2023 as compared to the year ended December 31, 2022, this is due to an increase in foreign exchange losses of $0.2 million offset by the recognition of research and development tax credits of $0.5m in each of 2023 and 2022.</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Operating losses decreased from $107.1 million for the year ended December 31, 2022 million to $26.0 million for the year ended December 31, 2023. This was due to a decrease in Operating expenses from $107.2 million for the year ended December 31, 2022 to $26.2 million for the year ended 31 December, 2023. The drivers of decreased Operating expenses are as detailed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 The following financial metrics are used by management to monitor and analyze the operational performance of our business.</w:t>
      </w:r>
    </w:p>
    <w:p>
      <w:pPr>
        <w:spacing w:after="0" w:line="70" w:lineRule="exact"/>
        <w:rPr>
          <w:sz w:val="20"/>
          <w:szCs w:val="20"/>
          <w:color w:val="auto"/>
        </w:rPr>
      </w:pPr>
    </w:p>
    <w:p>
      <w:pPr>
        <w:ind w:left="900" w:right="500" w:hanging="383"/>
        <w:spacing w:after="0" w:line="284"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72" w:lineRule="exact"/>
        <w:rPr>
          <w:sz w:val="20"/>
          <w:szCs w:val="20"/>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900" w:right="72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EBITDA differently than we do.</w:t>
      </w:r>
    </w:p>
    <w:p>
      <w:pPr>
        <w:spacing w:after="0" w:line="22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6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(30,736,098 )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(110,712,948 )</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100" w:type="dxa"/>
            <w:vAlign w:val="bottom"/>
          </w:tcPr>
          <w:p>
            <w:pPr>
              <w:spacing w:after="0"/>
              <w:rPr>
                <w:sz w:val="18"/>
                <w:szCs w:val="18"/>
                <w:color w:val="auto"/>
              </w:rPr>
            </w:pPr>
          </w:p>
        </w:tc>
      </w:tr>
      <w:tr>
        <w:trPr>
          <w:trHeight w:val="216"/>
        </w:trPr>
        <w:tc>
          <w:tcPr>
            <w:tcW w:w="4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(25,638,472 )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(106,553,691 )</w:t>
            </w:r>
          </w:p>
        </w:tc>
      </w:tr>
      <w:tr>
        <w:trPr>
          <w:trHeight w:val="20"/>
        </w:trPr>
        <w:tc>
          <w:tcPr>
            <w:tcW w:w="4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-153670</wp:posOffset>
            </wp:positionV>
            <wp:extent cx="596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-153670</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years ended December 31, 2023 and December 31, 2022. PCAOB audit and U.S. legal counsel costs for the periods under review have been accrued as incurred in the year ended December 31, 2023.</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68" w:lineRule="exact"/>
        <w:rPr>
          <w:sz w:val="20"/>
          <w:szCs w:val="20"/>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color w:val="auto"/>
        </w:rPr>
      </w:pPr>
    </w:p>
    <w:p>
      <w:pPr>
        <w:ind w:left="900" w:right="100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Adjusted EBITDA is used by management to understand and track underlying earnings performance by excluding one-time and non-recurring costs.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 it is appropriate to exclude theses costs from Adjusted EBITDA as they relate to:</w:t>
      </w:r>
    </w:p>
    <w:p>
      <w:pPr>
        <w:spacing w:after="0" w:line="99" w:lineRule="exact"/>
        <w:rPr>
          <w:sz w:val="20"/>
          <w:szCs w:val="20"/>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impairments of the Taiwan and German businesses;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to non-recurring capital raising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foreign exchange (gain)/loss are one-time costs.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17" w:lineRule="exact"/>
        <w:rPr>
          <w:sz w:val="20"/>
          <w:szCs w:val="20"/>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2022.</w:t>
      </w:r>
    </w:p>
    <w:p>
      <w:pPr>
        <w:spacing w:after="0" w:line="117" w:lineRule="exact"/>
        <w:rPr>
          <w:rFonts w:ascii="Times New Roman" w:cs="Times New Roman" w:eastAsia="Times New Roman" w:hAnsi="Times New Roman"/>
          <w:sz w:val="18"/>
          <w:szCs w:val="18"/>
          <w:color w:val="auto"/>
        </w:rPr>
      </w:pPr>
    </w:p>
    <w:p>
      <w:pPr>
        <w:ind w:left="900" w:right="80" w:hanging="383"/>
        <w:spacing w:after="0" w:line="258"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issued to related parties represents for the year ended December 31, 2023 represents share based compensation of $33.4 million issued to a related-party organization (DBLP Sea Cow Ltd) and $6.2 million of share-based compensation related to two directors of Rezolve Limited. For the year ended December 31, 2021 the charge represents a share-based payment of $13.2 million paid to the CEO. DBLP Sea Cow Limited is wholly legally owned by Daniel Wagner and is wholly beneficially owned by John Wagner. These fees were paid primarily in relation to capital raising activities.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0" w:name="page61"/>
    <w:bookmarkEnd w:id="60"/>
    <w:p>
      <w:pPr>
        <w:ind w:left="900" w:right="6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for consultancy expenses relate to shares issued to consultants for advisory services. These fees were paid primarily in relation to capital raising activities in 2022.</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of these costs are recorded within General and Administrative expenses.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Adjusted EBITDA:</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6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(30,736,098 )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(110,712,948 )</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3,884,698</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(25,638,472 )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(106,553,691 )</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(375,298 )</w:t>
            </w:r>
          </w:p>
        </w:tc>
        <w:tc>
          <w:tcPr>
            <w:tcW w:w="2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(714,914 )</w:t>
            </w: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in ANY</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100" w:type="dxa"/>
            <w:vAlign w:val="bottom"/>
          </w:tcPr>
          <w:p>
            <w:pPr>
              <w:spacing w:after="0"/>
              <w:rPr>
                <w:sz w:val="18"/>
                <w:szCs w:val="18"/>
                <w:color w:val="auto"/>
              </w:rPr>
            </w:pPr>
          </w:p>
        </w:tc>
      </w:tr>
      <w:tr>
        <w:trPr>
          <w:trHeight w:val="198"/>
        </w:trPr>
        <w:tc>
          <w:tcPr>
            <w:tcW w:w="466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Impairment of prepayments and other current</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731,940</w:t>
            </w:r>
          </w:p>
        </w:tc>
        <w:tc>
          <w:tcPr>
            <w:tcW w:w="100" w:type="dxa"/>
            <w:vAlign w:val="bottom"/>
            <w:shd w:val="clear" w:color="auto" w:fill="CFF0FC"/>
          </w:tcPr>
          <w:p>
            <w:pPr>
              <w:spacing w:after="0"/>
              <w:rPr>
                <w:sz w:val="20"/>
                <w:szCs w:val="20"/>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loan and accounts receivable .</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7,136,168</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3,002,021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485,080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and Other Share-based compensation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5,238,117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2,115,015</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(15,355,075 )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(24,164,553 )</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amended the articles of incorporation of the Company to remove these restrictions prior to the completion of the Demerger. After removal of such restrictions, the employee shares triggered a “grant date” as defined in ASC 718 and became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 December 31, 2023 and December 31,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56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9"/>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22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10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Undrawn convertible notes</w:t>
            </w:r>
          </w:p>
        </w:tc>
        <w:tc>
          <w:tcPr>
            <w:tcW w:w="13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22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10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641"/>
        </w:trPr>
        <w:tc>
          <w:tcPr>
            <w:tcW w:w="1700" w:type="dxa"/>
            <w:vAlign w:val="bottom"/>
          </w:tcPr>
          <w:p>
            <w:pPr>
              <w:spacing w:after="0"/>
              <w:rPr>
                <w:sz w:val="24"/>
                <w:szCs w:val="24"/>
                <w:color w:val="auto"/>
              </w:rPr>
            </w:pPr>
          </w:p>
        </w:tc>
        <w:tc>
          <w:tcPr>
            <w:tcW w:w="3320" w:type="dxa"/>
            <w:vAlign w:val="bottom"/>
            <w:tcBorders>
              <w:top w:val="single" w:sz="8" w:color="CFF0FC"/>
            </w:tcBorders>
          </w:tcPr>
          <w:p>
            <w:pPr>
              <w:spacing w:after="0"/>
              <w:rPr>
                <w:sz w:val="24"/>
                <w:szCs w:val="24"/>
                <w:color w:val="auto"/>
              </w:rPr>
            </w:pPr>
          </w:p>
        </w:tc>
        <w:tc>
          <w:tcPr>
            <w:tcW w:w="1340" w:type="dxa"/>
            <w:vAlign w:val="bottom"/>
            <w:tcBorders>
              <w:top w:val="single" w:sz="8" w:color="CFF0FC"/>
            </w:tcBorders>
          </w:tcPr>
          <w:p>
            <w:pPr>
              <w:jc w:val="right"/>
              <w:ind w:right="550"/>
              <w:spacing w:after="0"/>
              <w:rPr>
                <w:sz w:val="20"/>
                <w:szCs w:val="20"/>
                <w:color w:val="auto"/>
              </w:rPr>
            </w:pPr>
            <w:r>
              <w:rPr>
                <w:rFonts w:ascii="Times New Roman" w:cs="Times New Roman" w:eastAsia="Times New Roman" w:hAnsi="Times New Roman"/>
                <w:sz w:val="18"/>
                <w:szCs w:val="18"/>
                <w:color w:val="auto"/>
              </w:rPr>
              <w:t>53</w:t>
            </w:r>
          </w:p>
        </w:tc>
        <w:tc>
          <w:tcPr>
            <w:tcW w:w="9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-916305</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-916305</wp:posOffset>
            </wp:positionV>
            <wp:extent cx="51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(13,001,875 )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(26,788,906 )</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(1,781,524 )</w:t>
            </w: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(36,854 )</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14,712,061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23,999,920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3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42,399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177,287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equivalents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(28,939 )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(2,648,553 )</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$13.0 million for the year ended December 31, 2023, which resulted from a net loss of $31.6 million from operating activities, adjusted for non-cash items such as share based compensation of $8.7 million, impairments of $0.8 million, interest expense of $6.0 million and of changes in working capital of $2.4 million primarily due to an increase in trade payables.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$14.7 million for the year ended December 31, 2023 was due to proceeds from rights issues of $7.8 million, $4.2 million of loans from related parties and $2.5 million from convertible loans.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17" w:lineRule="exact"/>
        <w:rPr>
          <w:sz w:val="20"/>
          <w:szCs w:val="20"/>
          <w:color w:val="auto"/>
        </w:rPr>
      </w:pPr>
    </w:p>
    <w:p>
      <w:pPr>
        <w:ind w:right="360" w:firstLine="509"/>
        <w:spacing w:after="0" w:line="268" w:lineRule="auto"/>
        <w:rPr>
          <w:sz w:val="20"/>
          <w:szCs w:val="20"/>
          <w:color w:val="auto"/>
        </w:rPr>
      </w:pPr>
      <w:r>
        <w:rPr>
          <w:rFonts w:ascii="Times New Roman" w:cs="Times New Roman" w:eastAsia="Times New Roman" w:hAnsi="Times New Roman"/>
          <w:sz w:val="18"/>
          <w:szCs w:val="18"/>
          <w:color w:val="auto"/>
        </w:rPr>
        <w:t>We have debt outstanding to DBLP Sea Cow Limited (a company incorporated in the Seychelles)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which is wholly legally owned by Daniel Wagner and beneficially owned by John Wagner, in the amounts of $447,067. There are no formal loan documents in place and no interest is payable.</w:t>
      </w:r>
    </w:p>
    <w:p>
      <w:pPr>
        <w:spacing w:after="0" w:line="1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at year ended December 31, 2023 we had a secured convertible Loan Note Instrument in respect of $39,625,000 in aggregate principal amount of loan notes of $1.00 each in the capital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we did not have any significant off-balance sheet arrangements, as defined in Item 303(a)(4)(ii) of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8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8"/>
          <w:szCs w:val="18"/>
          <w:b w:val="1"/>
          <w:bCs w:val="1"/>
          <w:i w:val="1"/>
          <w:iCs w:val="1"/>
          <w:color w:val="auto"/>
        </w:rPr>
        <w:t>Carve-out Consolidated Financial Statements</w:t>
      </w:r>
      <w:r>
        <w:rPr>
          <w:rFonts w:ascii="Times New Roman" w:cs="Times New Roman" w:eastAsia="Times New Roman" w:hAnsi="Times New Roman"/>
          <w:sz w:val="18"/>
          <w:szCs w:val="18"/>
          <w:color w:val="auto"/>
        </w:rPr>
        <w:t>”). The Carve-out Consolidated Financial Statements have been prepared using the United States Dollar as the reporting currency.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2" w:name="page63"/>
    <w:bookmarkEnd w:id="62"/>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8"/>
          <w:szCs w:val="18"/>
          <w:b w:val="1"/>
          <w:bCs w:val="1"/>
          <w:i w:val="1"/>
          <w:iCs w:val="1"/>
          <w:color w:val="auto"/>
        </w:rPr>
        <w:t>Rezolve China</w:t>
      </w:r>
      <w:r>
        <w:rPr>
          <w:rFonts w:ascii="Times New Roman" w:cs="Times New Roman" w:eastAsia="Times New Roman" w:hAnsi="Times New Roman"/>
          <w:sz w:val="18"/>
          <w:szCs w:val="18"/>
          <w:color w:val="auto"/>
        </w:rPr>
        <w:t>”) and Rezolve China’s subsidiary Nine Stone (Shanghai) Ltd (“</w:t>
      </w:r>
      <w:r>
        <w:rPr>
          <w:rFonts w:ascii="Times New Roman" w:cs="Times New Roman" w:eastAsia="Times New Roman" w:hAnsi="Times New Roman"/>
          <w:sz w:val="18"/>
          <w:szCs w:val="18"/>
          <w:b w:val="1"/>
          <w:bCs w:val="1"/>
          <w:i w:val="1"/>
          <w:iCs w:val="1"/>
          <w:color w:val="auto"/>
        </w:rPr>
        <w:t>Nine Stone</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i w:val="1"/>
          <w:iCs w:val="1"/>
          <w:color w:val="auto"/>
        </w:rPr>
        <w:t>China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tax authorities requesting tax clearance for a solvent demerger (the “</w:t>
      </w:r>
      <w:r>
        <w:rPr>
          <w:rFonts w:ascii="Times New Roman" w:cs="Times New Roman" w:eastAsia="Times New Roman" w:hAnsi="Times New Roman"/>
          <w:sz w:val="18"/>
          <w:szCs w:val="18"/>
          <w:b w:val="1"/>
          <w:bCs w:val="1"/>
          <w:i w:val="1"/>
          <w:iCs w:val="1"/>
          <w:color w:val="auto"/>
        </w:rPr>
        <w:t>Demerger</w:t>
      </w:r>
      <w:r>
        <w:rPr>
          <w:rFonts w:ascii="Times New Roman" w:cs="Times New Roman" w:eastAsia="Times New Roman" w:hAnsi="Times New Roman"/>
          <w:sz w:val="18"/>
          <w:szCs w:val="18"/>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8"/>
          <w:szCs w:val="18"/>
          <w:b w:val="1"/>
          <w:bCs w:val="1"/>
          <w:i w:val="1"/>
          <w:iCs w:val="1"/>
          <w:color w:val="auto"/>
        </w:rPr>
        <w:t>Rezolve AI</w:t>
      </w:r>
      <w:r>
        <w:rPr>
          <w:rFonts w:ascii="Times New Roman" w:cs="Times New Roman" w:eastAsia="Times New Roman" w:hAnsi="Times New Roman"/>
          <w:sz w:val="18"/>
          <w:szCs w:val="18"/>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The Demerger was completed on July 4, 2024 before the completion of the business combination with Armada on August 15, 2024, which was effected with Rezolve AI instead of Rezolve Limited. The listed company consists of Rezolve AI and its subsidiaries, which does not include Rezolve Shanghai directly or indirectly.</w:t>
      </w:r>
    </w:p>
    <w:p>
      <w:pPr>
        <w:spacing w:after="0" w:line="190"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2020, and thus reflects the predecessor company prior to completion of the Demerger. They are prepared on a carve-out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the Rezolve Financial Statements included elsewhere in this filing.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no interest rate risk, as the interest rate on our senior secured convertible loan notes is fixed, and the accrued interest converts into ordinary shares upon completion of a listing on a recognized stock exchange.</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principal amount outstanding of our senior secured convertible loan notes was $39.5 million. We carry the senior secured convertible loan notes at face value on our consolidated balance sheets. We do not have any material debt issuance costs.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7"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color w:val="auto"/>
        </w:rPr>
        <w:t>All of our revenue is denominated in the Euro (“</w:t>
      </w:r>
      <w:r>
        <w:rPr>
          <w:rFonts w:ascii="Times New Roman" w:cs="Times New Roman" w:eastAsia="Times New Roman" w:hAnsi="Times New Roman"/>
          <w:sz w:val="18"/>
          <w:szCs w:val="18"/>
          <w:b w:val="1"/>
          <w:bCs w:val="1"/>
          <w:i w:val="1"/>
          <w:iCs w:val="1"/>
          <w:color w:val="auto"/>
        </w:rPr>
        <w:t>EUR</w:t>
      </w:r>
      <w:r>
        <w:rPr>
          <w:rFonts w:ascii="Times New Roman" w:cs="Times New Roman" w:eastAsia="Times New Roman" w:hAnsi="Times New Roman"/>
          <w:sz w:val="18"/>
          <w:szCs w:val="18"/>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years ended December 31, 2023 and 2022 by approximately $0.01 million and $0.01 million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no longer in default.</w:t>
      </w:r>
    </w:p>
    <w:p>
      <w:pPr>
        <w:spacing w:after="0" w:line="176"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2023 we financed our operations in large part with cash flows from financing activities through cash proceeds from issuance of convertible and short term-debt and a rights issue.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Promissory Note and Capital Commitment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12529"/>
        </w:rPr>
        <w:t>On February 23, 2023, Rezolve Limited entered into the YA Agreement, which was amended and restated on February 2, 2024 to provide for, inter alia, Rezolve AI Limited joining as a party to the agreement. Pursuant to the YA Agreement, Rezolve has the right to sell to YA up to $250,000,000 Ordinary Shares, subject to certain limitations and conditions set forth in the YA Agreement, from time to time during the term of the YA Agreement. In connection with the amendment and restatement of the YA Agreement, on February 2, 2024, Rezolve Limited and Rezolve issued the YA Note with a total principal amount of $2.5 million to YA, pursuant to the terms of the YA Note Instrument.</w:t>
      </w:r>
    </w:p>
    <w:p>
      <w:pPr>
        <w:spacing w:after="0" w:line="75"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On September 6, 2024, YA and Rezolve amended and restated the YA Agreement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64" w:name="page65"/>
    <w:bookmarkEnd w:id="64"/>
    <w:p>
      <w:pPr>
        <w:ind w:right="240"/>
        <w:spacing w:after="0" w:line="282" w:lineRule="auto"/>
        <w:rPr>
          <w:sz w:val="20"/>
          <w:szCs w:val="20"/>
          <w:color w:val="auto"/>
        </w:rPr>
      </w:pPr>
      <w:r>
        <w:rPr>
          <w:rFonts w:ascii="Times New Roman" w:cs="Times New Roman" w:eastAsia="Times New Roman" w:hAnsi="Times New Roman"/>
          <w:sz w:val="18"/>
          <w:szCs w:val="18"/>
          <w:color w:val="auto"/>
        </w:rPr>
        <w:t>Hundred Thousand Dollars ($2,500,000) that was funded as part of the Third YA Note (as defined below). The Second A&amp;R YA Agreement superseded the original agreement.</w:t>
      </w:r>
    </w:p>
    <w:p>
      <w:pPr>
        <w:spacing w:after="0" w:line="54"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Second A&amp;R YA Agreement, YA and Rezolve also entered into a second amendment to convertible promissory note and acknowledgement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7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Also in connection with the Second A&amp;R YA Agreement, on September 9, 2024, Rezolve issued the Second YA Note in the principal amount of $5,000,000,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the Third YA Note in the principal amount of $2,500,000.</w:t>
      </w:r>
    </w:p>
    <w:p>
      <w:pPr>
        <w:spacing w:after="0" w:line="180"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As of December 30, 2024, the Company satisfied all of the the principal and interest outstanding under the YA Notes. In connection therewith, the Company issued an aggregate of 5,724,154 Ordinary Shares (including in payment of a fee to YA). As of the date hereof, no amount remains outstanding under the YA Notes.</w:t>
      </w:r>
    </w:p>
    <w:p>
      <w:pPr>
        <w:spacing w:after="0" w:line="392"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Pursuant to the Second A&amp;R YA Agreement, we have the right to sell to YA up to $250 million ordinary shares of Rezolve, subject to certain limitations and conditions set forth in the Second A&amp;R YA Agreement, from time to time during the term of the Second A&amp;R YA Agreement. Sales of ordinary shares YA under the Second A&amp;R YA Agreement, and the timing of any such sales, are at our option, and we are under no obligation to sell any securities to YA under the Second A&amp;R YA Agreement. In accordance with our obligations under the Second A&amp;R YA Agreement, we have filed the registration statement of which this prospectus forms a part with the SEC to register under the Securities Act the resale by YA of up to 48,534,860 ordinary shares that we may elect, in our sole discretion, to issue and sell to YA, from time to time under the Second A&amp;R YA Agreement. From time to time at our discretion until August 23, 2027, upon the satisfaction of the conditions to YA’s purchase obligation set forth in the Second A&amp;R YA Agreement, including that the registration statement of which this prospectus forms a part be declared effective by the SEC and the final form of this prospectus is filed with the SEC, we will have the right, but not the obligation to direct YA to purchase a specified number of ordinary shares by delivering written notice to YA. While there is no mandatory minimum amount for any Advance, it may not to exceed the greater of (i) 2,000,000 ordinary shares; or (ii) 100.0% of the average of the daily trading volume of the ordinary shares on the five consecutive trading days immediately preceding an Advance Notice. The per share purchase price for the ordinary shares, if any, that we elect to sell to YA in an Advance pursuant to the Second A&amp;R YA Agreement will be determined by reference to the VWAP and calculated in accordance with the Second A&amp;R YA Agreement; provided, however, that the Company may establish a minimum acceptable price in certain Advance Notices, as specified in the Second A&amp;R YA Agreement, below which it shall not be obligated to make any sales to YA. There is no upper limit on the price per share that YA could be obligated to pay for the ordinary shares we may elect to sell to it in any Advance. We will control the timing and amount of any sales of ordinary shares to YA. Actual sales of shares of our ordinary shares to YA under the Second A&amp;R YA Agreement will depend on a variety of factors to be determined by us from time to time, which may include, among other things, market conditions, the trading price of our ordinary shares, and determinations by us as to the appropriate sources of funding for our business and its operations.</w:t>
      </w:r>
    </w:p>
    <w:p>
      <w:pPr>
        <w:spacing w:after="0" w:line="138"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 xml:space="preserve">Under the applicable rules of The Nasdaq Stock Market LLC (“Nasdaq”), in no event may we issue to YA under the Second A&amp;R YA Agreement more than </w:t>
      </w:r>
      <w:r>
        <w:rPr>
          <w:rFonts w:ascii="Times New Roman" w:cs="Times New Roman" w:eastAsia="Times New Roman" w:hAnsi="Times New Roman"/>
          <w:sz w:val="18"/>
          <w:szCs w:val="18"/>
          <w:color w:val="212529"/>
        </w:rPr>
        <w:t>34,419,336 ordinary shares</w:t>
      </w:r>
      <w:r>
        <w:rPr>
          <w:rFonts w:ascii="Times New Roman" w:cs="Times New Roman" w:eastAsia="Times New Roman" w:hAnsi="Times New Roman"/>
          <w:sz w:val="18"/>
          <w:szCs w:val="18"/>
          <w:color w:val="auto"/>
        </w:rPr>
        <w:t xml:space="preserve">, which number of shares is equal to 19.99% of the aggregate number of shares of ordinary shares issued and outstanding </w:t>
      </w:r>
      <w:r>
        <w:rPr>
          <w:rFonts w:ascii="Times New Roman" w:cs="Times New Roman" w:eastAsia="Times New Roman" w:hAnsi="Times New Roman"/>
          <w:sz w:val="18"/>
          <w:szCs w:val="18"/>
          <w:color w:val="212529"/>
        </w:rPr>
        <w:t>as of the "Effective Date", as such term is defined in the Second A&amp;R YA Agreement</w:t>
      </w:r>
      <w:r>
        <w:rPr>
          <w:rFonts w:ascii="Times New Roman" w:cs="Times New Roman" w:eastAsia="Times New Roman" w:hAnsi="Times New Roman"/>
          <w:sz w:val="18"/>
          <w:szCs w:val="18"/>
          <w:color w:val="auto"/>
        </w:rPr>
        <w:t>, unless (i) we obtain stockholder approval to issue ordinary shares in excess of the Exchange Cap in accordance with applicable Nasdaq rules, (ii) all applicable sales of ordinary shares under the Second A&amp;R YA Agreement equal or exceed the “Minimum Price” (as such term is defined in Nasdaq Rule 5635), or (iii) as to any Advance, the issuance of ordinary shares pursuant to an Advance Notice would be excluded from the Exchange Cap under Nasdaq rules (or interpretive guidance provided by Nasdaq with respect thereto). Moreover, we may not issue or sell any ordinary shares to YA under the Second A&amp;R YA Agreement which, when aggregated with all other ordinary shares then beneficially owned by YA and its affiliates (as calculated pursuant to Section 13(d) of the Exchange Act, and Rule 13d-3 promulgated thereunder), would result in YA beneficially owning more than 4.99% of the outstanding voting power or number of ordinary shares.</w:t>
      </w:r>
    </w:p>
    <w:p>
      <w:pPr>
        <w:spacing w:after="0" w:line="140" w:lineRule="exact"/>
        <w:rPr>
          <w:sz w:val="20"/>
          <w:szCs w:val="20"/>
          <w:color w:val="auto"/>
        </w:rPr>
      </w:pPr>
    </w:p>
    <w:p>
      <w:pPr>
        <w:ind w:right="280" w:firstLine="749"/>
        <w:spacing w:after="0" w:line="256" w:lineRule="auto"/>
        <w:rPr>
          <w:sz w:val="20"/>
          <w:szCs w:val="20"/>
          <w:color w:val="auto"/>
        </w:rPr>
      </w:pPr>
      <w:r>
        <w:rPr>
          <w:rFonts w:ascii="Times New Roman" w:cs="Times New Roman" w:eastAsia="Times New Roman" w:hAnsi="Times New Roman"/>
          <w:sz w:val="18"/>
          <w:szCs w:val="18"/>
          <w:color w:val="auto"/>
        </w:rPr>
        <w:t>Pursuant to the terms of the Second A&amp;R YA Agreement, the Exchange Cap will not apply if the Company is permitted to follow its home country practices instead of the stockholder approval requirements of Nasdaq Rule 5635, and has made such election to follow home country practice in accordance with the Nasdaq Rules. On December 18, 2024, we notified Nasdaq that we intend to follow our home country practice in lieu of following Nasdaq rule Rule 5635, which requires that a listed company obtain shareholder approval prior to an issuance of securities in connection with: (i) the acquisition of the stock or assets of another company; (ii) equity-based compensation of officers, directors, employees or consultants; (iii) a change of control; and (iv) private placements of common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ind w:right="420"/>
        <w:spacing w:after="0" w:line="282" w:lineRule="auto"/>
        <w:rPr>
          <w:sz w:val="20"/>
          <w:szCs w:val="20"/>
          <w:color w:val="auto"/>
        </w:rPr>
      </w:pPr>
      <w:r>
        <w:rPr>
          <w:rFonts w:ascii="Times New Roman" w:cs="Times New Roman" w:eastAsia="Times New Roman" w:hAnsi="Times New Roman"/>
          <w:sz w:val="18"/>
          <w:szCs w:val="18"/>
          <w:color w:val="auto"/>
        </w:rPr>
        <w:t>stock (or securities convertible into or exercisable for common stock) equal to 20% or more of the common stock or 20% or more of the voting power outstanding before the issuance for less than the greater of book or market value of the stock.</w:t>
      </w:r>
    </w:p>
    <w:p>
      <w:pPr>
        <w:spacing w:after="0" w:line="162"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The net proceeds from sales, if any, under the Second A&amp;R YA Agreement to us will depend on the frequency and prices at which we sell shares to YA. We expect that any proceeds received by us from such sales to YA will be used for working capital and general corporate purposes, including the repayment of debt. YA has agreed that it and its affiliates will not engage in any short sales of the ordinary shares nor enter into any transaction that establishes a net short position in the ordinary shares during the term of the Second A&amp;R YA Agreement. The Second A&amp;R YA Agreement will automatically terminate on the earlier to occur of (i) August 23, 2027; and (ii) the date on which YA shall have purchased from us under the Second A&amp;R YA Agreement ordinary shares for an aggregate gross purchase price of $250 million. We have the right to terminate the Second A&amp;R YA Agreement at no cost or penalty upon five trading days’ prior written notice to YA; provided that there are no outstanding Advance Notices and all outstanding amounts the Company owes to YA pursuant to the Second A&amp;R YA Agreement are repaid. We and YA may also agree to terminate the Second A&amp;R YA Agreement by mutual written consent. Neither we nor YA may assign or transfer our respective rights and obligations under the Second A&amp;R YA Agreement, and no provision of the Second A&amp;R YA Agreement may be modified or waived by us or YA other than by an instrument in writing signed by both parties.</w:t>
      </w:r>
    </w:p>
    <w:p>
      <w:pPr>
        <w:spacing w:after="0" w:line="138" w:lineRule="exact"/>
        <w:rPr>
          <w:sz w:val="20"/>
          <w:szCs w:val="20"/>
          <w:color w:val="auto"/>
        </w:rPr>
      </w:pPr>
    </w:p>
    <w:p>
      <w:pPr>
        <w:ind w:right="300" w:firstLine="374"/>
        <w:spacing w:after="0" w:line="266" w:lineRule="auto"/>
        <w:rPr>
          <w:sz w:val="20"/>
          <w:szCs w:val="20"/>
          <w:color w:val="auto"/>
        </w:rPr>
      </w:pPr>
      <w:r>
        <w:rPr>
          <w:rFonts w:ascii="Times New Roman" w:cs="Times New Roman" w:eastAsia="Times New Roman" w:hAnsi="Times New Roman"/>
          <w:sz w:val="18"/>
          <w:szCs w:val="18"/>
          <w:color w:val="auto"/>
        </w:rPr>
        <w:t>The Second A&amp;R YA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122"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We do not know what the purchase price for our ordinary shares will be and therefore cannot be certain as to the number of shares we might issue to YA under the Second A&amp;R YA Agreement. Although the Second A&amp;R YA Agreement provides that we may sell up to $250 million ordinary shares to YA, only 48,534,860 ordinary shares are being registered for resale by YA under the registration statement of which this prospectus forms a part, which may be issued to YA from time to time, if and when we elect to sell shares to YA under the Second A&amp;R YA Agreement. As of the date hereof, we have sold up to approximately $9.4 million of ordinary shares of the $250 million of ordinary shares issuable under the Second A&amp;R YA Agreement and up to approximately $240.6 of ordinary shares may still be sold to YA.</w:t>
      </w:r>
    </w:p>
    <w:p>
      <w:pPr>
        <w:spacing w:after="0" w:line="133"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If and when we elect to issue and sell shares to YA under the Second A&amp;R YA Agreement, we may need to register for resale under the Securities Act additional ordinary shares in order to receive aggregate gross proceeds equal to the $250 million available to us under the Second A&amp;R YA Agreement, depending on market prices for our ordinary shares. If all of the 48,534,860 shares offered by YA for resale under the registration statement of which this prospectus forms a part were issued and outstanding as of the date hereof (without taking into account the 4.99% Ownership Limitation or the 19.99% Exchange Cap limitation), such shares would represent approximately 23.3% of the total number of ordinary shares outstanding as of January 31, 2025. If we elect to issue and sell more than the 48,534,860 shares offered under this prospectus to YA, which we have the right, but not the obligation, to do, we must first register for resale under the Securities Act any such additional shares, which could cause substantial additional dilution to our stockholders. The number of shares ultimately offered for resale by YA is dependent upon the number of shares we may elect to sell to YA under the Second A&amp;R YA Agreement.</w:t>
      </w:r>
    </w:p>
    <w:p>
      <w:pPr>
        <w:spacing w:after="0" w:line="134"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There are substantial risks to our shareholders as a result of the sale and issuance of ordinary shares to YA under the Second A&amp;R YA Agreement. These risks include the potential for substantial dilution and significant declines in our stock price. See the section entitled “Risk Factors—Risks Related to this Offering.” Issuances of our ordinary shares in this offering will not affect the rights or privileges of our existing shareholders, except that the economic and voting interests of each of our existing shareholders will be diluted as a result of any such issuance. Although the number of ordinary shares that our existing shareholders own will not decrease as a result of sales, if any, under the Second A&amp;R YA Agreement to YA, the shares owned by our existing shareholders will represent a smaller percentage of our total outstanding shares after any such issuance to YA.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Secured Loan Notes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the Loan Note Instrument. Upon the closing of the Pre-Closing Demerger, the Loan Note Instrument was novated to Rezolve and was secured by a debenture over the assets of Rezolve. As of December 5, 2024, there was outstanding an aggregate amount of approximately $49 million of Convertible Notes outstanding under the Loan Note Instrument.</w:t>
      </w:r>
    </w:p>
    <w:p>
      <w:pPr>
        <w:spacing w:after="0" w:line="180"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62" w:lineRule="exact"/>
        <w:rPr>
          <w:sz w:val="20"/>
          <w:szCs w:val="20"/>
          <w:color w:val="auto"/>
        </w:rPr>
      </w:pPr>
    </w:p>
    <w:p>
      <w:pPr>
        <w:ind w:right="800" w:firstLine="749"/>
        <w:spacing w:after="0" w:line="282"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6" w:name="page67"/>
    <w:bookmarkEnd w:id="66"/>
    <w:p>
      <w:pPr>
        <w:ind w:right="100"/>
        <w:spacing w:after="0" w:line="266" w:lineRule="auto"/>
        <w:rPr>
          <w:sz w:val="20"/>
          <w:szCs w:val="20"/>
          <w:color w:val="auto"/>
        </w:rPr>
      </w:pPr>
      <w:r>
        <w:rPr>
          <w:rFonts w:ascii="Times New Roman" w:cs="Times New Roman" w:eastAsia="Times New Roman" w:hAnsi="Times New Roman"/>
          <w:sz w:val="18"/>
          <w:szCs w:val="18"/>
          <w:color w:val="auto"/>
        </w:rPr>
        <w:t>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176"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 December 2024, all of the remaining Convertible Note holders elected to convert. As of the date hereof, no amount remains outstanding under the Convertible Notes.</w:t>
      </w:r>
    </w:p>
    <w:p>
      <w:pPr>
        <w:spacing w:after="0" w:line="16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4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14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4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4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8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4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20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The fair value of the share-based payment liability was valued using a discounted cash flow method using a risk adjusted discount rate of 10.8%.</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Convertible Promissory Notes and Warrants</w:t>
      </w:r>
    </w:p>
    <w:p>
      <w:pPr>
        <w:spacing w:after="0" w:line="121"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$2,849,906 in consideration for an advance by each subscriber to Rezolve Limited of the Net Investment Amount.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Limited.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7" w:name="page68"/>
    <w:bookmarkEnd w:id="67"/>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Limited, if a “</w:t>
      </w:r>
      <w:r>
        <w:rPr>
          <w:rFonts w:ascii="Times New Roman" w:cs="Times New Roman" w:eastAsia="Times New Roman" w:hAnsi="Times New Roman"/>
          <w:sz w:val="18"/>
          <w:szCs w:val="18"/>
          <w:b w:val="1"/>
          <w:bCs w:val="1"/>
          <w:i w:val="1"/>
          <w:iCs w:val="1"/>
          <w:color w:val="auto"/>
        </w:rPr>
        <w:t>Promissory Note Trigger Event</w:t>
      </w:r>
      <w:r>
        <w:rPr>
          <w:rFonts w:ascii="Times New Roman" w:cs="Times New Roman" w:eastAsia="Times New Roman" w:hAnsi="Times New Roman"/>
          <w:sz w:val="18"/>
          <w:szCs w:val="18"/>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8"/>
          <w:szCs w:val="18"/>
          <w:b w:val="1"/>
          <w:bCs w:val="1"/>
          <w:i w:val="1"/>
          <w:iCs w:val="1"/>
          <w:color w:val="auto"/>
        </w:rPr>
        <w:t>Promissory Note Floor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Trigger</w:t>
      </w:r>
      <w:r>
        <w:rPr>
          <w:rFonts w:ascii="Times New Roman" w:cs="Times New Roman" w:eastAsia="Times New Roman" w:hAnsi="Times New Roman"/>
          <w:sz w:val="18"/>
          <w:szCs w:val="18"/>
          <w:color w:val="auto"/>
        </w:rPr>
        <w:t>”), or (ii) Rezolve AI Limited has issued in excess of 99% of the ordinary shares available under the Exchange Cap unless Rezolve AI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8"/>
          <w:szCs w:val="18"/>
          <w:b w:val="1"/>
          <w:bCs w:val="1"/>
          <w:i w:val="1"/>
          <w:iCs w:val="1"/>
          <w:color w:val="auto"/>
        </w:rPr>
        <w:t>Promissory Note Exchange Cap Trigger</w:t>
      </w:r>
      <w:r>
        <w:rPr>
          <w:rFonts w:ascii="Times New Roman" w:cs="Times New Roman" w:eastAsia="Times New Roman" w:hAnsi="Times New Roman"/>
          <w:sz w:val="18"/>
          <w:szCs w:val="18"/>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$8.00 per share (which may be adjusted upon an alteration of Rezolve’s share capital), and which may be exercised until the Expiry Date. If before the Expiry Date it comes to the attention of Rezolve of an Exercise Event, it shall give notice to each warrant holder to allow such holder to exercise their warrants (on condition that such notified Exercise Event does occur within 14 days of the notice), and if such Exercise Event does occur then any unexercised warrants shall lapse.</w:t>
      </w:r>
    </w:p>
    <w:p>
      <w:pPr>
        <w:spacing w:after="0" w:line="18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64"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4" w:lineRule="exact"/>
        <w:rPr>
          <w:sz w:val="20"/>
          <w:szCs w:val="20"/>
          <w:color w:val="auto"/>
        </w:rPr>
      </w:pPr>
    </w:p>
    <w:p>
      <w:pPr>
        <w:ind w:right="520" w:firstLine="8"/>
        <w:spacing w:after="0" w:line="223" w:lineRule="auto"/>
        <w:tabs>
          <w:tab w:leader="none" w:pos="105" w:val="left"/>
        </w:tabs>
        <w:numPr>
          <w:ilvl w:val="0"/>
          <w:numId w:val="4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https://www.rezolve.com/investors/britainsbrain-heralds-new-era-of-commerce-enabled-ai/</w:t>
      </w:r>
    </w:p>
    <w:p>
      <w:pPr>
        <w:spacing w:after="0" w:line="19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commenced the commercialization of the Rezolve platform in quarter 4 of 2024. Revenues from Brain are also forecast to begin in Q4 2024, increasing significantly in 2025. We also expect to generate revenues in Q4 2024 in Europe, North America and the Middle East. We expect revenues to increase in Q4 2024 through our signed partner agreements with Microsoft, Adobe, ACI, Haendlerbund, Epages, JTL, Oxid and Chatwerk and others by marketing our products to their customer base and are in discussions with significant new partners in markets around the world. For additional information regarding the partner agreements, see “Business of Rezolve Limited—Partner Agreements”</w:t>
      </w:r>
    </w:p>
    <w:p>
      <w:pPr>
        <w:spacing w:after="0" w:line="18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intends to re-register as a public limited company.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80"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9" w:name="page70"/>
    <w:bookmarkEnd w:id="69"/>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13" w:lineRule="exact"/>
        <w:rPr>
          <w:sz w:val="20"/>
          <w:szCs w:val="20"/>
          <w:color w:val="auto"/>
        </w:rPr>
      </w:pPr>
    </w:p>
    <w:p>
      <w:pPr>
        <w:ind w:left="900" w:right="100" w:hanging="383"/>
        <w:spacing w:after="0" w:line="286"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w:t>
      </w:r>
    </w:p>
    <w:p>
      <w:pPr>
        <w:spacing w:after="0" w:line="46" w:lineRule="exact"/>
        <w:rPr>
          <w:rFonts w:ascii="Times New Roman" w:cs="Times New Roman" w:eastAsia="Times New Roman" w:hAnsi="Times New Roman"/>
          <w:sz w:val="18"/>
          <w:szCs w:val="18"/>
          <w:color w:val="auto"/>
        </w:rPr>
      </w:pPr>
    </w:p>
    <w:p>
      <w:pPr>
        <w:ind w:left="900" w:right="100" w:hanging="383"/>
        <w:spacing w:after="0" w:line="259"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71" w:lineRule="exact"/>
        <w:rPr>
          <w:rFonts w:ascii="Times New Roman" w:cs="Times New Roman" w:eastAsia="Times New Roman" w:hAnsi="Times New Roman"/>
          <w:sz w:val="18"/>
          <w:szCs w:val="18"/>
          <w:color w:val="auto"/>
        </w:rPr>
      </w:pPr>
    </w:p>
    <w:p>
      <w:pPr>
        <w:ind w:left="900" w:hanging="383"/>
        <w:spacing w:after="0" w:line="259"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71" w:lineRule="exact"/>
        <w:rPr>
          <w:rFonts w:ascii="Times New Roman" w:cs="Times New Roman" w:eastAsia="Times New Roman" w:hAnsi="Times New Roman"/>
          <w:sz w:val="18"/>
          <w:szCs w:val="18"/>
          <w:color w:val="auto"/>
        </w:rPr>
      </w:pPr>
    </w:p>
    <w:p>
      <w:pPr>
        <w:ind w:left="900" w:right="80" w:hanging="383"/>
        <w:spacing w:after="0" w:line="259"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Merchant Retention and Expansion</w:t>
      </w:r>
      <w:r>
        <w:rPr>
          <w:rFonts w:ascii="Times New Roman" w:cs="Times New Roman" w:eastAsia="Times New Roman" w:hAnsi="Times New Roman"/>
          <w:sz w:val="18"/>
          <w:szCs w:val="18"/>
          <w:color w:val="auto"/>
        </w:rPr>
        <w:t>: We care deeply about merchants. Our commitment to their success, we believe, increases retention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71" w:lineRule="exact"/>
        <w:rPr>
          <w:rFonts w:ascii="Times New Roman" w:cs="Times New Roman" w:eastAsia="Times New Roman" w:hAnsi="Times New Roman"/>
          <w:sz w:val="18"/>
          <w:szCs w:val="18"/>
          <w:color w:val="auto"/>
        </w:rPr>
      </w:pPr>
    </w:p>
    <w:p>
      <w:pPr>
        <w:ind w:left="900" w:right="20" w:hanging="383"/>
        <w:spacing w:after="0" w:line="286"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Offering and service enhancement</w:t>
      </w:r>
      <w:r>
        <w:rPr>
          <w:rFonts w:ascii="Times New Roman" w:cs="Times New Roman" w:eastAsia="Times New Roman" w:hAnsi="Times New Roman"/>
          <w:sz w:val="18"/>
          <w:szCs w:val="18"/>
          <w:color w:val="auto"/>
        </w:rPr>
        <w:t>: We intend to continue investing in the capabilities of our offerings and services to deliver better value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users and merchants and address new market opportunities. Additionally, we will work to perfect our platform service</w:t>
      </w:r>
    </w:p>
    <w:p>
      <w:pPr>
        <w:spacing w:after="0" w:line="46" w:lineRule="exact"/>
        <w:rPr>
          <w:rFonts w:ascii="Times New Roman" w:cs="Times New Roman" w:eastAsia="Times New Roman" w:hAnsi="Times New Roman"/>
          <w:sz w:val="18"/>
          <w:szCs w:val="18"/>
          <w:color w:val="auto"/>
        </w:rPr>
      </w:pPr>
    </w:p>
    <w:p>
      <w:pPr>
        <w:ind w:left="900" w:right="80" w:hanging="383"/>
        <w:spacing w:after="0" w:line="268"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 successful merger agreement with a SPAC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financing through capital markets. Additionally, our growth may be supported by acquisitions of businesses where management identifies synergistic growth opportunities.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2" w:lineRule="exact"/>
        <w:rPr>
          <w:sz w:val="20"/>
          <w:szCs w:val="20"/>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4"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0" w:name="page71"/>
    <w:bookmarkEnd w:id="70"/>
    <w:p>
      <w:pPr>
        <w:ind w:left="900" w:hanging="383"/>
        <w:spacing w:after="0" w:line="261"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71" w:lineRule="exact"/>
        <w:rPr>
          <w:rFonts w:ascii="Times New Roman" w:cs="Times New Roman" w:eastAsia="Times New Roman" w:hAnsi="Times New Roman"/>
          <w:sz w:val="18"/>
          <w:szCs w:val="18"/>
          <w:color w:val="auto"/>
        </w:rPr>
      </w:pPr>
    </w:p>
    <w:p>
      <w:pPr>
        <w:jc w:val="both"/>
        <w:ind w:left="900" w:right="160" w:hanging="383"/>
        <w:spacing w:after="0" w:line="267"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a customer list and acquired information technology intangible assets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depreciation of fixed tangible assets. We note that all software development expenditure up until the end of December 2022 has been expensed.</w:t>
      </w:r>
    </w:p>
    <w:p>
      <w:pPr>
        <w:spacing w:after="0" w:line="6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of loans and accounts receivable in the six months ended June 30, 2023.</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costs associated with convertible debt. The group currently has no bank debt and no banking facilities which would incur interest.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six months ended June 30, 2024.</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in dollar amounts and as a percentage of total revenues for each period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2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16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46,764</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4,710,174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8,066,209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8,743,377</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785,000</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9,719,157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14,376,233</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(9,665,758 )</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(14,329,469 )</w:t>
            </w: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(3,009,002 )</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(3,054,946 )</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(107,816 )</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171,751</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3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(3,116,818 )</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(2,883,195 )</w:t>
            </w: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(12,782,576 )</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(17,212,664 )</w:t>
            </w: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(59,870 )</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(63,408 )</w:t>
            </w: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(12,842,446 )</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(17,276,072 )</w:t>
            </w:r>
          </w:p>
        </w:tc>
        <w:tc>
          <w:tcPr>
            <w:tcW w:w="1680" w:type="dxa"/>
            <w:vAlign w:val="bottom"/>
          </w:tcPr>
          <w:p>
            <w:pPr>
              <w:spacing w:after="0"/>
              <w:rPr>
                <w:sz w:val="18"/>
                <w:szCs w:val="18"/>
                <w:color w:val="auto"/>
              </w:rPr>
            </w:pPr>
          </w:p>
        </w:tc>
      </w:tr>
      <w:tr>
        <w:trPr>
          <w:trHeight w:val="641"/>
        </w:trPr>
        <w:tc>
          <w:tcPr>
            <w:tcW w:w="1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-3034030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-3034030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-1919605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-1919605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-1353820</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-1353820</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-1062355</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-1062355</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June 30,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shows total revenues from ticketing transactions for the six months ended June 30, 2024, as compared to the six months ended June 30, 2023:</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209"/>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46,764</w:t>
            </w:r>
          </w:p>
        </w:tc>
        <w:tc>
          <w:tcPr>
            <w:tcW w:w="2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09"/>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46,764</w:t>
            </w:r>
          </w:p>
        </w:tc>
        <w:tc>
          <w:tcPr>
            <w:tcW w:w="8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0"/>
        </w:trPr>
        <w:tc>
          <w:tcPr>
            <w:tcW w:w="4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-170815</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-170815</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Revenues increased from $0.047 million for the six months ended June 30, 2023 as compared to $0.053 million for the six months ended June 30, 2024 is attributable to increased ticketing revenue from Spain.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operating expenses for the six months ended June 30, 2024, as compared to the six months ended June 30, 2023:</w:t>
      </w:r>
    </w:p>
    <w:p>
      <w:pPr>
        <w:spacing w:after="0" w:line="246" w:lineRule="exact"/>
        <w:rPr>
          <w:sz w:val="20"/>
          <w:szCs w:val="20"/>
          <w:color w:val="auto"/>
        </w:rPr>
      </w:pPr>
    </w:p>
    <w:tbl>
      <w:tblPr>
        <w:tblLayout w:type="fixed"/>
        <w:tblInd w:w="5320" w:type="dxa"/>
        <w:tblCellMar>
          <w:top w:w="0" w:type="dxa"/>
          <w:left w:w="0" w:type="dxa"/>
          <w:bottom w:w="0" w:type="dxa"/>
          <w:right w:w="0" w:type="dxa"/>
        </w:tblCellMar>
      </w:tblPr>
      <w:tr>
        <w:trPr>
          <w:trHeight w:val="173"/>
        </w:trPr>
        <w:tc>
          <w:tcPr>
            <w:tcW w:w="2460" w:type="dxa"/>
            <w:vAlign w:val="bottom"/>
            <w:tcBorders>
              <w:bottom w:val="single" w:sz="8" w:color="auto"/>
            </w:tcBorders>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1220" w:type="dxa"/>
            <w:vAlign w:val="bottom"/>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80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0</wp:posOffset>
            </wp:positionV>
            <wp:extent cx="6412230"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tbl>
      <w:tblPr>
        <w:tblLayout w:type="fixed"/>
        <w:tblInd w:w="580" w:type="dxa"/>
        <w:tblCellMar>
          <w:top w:w="0" w:type="dxa"/>
          <w:left w:w="0" w:type="dxa"/>
          <w:bottom w:w="0" w:type="dxa"/>
          <w:right w:w="0" w:type="dxa"/>
        </w:tblCellMar>
      </w:tblPr>
      <w:tr>
        <w:trPr>
          <w:trHeight w:val="191"/>
        </w:trPr>
        <w:tc>
          <w:tcPr>
            <w:tcW w:w="4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8"/>
                <w:szCs w:val="18"/>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4,710,174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(3,278,744 )</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8,066,209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8,743,377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(677,168 )</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(700,500 )</w:t>
            </w:r>
          </w:p>
        </w:tc>
      </w:tr>
      <w:tr>
        <w:trPr>
          <w:trHeight w:val="234"/>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(730 )</w:t>
            </w:r>
          </w:p>
        </w:tc>
      </w:tr>
      <w:tr>
        <w:trPr>
          <w:trHeight w:val="210"/>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9,719,157</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14,376,233</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(4,657,076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-719455</wp:posOffset>
            </wp:positionV>
            <wp:extent cx="641223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-162560</wp:posOffset>
            </wp:positionV>
            <wp:extent cx="6412230"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60" w:hanging="115"/>
        <w:spacing w:after="0"/>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jc w:val="right"/>
        <w:ind w:right="580"/>
        <w:spacing w:after="0" w:line="28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(70 )% (8 )% (89 )% (1 )% (32 )%</w:t>
      </w:r>
    </w:p>
    <w:p>
      <w:pPr>
        <w:spacing w:after="0" w:line="592" w:lineRule="exact"/>
        <w:rPr>
          <w:sz w:val="20"/>
          <w:szCs w:val="20"/>
          <w:color w:val="auto"/>
        </w:rPr>
      </w:pPr>
    </w:p>
    <w:p>
      <w:pPr>
        <w:sectPr>
          <w:pgSz w:w="11900" w:h="16838" w:orient="portrait"/>
          <w:cols w:equalWidth="0" w:num="2">
            <w:col w:w="9460" w:space="720"/>
            <w:col w:w="1060"/>
          </w:cols>
          <w:pgMar w:left="320" w:top="1089" w:right="33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 of revenues have remained unchanged at $0.02 million, for the six months ended June 30, 2024 compared to the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Sales and marketing expenses decreased by $3.3 million, for the six months ended June 30, 2024, compared to the six months ended June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primarily due decrease in share-based payments of $2.8 million and a reduction in salary costs of $0.5 million due to reduced headcount.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$0.7 million, for the six months ended June 30, 2024, compared to the six months ended June 30, 2023. Share-based payments to employees increased by $2.0 million, professional fees increased by $0.4 million related to listing costs, general and administrative other expenses increased by $0.2 million, offset by a reduction in Business Development costs of $0.6 million and a reduction of $2.9 million staff and consulting costs due to lower headcount and level of IT resources.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operating expenses decreased by $0.8 million due to an impairment of a loan receivables to Swipeby in 2023.</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unchanged at $0.1 million, for the six months ended June 30, 2024, compared to the six months ended June 30, 2023.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shows interest expense and other non-operating income for the six months ended June 30, 2024, as compared to the six months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(3,009,002 )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(3,054,946 )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(107,816 )</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171,751</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(279,567 )</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(163 )%</w:t>
            </w:r>
          </w:p>
        </w:tc>
      </w:tr>
      <w:tr>
        <w:trPr>
          <w:trHeight w:val="20"/>
        </w:trPr>
        <w:tc>
          <w:tcPr>
            <w:tcW w:w="47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(3,116,818 )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(2,883,195 )</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(233,623 )</w:t>
            </w:r>
          </w:p>
        </w:tc>
        <w:tc>
          <w:tcPr>
            <w:tcW w:w="3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4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-170815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-170815</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Interest expense remained unchanged at $3.0 million for the six months ended June 30, 2024 as compared to the six months ended June 2023. The increase in interest related to the promissory notes has been offset by the lower effective interest rate on the convertible secured loan.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Other non-operating (income) expense decreased by $0.3 million for the six months ended June 30, 2024 as compared to the six year ended June 30, 2023, this is due to an increase in foreign exchange losses of $0.3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Operating losses decreased from $14.3 million for the six months ended June 30, 2023 million to $9.7 million for the six months ended June 31, 2024. This was due to a decrease in Operating expenses from $14.4m million for the six months ended June 30, 2023 to $9.7 million for the six months ended June 30, 2024. The drivers of decreased Operating expenses are as detailed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 The following financial metrics are used by management to monitor and analyze the operational performance of our business.</w:t>
      </w:r>
    </w:p>
    <w:p>
      <w:pPr>
        <w:spacing w:after="0" w:line="70" w:lineRule="exact"/>
        <w:rPr>
          <w:sz w:val="20"/>
          <w:szCs w:val="20"/>
          <w:color w:val="auto"/>
        </w:rPr>
      </w:pPr>
    </w:p>
    <w:p>
      <w:pPr>
        <w:ind w:left="900" w:right="520" w:hanging="383"/>
        <w:spacing w:after="0" w:line="284"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72" w:lineRule="exact"/>
        <w:rPr>
          <w:sz w:val="20"/>
          <w:szCs w:val="20"/>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900" w:right="74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EBITDA differently than we do.</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bookmarkStart w:id="73" w:name="page74"/>
    <w:bookmarkEnd w:id="73"/>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1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(12,842,446 )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(17,276,072 )</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3,009,002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3,054,946</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100" w:type="dxa"/>
            <w:vAlign w:val="bottom"/>
          </w:tcPr>
          <w:p>
            <w:pPr>
              <w:spacing w:after="0"/>
              <w:rPr>
                <w:sz w:val="18"/>
                <w:szCs w:val="18"/>
                <w:color w:val="auto"/>
              </w:rPr>
            </w:pPr>
          </w:p>
        </w:tc>
      </w:tr>
      <w:tr>
        <w:trPr>
          <w:trHeight w:val="216"/>
        </w:trPr>
        <w:tc>
          <w:tcPr>
            <w:tcW w:w="51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(9,652,733 )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(14,036,147 )</w:t>
            </w:r>
          </w:p>
        </w:tc>
      </w:tr>
      <w:tr>
        <w:trPr>
          <w:trHeight w:val="20"/>
        </w:trPr>
        <w:tc>
          <w:tcPr>
            <w:tcW w:w="5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-153670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-153670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six months ended June 30, 2024 and June 30, 2023. PCAOB audit and U.S. legal counsel costs for the periods under review have been accrued as incurred in the six months ended June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68" w:lineRule="exact"/>
        <w:rPr>
          <w:sz w:val="20"/>
          <w:szCs w:val="20"/>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color w:val="auto"/>
        </w:rPr>
      </w:pPr>
    </w:p>
    <w:p>
      <w:pPr>
        <w:ind w:left="900" w:right="1000" w:hanging="383"/>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Adjusted EBITDA is used by management to understand and track underlying earnings performance by excluding one-time and non-recurring costs.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 it is appropriate to exclude theses costs from Adjusted EBITDA as they relate to:</w:t>
      </w:r>
    </w:p>
    <w:p>
      <w:pPr>
        <w:spacing w:after="0" w:line="99" w:lineRule="exact"/>
        <w:rPr>
          <w:sz w:val="20"/>
          <w:szCs w:val="20"/>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foreign exchange (gain)/loss are one-time costs.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4" w:name="page75"/>
    <w:bookmarkEnd w:id="74"/>
    <w:p>
      <w:pPr>
        <w:ind w:left="520"/>
        <w:spacing w:after="0"/>
        <w:rPr>
          <w:sz w:val="20"/>
          <w:szCs w:val="20"/>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17" w:lineRule="exact"/>
        <w:rPr>
          <w:sz w:val="20"/>
          <w:szCs w:val="20"/>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17"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900" w:right="500" w:hanging="383"/>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2023 and are recorded within General and Administrative expenses.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Adjusted EBITDA:</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1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(12,842,446 )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(17,276,072 )</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3,009,002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3,054,946</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(9,652,733 )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(14,036,147 )</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327,383</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785,000</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570,731</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Employee and Other Share-based compensation</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4,043,184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4,880,389</w:t>
            </w:r>
          </w:p>
        </w:tc>
        <w:tc>
          <w:tcPr>
            <w:tcW w:w="100" w:type="dxa"/>
            <w:vAlign w:val="bottom"/>
            <w:shd w:val="clear" w:color="auto" w:fill="CFF0FC"/>
          </w:tcPr>
          <w:p>
            <w:pPr>
              <w:spacing w:after="0"/>
              <w:rPr>
                <w:sz w:val="18"/>
                <w:szCs w:val="18"/>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(5,501,325 )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(7,472,644 )</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amended the articles of incorporation of the Company to remove these restrictions prior to the completion of the Demerger. After removal of such restrictions, the employee shares triggered a “grant date” as defined in ASC 718 and became fully vested. If such restrictions had been removed as at June 30, 2024 the Company estimates the total share-based payment expense to have been recognized immediately for the grant of 58,315,800 employee shares to be $13,995,792. This estimate uses a fair value per employee share of $.24 based on a recent funding of the Company at $.24 per Ordinary Share and an exercise price of £0.0001 for each employee share.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 June 30, 2024 and June 30,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9"/>
        </w:trPr>
        <w:tc>
          <w:tcPr>
            <w:tcW w:w="1700" w:type="dxa"/>
            <w:vAlign w:val="bottom"/>
          </w:tcPr>
          <w:p>
            <w:pPr>
              <w:spacing w:after="0"/>
              <w:rPr>
                <w:sz w:val="18"/>
                <w:szCs w:val="18"/>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18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2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641"/>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-1062355</wp:posOffset>
            </wp:positionV>
            <wp:extent cx="51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-1062355</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(4,898,451 )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(8,818,307 )</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(1,364,375 )</w:t>
            </w: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(112,666 )</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6,274,161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9,171,912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2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38,522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(159,230 )</w:t>
            </w:r>
          </w:p>
        </w:tc>
        <w:tc>
          <w:tcPr>
            <w:tcW w:w="0" w:type="dxa"/>
            <w:vAlign w:val="bottom"/>
          </w:tcPr>
          <w:p>
            <w:pPr>
              <w:spacing w:after="0"/>
              <w:rPr>
                <w:sz w:val="1"/>
                <w:szCs w:val="1"/>
                <w:color w:val="auto"/>
              </w:rPr>
            </w:pPr>
          </w:p>
        </w:tc>
      </w:tr>
      <w:tr>
        <w:trPr>
          <w:trHeight w:val="221"/>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equivalents</w:t>
            </w: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49,857</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$4.9 million for the six months ended June 30, 2024, which resulted from a net loss of $12.8 million from operating activities, adjusted for non-cash items such as share based compensation of $4.0 million, interest expense of $3.0 million, unrealized foreign exchange losses of $0.1m and of changes in working capital of $0.7 million primarily due to an increase in trade and other payables.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$6.3 million for the six months ended June 30, 2024 was due to proceeds from rights issues of $1.4 million, $0.4 million of short term loans and $4.3 million from convertible loans.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21"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Unsecured interest free loan taken from DBLP Sea Cow Ltd of $860,778 consists of $447,067 loan repayable on demand and DBLP Sea Cow Ltd is owed $413,711 for amounts to be re-imbursed for expenses incurred on behalf of Rezolve at June 30, 2024 (December 31, 2023, $191,405). DBLP is a company incorporated in the Seychelles and is wholly legally owned by Daniel Wagner and beneficially owned by John Wagner, there are no formal loan documents in place and no interest is payable.</w:t>
      </w:r>
    </w:p>
    <w:p>
      <w:pPr>
        <w:spacing w:after="0" w:line="180" w:lineRule="exact"/>
        <w:rPr>
          <w:sz w:val="20"/>
          <w:szCs w:val="20"/>
          <w:color w:val="auto"/>
        </w:rPr>
      </w:pPr>
    </w:p>
    <w:p>
      <w:pPr>
        <w:ind w:right="180" w:firstLine="509"/>
        <w:spacing w:after="0" w:line="272" w:lineRule="auto"/>
        <w:rPr>
          <w:sz w:val="20"/>
          <w:szCs w:val="20"/>
          <w:color w:val="auto"/>
        </w:rPr>
      </w:pPr>
      <w:r>
        <w:rPr>
          <w:rFonts w:ascii="Times New Roman" w:cs="Times New Roman" w:eastAsia="Times New Roman" w:hAnsi="Times New Roman"/>
          <w:sz w:val="18"/>
          <w:szCs w:val="18"/>
          <w:color w:val="auto"/>
        </w:rPr>
        <w:t>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 As at June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2024, $37,956 of borrowing fees have been recognized.</w:t>
      </w:r>
    </w:p>
    <w:p>
      <w:pPr>
        <w:spacing w:after="0" w:line="9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As at June 30, 2024 the Company had Convertible Loans of $38,473,892, plus a Convertible promissory notes of $5,395,702, comprising of a Convertible promissory note of $2,508,685and a Promissory loan note of $2,887,017.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we did not have any significant off-balance sheet arrangements, as defined in Item 303(a)(4)(ii) of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6" w:name="page77"/>
    <w:bookmarkEnd w:id="76"/>
    <w:p>
      <w:pPr>
        <w:ind w:firstLine="509"/>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8"/>
          <w:szCs w:val="18"/>
          <w:b w:val="1"/>
          <w:bCs w:val="1"/>
          <w:i w:val="1"/>
          <w:iCs w:val="1"/>
          <w:color w:val="auto"/>
        </w:rPr>
        <w:t>Carve-out Consolidated Financial Statements</w:t>
      </w:r>
      <w:r>
        <w:rPr>
          <w:rFonts w:ascii="Times New Roman" w:cs="Times New Roman" w:eastAsia="Times New Roman" w:hAnsi="Times New Roman"/>
          <w:sz w:val="18"/>
          <w:szCs w:val="18"/>
          <w:color w:val="auto"/>
        </w:rPr>
        <w:t>”). The Carve-out Consolidated Financial Statements have been prepared using the United States Dollar as the reporting currency.</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8"/>
          <w:szCs w:val="18"/>
          <w:b w:val="1"/>
          <w:bCs w:val="1"/>
          <w:i w:val="1"/>
          <w:iCs w:val="1"/>
          <w:color w:val="auto"/>
        </w:rPr>
        <w:t>Rezolve China</w:t>
      </w:r>
      <w:r>
        <w:rPr>
          <w:rFonts w:ascii="Times New Roman" w:cs="Times New Roman" w:eastAsia="Times New Roman" w:hAnsi="Times New Roman"/>
          <w:sz w:val="18"/>
          <w:szCs w:val="18"/>
          <w:color w:val="auto"/>
        </w:rPr>
        <w:t>”) and Rezolve China’s subsidiary Nine Stone (Shanghai) Ltd (“</w:t>
      </w:r>
      <w:r>
        <w:rPr>
          <w:rFonts w:ascii="Times New Roman" w:cs="Times New Roman" w:eastAsia="Times New Roman" w:hAnsi="Times New Roman"/>
          <w:sz w:val="18"/>
          <w:szCs w:val="18"/>
          <w:b w:val="1"/>
          <w:bCs w:val="1"/>
          <w:i w:val="1"/>
          <w:iCs w:val="1"/>
          <w:color w:val="auto"/>
        </w:rPr>
        <w:t>Nine Stone</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i w:val="1"/>
          <w:iCs w:val="1"/>
          <w:color w:val="auto"/>
        </w:rPr>
        <w:t>China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tax authorities requesting tax clearance for a solvent demerger (the “</w:t>
      </w:r>
      <w:r>
        <w:rPr>
          <w:rFonts w:ascii="Times New Roman" w:cs="Times New Roman" w:eastAsia="Times New Roman" w:hAnsi="Times New Roman"/>
          <w:sz w:val="18"/>
          <w:szCs w:val="18"/>
          <w:b w:val="1"/>
          <w:bCs w:val="1"/>
          <w:i w:val="1"/>
          <w:iCs w:val="1"/>
          <w:color w:val="auto"/>
        </w:rPr>
        <w:t>Demerger</w:t>
      </w:r>
      <w:r>
        <w:rPr>
          <w:rFonts w:ascii="Times New Roman" w:cs="Times New Roman" w:eastAsia="Times New Roman" w:hAnsi="Times New Roman"/>
          <w:sz w:val="18"/>
          <w:szCs w:val="18"/>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8"/>
          <w:szCs w:val="18"/>
          <w:b w:val="1"/>
          <w:bCs w:val="1"/>
          <w:i w:val="1"/>
          <w:iCs w:val="1"/>
          <w:color w:val="auto"/>
        </w:rPr>
        <w:t>Rezolve AI</w:t>
      </w:r>
      <w:r>
        <w:rPr>
          <w:rFonts w:ascii="Times New Roman" w:cs="Times New Roman" w:eastAsia="Times New Roman" w:hAnsi="Times New Roman"/>
          <w:sz w:val="18"/>
          <w:szCs w:val="18"/>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The Demerger was completed on July 4, 2024 before the completion of the business combination with Armada on August 15, 2024, which was effected with Rezolve AI instead of Rezolve Limited. The listed company consists of Rezolve AI and its subsidiaries, which does not include Rezolve Shanghai directly or indirectly.</w:t>
      </w:r>
    </w:p>
    <w:p>
      <w:pPr>
        <w:spacing w:after="0" w:line="190"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2020, and thus reflects the predecessor company prior to completion of the Demerger. They are prepared on a carve-out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900" w:hanging="383"/>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2.6 to the Rezolve Financial Statements included elsewhere in this filing.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no interest rate risk, as the interest rate on our senior secured convertible loan notes is fixed, and the accrued interest converts into ordinary shares upon completion of a listing on a recognized stock exchange and the other loans are either convertible or have a fixed interest rate. The Convertible secured loan notes are reported as debt under troubled debt restructuring.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7"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color w:val="auto"/>
        </w:rPr>
        <w:t>All of our revenue is denominated in the Euro (“</w:t>
      </w:r>
      <w:r>
        <w:rPr>
          <w:rFonts w:ascii="Times New Roman" w:cs="Times New Roman" w:eastAsia="Times New Roman" w:hAnsi="Times New Roman"/>
          <w:sz w:val="18"/>
          <w:szCs w:val="18"/>
          <w:b w:val="1"/>
          <w:bCs w:val="1"/>
          <w:i w:val="1"/>
          <w:iCs w:val="1"/>
          <w:color w:val="auto"/>
        </w:rPr>
        <w:t>EUR</w:t>
      </w:r>
      <w:r>
        <w:rPr>
          <w:rFonts w:ascii="Times New Roman" w:cs="Times New Roman" w:eastAsia="Times New Roman" w:hAnsi="Times New Roman"/>
          <w:sz w:val="18"/>
          <w:szCs w:val="18"/>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six months ended June 30, 2024 and 2023 by approximately $0.01 million and $0.01 million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76"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2024 we financed our operations in large part with cash flows from financing activities through cash proceeds from issuance of convertible and short term-debt and a rights issue.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Promissory Note and Capital Commitment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12529"/>
        </w:rPr>
        <w:t>On February 23, 2023, Rezolve Limited entered into the YA Agreement, which was amended and restated on February 2, 2024 to provide for, inter alia, Rezolve AI Limited joining as a party to the agreement. Pursuant to the YA Agreement, Rezolve has the right to sell to YA up to $250,000,000 Ordinary Shares, subject to certain limitations and conditions set forth in the YA Agreement, from time to time during the term of the YA Agreement. In connection with the amendment and restatement of the YA Agreement, on February 2, 2024, Rezolve Limited and Rezolve issued the YA Note with a total principal amount of $2.5 million to YA, pursuant to the terms of the YA Note Instrument.</w:t>
      </w:r>
    </w:p>
    <w:p>
      <w:pPr>
        <w:spacing w:after="0" w:line="75"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On September 6, 2024, YA and Rezolve amended and restated the YA Agreement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81"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Second A&amp;R YA Agreement, YA and Rezolve also entered into a second amendment to convertible promissory note and acknowledgement whereby certain terms of the YA Note were amended. In particular, the YA Note Amendment extended the Maturity Date of the YA Note to September 11, 2025, provides that for purposes of determining the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78" w:name="page79"/>
    <w:bookmarkEnd w:id="78"/>
    <w:p>
      <w:pPr>
        <w:spacing w:after="0" w:line="282" w:lineRule="auto"/>
        <w:rPr>
          <w:sz w:val="20"/>
          <w:szCs w:val="20"/>
          <w:color w:val="auto"/>
        </w:rPr>
      </w:pPr>
      <w:r>
        <w:rPr>
          <w:rFonts w:ascii="Times New Roman" w:cs="Times New Roman" w:eastAsia="Times New Roman" w:hAnsi="Times New Roman"/>
          <w:sz w:val="18"/>
          <w:szCs w:val="18"/>
          <w:color w:val="auto"/>
        </w:rPr>
        <w:t>Triggered Principal Amount, the term “Other Notes” will not include the additional promissory notes issuable pursuant to the Second A&amp;R YA Agreement, and reduced the floor price to $0.25 per share.</w:t>
      </w:r>
    </w:p>
    <w:p>
      <w:pPr>
        <w:spacing w:after="0" w:line="54"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Also in connection with the Second A&amp;R YA Agreement, on September 9, 2024, Rezolve issued the Second YA Note in the principal amount of $5,000,000,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the Third YA Note in the principal amount of $2,500,000.</w:t>
      </w:r>
    </w:p>
    <w:p>
      <w:pPr>
        <w:spacing w:after="0" w:line="180"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As of December 30, 2024, the Company satisfied all of the the principal and interest outstanding under the YA Notes. In connection therewith, the Company issued an aggregate of 5,724,154 Ordinary Shares (including in payment of a fee to YA). As of the date hereof, no amount remains outstanding under the YA Notes.</w:t>
      </w:r>
    </w:p>
    <w:p>
      <w:pPr>
        <w:spacing w:after="0" w:line="3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Pursuant to the Second A&amp;R YA Agreement, we have the right to sell to YA up to $250 million ordinary shares of Rezolve, subject to certain limitations and conditions set forth in the Second A&amp;R YA Agreement, from time to time during the term of the Second A&amp;R YA Agreement. Sales of ordinary shares YA under the Second A&amp;R YA Agreement, and the timing of any such sales, are at our option, and we are under no obligation to sell any securities to YA under the Second A&amp;R YA Agreement. In accordance with our obligations under the Second A&amp;R YA Agreement, we have filed the registration statement of which this prospectus forms a part with the SEC to register under the Securities Act the resale by YA of up to 48,534,860 ordinary shares that we may elect, in our sole discretion, to issue and sell to YA, from time to time under the Second A&amp;R YA Agreement. From time to time at our discretion until August 23, 2027, upon the satisfaction of the conditions to YA’s purchase obligation set forth in the Second A&amp;R YA Agreement, including that the registration statement of which this prospectus forms a part be declared effective by the SEC and the final form of this prospectus is filed with the SEC, we will have the right, but not the obligation to direct YA to purchase a specified number of ordinary shares by delivering written notice to YA. While there is no mandatory minimum amount for any Advance, it may not to exceed the greater of (i) 2,000,000 ordinary shares; or (ii) 100.0% of the average of the daily trading volume of the ordinary shares on the five consecutive trading days immediately preceding an Advance Notice. The per share purchase price for the ordinary shares, if any, that we elect to sell to YA in an Advance pursuant to the Second A&amp;R YA Agreement will be determined by reference to the VWAP and calculated in accordance with the Second A&amp;R YA Agreement; provided, however, that the Company may establish a minimum acceptable price in certain Advance Notices, as specified in the Second A&amp;R YA Agreement, below which it shall not be obligated to make any sales to YA. There is no upper limit on the price per share that YA could be obligated to pay for the ordinary shares we may elect to sell to it in any Advance. We will control the timing and amount of any sales of ordinary shares to YA. Actual sales of shares of our ordinary shares to YA under the Second A&amp;R YA Agreement will depend on a variety of factors to be determined by us from time to time, which may include, among other things, market conditions, the trading price of our ordinary shares, and determinations by us as to the appropriate sources of funding for our business and its operations.</w:t>
      </w:r>
    </w:p>
    <w:p>
      <w:pPr>
        <w:spacing w:after="0" w:line="138"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 xml:space="preserve">Under the applicable rules of The Nasdaq Stock Market LLC (“Nasdaq”), in no event may we issue to YA under the Second A&amp;R YA Agreement more than </w:t>
      </w:r>
      <w:r>
        <w:rPr>
          <w:rFonts w:ascii="Times New Roman" w:cs="Times New Roman" w:eastAsia="Times New Roman" w:hAnsi="Times New Roman"/>
          <w:sz w:val="18"/>
          <w:szCs w:val="18"/>
          <w:color w:val="212529"/>
        </w:rPr>
        <w:t>34,419,336 ordinary shares</w:t>
      </w:r>
      <w:r>
        <w:rPr>
          <w:rFonts w:ascii="Times New Roman" w:cs="Times New Roman" w:eastAsia="Times New Roman" w:hAnsi="Times New Roman"/>
          <w:sz w:val="18"/>
          <w:szCs w:val="18"/>
          <w:color w:val="auto"/>
        </w:rPr>
        <w:t xml:space="preserve">, which number of shares is equal to 19.99% of the aggregate number of shares of ordinary shares issued and outstanding </w:t>
      </w:r>
      <w:r>
        <w:rPr>
          <w:rFonts w:ascii="Times New Roman" w:cs="Times New Roman" w:eastAsia="Times New Roman" w:hAnsi="Times New Roman"/>
          <w:sz w:val="18"/>
          <w:szCs w:val="18"/>
          <w:color w:val="212529"/>
        </w:rPr>
        <w:t>as of the "Effective Date", as such term is defined in the Second A&amp;R YA Agreement</w:t>
      </w:r>
      <w:r>
        <w:rPr>
          <w:rFonts w:ascii="Times New Roman" w:cs="Times New Roman" w:eastAsia="Times New Roman" w:hAnsi="Times New Roman"/>
          <w:sz w:val="18"/>
          <w:szCs w:val="18"/>
          <w:color w:val="auto"/>
        </w:rPr>
        <w:t>, unless (i) we obtain stockholder approval to issue ordinary shares in excess of the Exchange Cap in accordance with applicable Nasdaq rules, (ii) all applicable sales of ordinary shares under the Second A&amp;R YA Agreement equal or exceed the “Minimum Price” (as such term is defined in Nasdaq Rule 5635), or (iii) as to any Advance, the issuance of ordinary shares pursuant to an Advance Notice would be excluded from the Exchange Cap under Nasdaq rules (or interpretive guidance provided by Nasdaq with respect thereto). Moreover, we may not issue or sell any ordinary shares to YA under the Second A&amp;R YA Agreement which, when aggregated with all other ordinary shares then beneficially owned by YA and its affiliates (as calculated pursuant to Section 13(d) of the Exchange Act, and Rule 13d-3 promulgated thereunder), would result in YA beneficially owning more than 4.99% of the outstanding voting power or number of ordinary shares.</w:t>
      </w:r>
    </w:p>
    <w:p>
      <w:pPr>
        <w:spacing w:after="0" w:line="14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Pursuant to the terms of the Second A&amp;R YA Agreement, the Exchange Cap will not apply if the Company is permitted to follow its home country practices instead of the stockholder approval requirements of Nasdaq Rule 5635, and has made such election to follow home country practice in accordance with the Nasdaq Rules. On December 18, 2024, we notified Nasdaq that we intend to follow our home country practice in lieu of following Nasdaq rule Rule 5635, which requires that a listed company obtain shareholder approval prior to an issuance of securities in connection with: (i) the acquisition of the stock or assets of another company; (ii) equity-based compensation of officers, directors, employees or consultants; (iii) a change of control; and (iv) private placements of common stock (or securities convertible into or exercisable for common stock) equal to 20% or more of the common stock or 20% or more of the voting power outstanding before the issuance for less than the greater of book or market value of the stock.</w:t>
      </w:r>
    </w:p>
    <w:p>
      <w:pPr>
        <w:spacing w:after="0" w:line="18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net proceeds from sales, if any, under the Second A&amp;R YA Agreement to us will depend on the frequency and prices at which we sell shares to YA. We expect that any proceeds received by us from such sales to YA will be used for working capital and general corporate purposes, including the repayment of debt. YA has agreed that it and its affiliates will not engage in any short sales of the ordinary shares nor enter into any transaction that establishes a net short position in the ordinary shares during the term of the</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spacing w:after="0" w:line="255" w:lineRule="auto"/>
        <w:rPr>
          <w:sz w:val="20"/>
          <w:szCs w:val="20"/>
          <w:color w:val="auto"/>
        </w:rPr>
      </w:pPr>
      <w:r>
        <w:rPr>
          <w:rFonts w:ascii="Times New Roman" w:cs="Times New Roman" w:eastAsia="Times New Roman" w:hAnsi="Times New Roman"/>
          <w:sz w:val="18"/>
          <w:szCs w:val="18"/>
          <w:color w:val="auto"/>
        </w:rPr>
        <w:t>Second A&amp;R YA Agreement. The Second A&amp;R YA Agreement will automatically terminate on the earlier to occur of (i) August 23, 2027 and (ii) the date on which YA shall have purchased from us under the Second A&amp;R YA Agreement ordinary shares for an aggregate gross purchase price of $250 million. We have the right to terminate the Second A&amp;R YA Agreement at no cost or penalty upon five trading days’ prior written notice to YA; provided that there are no outstanding Advance Notices and all outstanding amounts the Company owes to YA pursuant to the Second A&amp;R YA Agreement are repaid. We and YA may also agree to terminate the Second A&amp;R YA Agreement by mutual written consent. Neither we nor YA may assign or transfer our respective rights and obligations under the Second A&amp;R YA Agreement, and no provision of the Second A&amp;R YA Agreement may be modified or waived by us or YA other than by an instrument in writing signed by both parties.</w:t>
      </w:r>
    </w:p>
    <w:p>
      <w:pPr>
        <w:spacing w:after="0" w:line="13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Second A&amp;R YA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12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do not know what the purchase price for our ordinary shares will be and therefore cannot be certain as to the number of shares we might issue to YA under the Second A&amp;R YA Agreement. Although the Second A&amp;R YA Agreement provides that we may sell up to $250 million ordinary shares to YA, only 48,534,860 ordinary shares are being registered for resale by YA under the registration statement of which this prospectus forms a part, which may be issued to YA from time to time, if and when we elect to sell shares to YA under the Second A&amp;R YA Agreement. As of the date hereof, we have sold up to approximately $9.4 million of ordinary shares of the $250 million of ordinary shares issuable under the Second A&amp;R YA Agreement and up to approximately $240.6 of ordinary shares may still be sold to YA.</w:t>
      </w:r>
    </w:p>
    <w:p>
      <w:pPr>
        <w:spacing w:after="0" w:line="133"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If and when we elect to issue and sell shares to YA under the Second A&amp;R YA Agreement, we may need to register for resale under the Securities Act additional ordinary shares in order to receive aggregate gross proceeds equal to the $250 million available to us under the Second A&amp;R YA Agreement, depending on market prices for our ordinary shares. If all of the 48,534,860 shares offered by YA for resale under the registration statement of which this prospectus forms a part were issued and outstanding as of the date hereof (without taking into account the 4.99% Ownership Limitation or the 19.99% Exchange Cap limitation), such shares would represent approximately 23.3% of the total number of ordinary shares outstanding as of January 31, 2025. If we elect to issue and sell more than the 48,534,860 shares offered under this prospectus to YA, which we have the right, but not the obligation, to do, we must first register for resale under the Securities Act any such additional shares, which could cause substantial additional dilution to our stockholders. The number of shares ultimately offered for resale by YA is dependent upon the number of shares we may elect to sell to YA under the Second A&amp;R YA Agreement.</w:t>
      </w:r>
    </w:p>
    <w:p>
      <w:pPr>
        <w:spacing w:after="0" w:line="13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There are substantial risks to our shareholders as a result of the sale and issuance of ordinary shares to YA under the Second A&amp;R YA Agreement. These risks include the potential for substantial dilution and significant declines in our stock price. See the section entitled “Risk Factors— Risks Related to this Offering.” Issuances of our ordinary shares in this offering will not affect the rights or privileges of our existing shareholders, except that the economic and voting interests of each of our existing shareholders will be diluted as a result of any such issuance. Although the number of ordinary shares that our existing shareholders own will not decrease as a result of sales, if any, under the Second A&amp;R YA Agreement to YA, the shares owned by our existing shareholders will represent a smaller percentage of our total outstanding shares after any such issuance to YA.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Secured Loan Notes</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the Loan Note Instrument. Upon the closing of the Pre-Closing Demerger, the Loan Note Instrument was novated to Rezolve and was secured by a debenture over the assets of Rezolve. As of December 5, 2024, there was outstanding an aggregate amount of approximately $49 million of Convertible Notes outstanding under the Loan Note Instrument.</w:t>
      </w:r>
    </w:p>
    <w:p>
      <w:pPr>
        <w:spacing w:after="0" w:line="180"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6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180"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 December 2024, all of the remaining Convertible Note holders elected to convert. As of the date hereof, no amount remains outstanding under the Convertible Notes.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0" w:name="page81"/>
    <w:bookmarkEnd w:id="80"/>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4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5"/>
                <w:szCs w:val="15"/>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5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1,383,298</w:t>
            </w:r>
          </w:p>
        </w:tc>
        <w:tc>
          <w:tcPr>
            <w:tcW w:w="8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20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The fair value of the share-based payment liability was valued using a discounted cash flow method using a risk adjusted discount rate of 10.8%.</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Convertible Promissory Notes and Warrants</w:t>
      </w:r>
    </w:p>
    <w:p>
      <w:pPr>
        <w:spacing w:after="0" w:line="121"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of the Net Investment Amount.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Limited.</w:t>
      </w:r>
    </w:p>
    <w:p>
      <w:pPr>
        <w:spacing w:after="0" w:line="16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Limited, if a “</w:t>
      </w:r>
      <w:r>
        <w:rPr>
          <w:rFonts w:ascii="Times New Roman" w:cs="Times New Roman" w:eastAsia="Times New Roman" w:hAnsi="Times New Roman"/>
          <w:sz w:val="18"/>
          <w:szCs w:val="18"/>
          <w:b w:val="1"/>
          <w:bCs w:val="1"/>
          <w:i w:val="1"/>
          <w:iCs w:val="1"/>
          <w:color w:val="auto"/>
        </w:rPr>
        <w:t>Promissory Note Trigger Event</w:t>
      </w:r>
      <w:r>
        <w:rPr>
          <w:rFonts w:ascii="Times New Roman" w:cs="Times New Roman" w:eastAsia="Times New Roman" w:hAnsi="Times New Roman"/>
          <w:sz w:val="18"/>
          <w:szCs w:val="18"/>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8"/>
          <w:szCs w:val="18"/>
          <w:b w:val="1"/>
          <w:bCs w:val="1"/>
          <w:i w:val="1"/>
          <w:iCs w:val="1"/>
          <w:color w:val="auto"/>
        </w:rPr>
        <w:t>Promissory Note Floor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Trigger</w:t>
      </w:r>
      <w:r>
        <w:rPr>
          <w:rFonts w:ascii="Times New Roman" w:cs="Times New Roman" w:eastAsia="Times New Roman" w:hAnsi="Times New Roman"/>
          <w:sz w:val="18"/>
          <w:szCs w:val="18"/>
          <w:color w:val="auto"/>
        </w:rPr>
        <w:t>”), or (ii) Rezolve AI Limited has issued in excess of 99% of the ordinary shares available under the Exchange Cap unless Rezolve AI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8"/>
          <w:szCs w:val="18"/>
          <w:b w:val="1"/>
          <w:bCs w:val="1"/>
          <w:i w:val="1"/>
          <w:iCs w:val="1"/>
          <w:color w:val="auto"/>
        </w:rPr>
        <w:t>Promissory Note Exchange Cap Trigger</w:t>
      </w:r>
      <w:r>
        <w:rPr>
          <w:rFonts w:ascii="Times New Roman" w:cs="Times New Roman" w:eastAsia="Times New Roman" w:hAnsi="Times New Roman"/>
          <w:sz w:val="18"/>
          <w:szCs w:val="18"/>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$8.00 per share (which may be adjusted upon an alteration of Rezolve’s share capital), and which may be exercised until the Expiry Date. If before the Expiry Date it comes to the attention of Rezolve of an Exercise Event, it shall give notice to each warrant holder to allow such holder to exercise their warrants (on condition that such notified Exercise Event does occur within 14 days of the notice), and if such Exercise Event does occur then any unexercised warrants shall lapse.</w:t>
      </w:r>
    </w:p>
    <w:p>
      <w:pPr>
        <w:spacing w:after="0" w:line="18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2" w:name="page83"/>
    <w:bookmarkEnd w:id="8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 OF REZOLVE</w:t>
      </w:r>
    </w:p>
    <w:p>
      <w:pPr>
        <w:spacing w:after="0" w:line="18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Limited and its subsidiaries following the Pre-Closing Demerger, unless the context clearly indicates otherwise.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Consumers and merchants expect to be able to transact anywhere, anytime, in a simple, seamless and secure way. We built our platform to address these challenges while simplifying complex processes. Merchants can deploy Rezolve technology quickly and easily and consumers can interact with most Rezolve capabilities intuitively. For example, our platform prompts a consumer’s device to react to certain triggers such as location, audio, images, beacons, touch or QR codes. These triggers result in various instant transaction events, ranging from checkout to e-ticketing to engagement events such as requesting a brochure or booking an appointment. Merchants can utilize our solution to enable consumers to immediately engage via a web-based dashboard which facilitates instant transactions via social media and other digital channels, and for enhanced capabilities, merchants can easily integrate our technology with their mobile applications, which requires minimal time and training.</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provide an actionable platform for merchants that utilizes proprietary technology to engage directly with consumers. Our platform is able to manage large spikes in traffic that accompany events such as new offering releases, holiday shopping seasons and flash sales, and has been benchmarked to process at least 10,000 concurrent requests per second based on results from platform load testing. This capacity enables our merchants and brands on our platform to continuously engage with consumers in real time, gathering valuable engagement data. Our platform can scale to meet the needs of large merchants, and we focus on selling to merchants regardless of size, including small and medium-sized businesses, or SMBs.</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India, the U.S., Latin America, and Europe. We believe that there are significant geographies and distribution and consumer-facing networks, which we refer to as our Channels, to expand as we establish new strategic alliances in new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4230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0"/>
          <w:szCs w:val="20"/>
          <w:color w:val="auto"/>
        </w:rPr>
      </w:pPr>
    </w:p>
    <w:p>
      <w:pPr>
        <w:ind w:right="520" w:firstLine="8"/>
        <w:spacing w:after="0" w:line="223" w:lineRule="auto"/>
        <w:tabs>
          <w:tab w:leader="none" w:pos="105"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Please see Rezolve Press Release dated July 25, 2023, available at </w:t>
      </w:r>
      <w:r>
        <w:rPr>
          <w:rFonts w:ascii="Times New Roman" w:cs="Times New Roman" w:eastAsia="Times New Roman" w:hAnsi="Times New Roman"/>
          <w:sz w:val="18"/>
          <w:szCs w:val="18"/>
          <w:u w:val="single" w:color="auto"/>
          <w:color w:val="auto"/>
        </w:rPr>
        <w:t>https://www.rezolve.com/investors/britainsbrain-heralds-new-era-of-commerce-enabled-ai/</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3" w:name="page84"/>
    <w:bookmarkEnd w:id="83"/>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8"/>
          <w:szCs w:val="18"/>
          <w:i w:val="1"/>
          <w:iCs w:val="1"/>
          <w:color w:val="auto"/>
        </w:rPr>
        <w:t>Partner Agreements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total revenues were $0.1 million and $0.1 million, for the years ended December 31, 2022 and 2023, respectively. We had net losses of $110.7 million and $31.7 million inclusive of non-cash items representing $10.2m and $28.6m, respectively for the years ended December 31, 2022 and 2023, respectively. We currently generate our revenue from Transaction fees based on sales of ticketing for La Liga football events in Spain.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July 25, 2023, Rezolve announced the introduction of two new offerings: (1) myBrain, Rezolve’s offering to individual users; and (2) Brain, Rezolve’s offering to businesses using AI and GPT technologies, with Brain offered in the following geographies: (a) Latin America, (b) Europe, (c) Asia and (d) North America. As a result,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inclusive of a set amount of anticipated transactions which would be reviewed with customers annually (or half yearly). Rezolve’s myBrain and Brain offerings are discussed in further detail in this Section captioned “—</w:t>
      </w:r>
      <w:r>
        <w:rPr>
          <w:rFonts w:ascii="Times New Roman" w:cs="Times New Roman" w:eastAsia="Times New Roman" w:hAnsi="Times New Roman"/>
          <w:sz w:val="18"/>
          <w:szCs w:val="18"/>
          <w:i w:val="1"/>
          <w:iCs w:val="1"/>
          <w:color w:val="auto"/>
        </w:rPr>
        <w:t>Business of Rezolve Limited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148590</wp:posOffset>
            </wp:positionV>
            <wp:extent cx="5168900" cy="26574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6890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Trends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80"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4" w:name="page85"/>
    <w:bookmarkEnd w:id="84"/>
    <w:p>
      <w:pPr>
        <w:ind w:right="140"/>
        <w:spacing w:after="0" w:line="282" w:lineRule="auto"/>
        <w:rPr>
          <w:sz w:val="20"/>
          <w:szCs w:val="20"/>
          <w:color w:val="auto"/>
        </w:rPr>
      </w:pPr>
      <w:r>
        <w:rPr>
          <w:rFonts w:ascii="Times New Roman" w:cs="Times New Roman" w:eastAsia="Times New Roman" w:hAnsi="Times New Roman"/>
          <w:sz w:val="18"/>
          <w:szCs w:val="18"/>
          <w:color w:val="auto"/>
        </w:rPr>
        <w:t>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Are Increasingly Engaging Through Digital Channels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8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have Lost Connectivity to the End Consumer</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Expect a Seamless Interaction Between Offline and Online Channels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Are Struggling to Differentiate</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spacing w:after="0" w:line="261" w:lineRule="auto"/>
        <w:rPr>
          <w:sz w:val="20"/>
          <w:szCs w:val="20"/>
          <w:color w:val="auto"/>
        </w:rPr>
      </w:pPr>
      <w:r>
        <w:rPr>
          <w:rFonts w:ascii="Times New Roman" w:cs="Times New Roman" w:eastAsia="Times New Roman" w:hAnsi="Times New Roman"/>
          <w:sz w:val="18"/>
          <w:szCs w:val="18"/>
          <w:color w:val="auto"/>
        </w:rPr>
        <w:t>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1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Complicated Experiences Result in Lost Opportunities with Consumers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provide a AI- and cloud-based advertising, engagement and commerce platform designed for merchants of all sizes. We expect merchants to be able to use our software to create sales events across all of their channels—web, tablet and mobile storefronts, social media storefronts, print and radio advertising and brick-and-mortar locations. Our technology enabled on a consumer’s phone react to those triggers and provide immediate opportunities for sales interactions in any of 95 languages.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platform provides the following key benefits to merchants:</w:t>
      </w:r>
    </w:p>
    <w:p>
      <w:pPr>
        <w:spacing w:after="0" w:line="115" w:lineRule="exact"/>
        <w:rPr>
          <w:sz w:val="20"/>
          <w:szCs w:val="20"/>
          <w:color w:val="auto"/>
        </w:rPr>
      </w:pPr>
    </w:p>
    <w:p>
      <w:pPr>
        <w:ind w:left="900" w:right="140" w:hanging="383"/>
        <w:spacing w:after="0" w:line="261"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eCommerce-Specific AI Platform and Suite—Brain. </w:t>
      </w:r>
      <w:r>
        <w:rPr>
          <w:rFonts w:ascii="Times New Roman" w:cs="Times New Roman" w:eastAsia="Times New Roman" w:hAnsi="Times New Roman"/>
          <w:sz w:val="18"/>
          <w:szCs w:val="18"/>
          <w:color w:val="auto"/>
        </w:rPr>
        <w:t>Rezolve’s Brain allows customers, either online or instore, to ask, via voice or text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95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71" w:lineRule="exact"/>
        <w:rPr>
          <w:rFonts w:ascii="Times New Roman" w:cs="Times New Roman" w:eastAsia="Times New Roman" w:hAnsi="Times New Roman"/>
          <w:sz w:val="18"/>
          <w:szCs w:val="18"/>
          <w:color w:val="auto"/>
        </w:rPr>
      </w:pPr>
    </w:p>
    <w:p>
      <w:pPr>
        <w:ind w:left="900" w:right="100" w:hanging="383"/>
        <w:spacing w:after="0" w:line="255"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Rezolve’s Instant Checkout allows websites to convert passive browsers into actors or buyers with one click directly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product detail pages on merchant websites. Our Instant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6" w:lineRule="exact"/>
        <w:rPr>
          <w:rFonts w:ascii="Times New Roman" w:cs="Times New Roman" w:eastAsia="Times New Roman" w:hAnsi="Times New Roman"/>
          <w:sz w:val="18"/>
          <w:szCs w:val="18"/>
          <w:color w:val="auto"/>
        </w:rPr>
      </w:pPr>
    </w:p>
    <w:p>
      <w:pPr>
        <w:ind w:left="900" w:right="120" w:hanging="383"/>
        <w:spacing w:after="0" w:line="258"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Anti-counterfeiting Solution</w:t>
      </w:r>
      <w:r>
        <w:rPr>
          <w:rFonts w:ascii="Times New Roman" w:cs="Times New Roman" w:eastAsia="Times New Roman" w:hAnsi="Times New Roman"/>
          <w:sz w:val="18"/>
          <w:szCs w:val="18"/>
          <w:color w:val="auto"/>
        </w:rPr>
        <w:t>. Our watermarking solution is based on our proprietary machine-learning technology that hides encoded images,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invisible to the naked eye, onto a merchant’s products. Those images can be viewed from a phone camera to verify the authenticity of the product. This solution can be applied to color-rich images, graphical images and text. The versatility of our solution is in its ability to watermark printed content on different surfaces such as leather, plastic, and wood. These watermarks further protect a merchants’ products by including encoded messages that enhance tracking and traceability.</w:t>
      </w:r>
    </w:p>
    <w:p>
      <w:pPr>
        <w:spacing w:after="0" w:line="75" w:lineRule="exact"/>
        <w:rPr>
          <w:rFonts w:ascii="Times New Roman" w:cs="Times New Roman" w:eastAsia="Times New Roman" w:hAnsi="Times New Roman"/>
          <w:sz w:val="18"/>
          <w:szCs w:val="18"/>
          <w:color w:val="auto"/>
        </w:rPr>
      </w:pPr>
    </w:p>
    <w:p>
      <w:pPr>
        <w:ind w:left="900" w:right="80" w:hanging="383"/>
        <w:spacing w:after="0" w:line="258"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 For example, triggers can include a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6" w:name="page87"/>
    <w:bookmarkEnd w:id="86"/>
    <w:p>
      <w:pPr>
        <w:ind w:left="900" w:right="120" w:hanging="383"/>
        <w:spacing w:after="0" w:line="261"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71" w:lineRule="exact"/>
        <w:rPr>
          <w:rFonts w:ascii="Times New Roman" w:cs="Times New Roman" w:eastAsia="Times New Roman" w:hAnsi="Times New Roman"/>
          <w:sz w:val="18"/>
          <w:szCs w:val="18"/>
          <w:color w:val="auto"/>
        </w:rPr>
      </w:pPr>
    </w:p>
    <w:p>
      <w:pPr>
        <w:ind w:left="900" w:hanging="383"/>
        <w:spacing w:after="0" w:line="254"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8"/>
          <w:szCs w:val="18"/>
          <w:i w:val="1"/>
          <w:iCs w:val="1"/>
          <w:color w:val="auto"/>
        </w:rPr>
        <w:t>Shop Beautiful</w:t>
      </w:r>
      <w:r>
        <w:rPr>
          <w:rFonts w:ascii="Times New Roman" w:cs="Times New Roman" w:eastAsia="Times New Roman" w:hAnsi="Times New Roman"/>
          <w:sz w:val="18"/>
          <w:szCs w:val="18"/>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80" w:lineRule="exact"/>
        <w:rPr>
          <w:rFonts w:ascii="Times New Roman" w:cs="Times New Roman" w:eastAsia="Times New Roman" w:hAnsi="Times New Roman"/>
          <w:sz w:val="18"/>
          <w:szCs w:val="18"/>
          <w:color w:val="auto"/>
        </w:rPr>
      </w:pPr>
    </w:p>
    <w:p>
      <w:pPr>
        <w:ind w:left="900" w:right="80" w:hanging="383"/>
        <w:spacing w:after="0" w:line="257"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Actionable Analytics and Insights</w:t>
      </w:r>
      <w:r>
        <w:rPr>
          <w:rFonts w:ascii="Times New Roman" w:cs="Times New Roman" w:eastAsia="Times New Roman" w:hAnsi="Times New Roman"/>
          <w:sz w:val="18"/>
          <w:szCs w:val="18"/>
          <w:color w:val="auto"/>
        </w:rPr>
        <w:t>. With our platform, we expect merchants will be able to receive direct insights into consumer behavior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74" w:lineRule="exact"/>
        <w:rPr>
          <w:rFonts w:ascii="Times New Roman" w:cs="Times New Roman" w:eastAsia="Times New Roman" w:hAnsi="Times New Roman"/>
          <w:sz w:val="18"/>
          <w:szCs w:val="18"/>
          <w:color w:val="auto"/>
        </w:rPr>
      </w:pPr>
    </w:p>
    <w:p>
      <w:pPr>
        <w:ind w:left="900" w:right="20" w:hanging="383"/>
        <w:spacing w:after="0" w:line="258"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Frictionless Consumer Experience</w:t>
      </w:r>
      <w:r>
        <w:rPr>
          <w:rFonts w:ascii="Times New Roman" w:cs="Times New Roman" w:eastAsia="Times New Roman" w:hAnsi="Times New Roman"/>
          <w:sz w:val="18"/>
          <w:szCs w:val="18"/>
          <w:color w:val="auto"/>
        </w:rPr>
        <w:t>. 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146685</wp:posOffset>
            </wp:positionV>
            <wp:extent cx="4697730" cy="27171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69773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87" w:name="page88"/>
    <w:bookmarkEnd w:id="87"/>
    <w:p>
      <w:pPr>
        <w:ind w:left="520"/>
        <w:spacing w:after="0"/>
        <w:rPr>
          <w:sz w:val="20"/>
          <w:szCs w:val="20"/>
          <w:color w:val="auto"/>
        </w:rPr>
      </w:pPr>
      <w:r>
        <w:rPr>
          <w:rFonts w:ascii="Times New Roman" w:cs="Times New Roman" w:eastAsia="Times New Roman" w:hAnsi="Times New Roman"/>
          <w:sz w:val="18"/>
          <w:szCs w:val="18"/>
          <w:color w:val="auto"/>
        </w:rPr>
        <w:t>Our platform provides the following key benefits to these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31115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86045"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transform the customer engagement journey for new merchants and our Channels with targeted instant marketing and software. Our mobile commerce and engagement platform enables retailers, brands, media, and others to deliver rich and engaging mobile experiences to consumers that, in turn, increases sales for our Channels through seamless transactions.</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India, the U.S. Latin America, and Europe. We believe that there are significant geographies and distribution channels to expand to as we establish new strategic alliances in new geographies.</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8"/>
          <w:szCs w:val="18"/>
          <w:i w:val="1"/>
          <w:iCs w:val="1"/>
          <w:color w:val="auto"/>
        </w:rPr>
        <w:t>Partner Agreements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initially entered the Chinese market in 2016 in order to trial the Rezolve platform on a large scale. This was done with support from China Union Pay (“</w:t>
      </w:r>
      <w:r>
        <w:rPr>
          <w:rFonts w:ascii="Times New Roman" w:cs="Times New Roman" w:eastAsia="Times New Roman" w:hAnsi="Times New Roman"/>
          <w:sz w:val="18"/>
          <w:szCs w:val="18"/>
          <w:b w:val="1"/>
          <w:bCs w:val="1"/>
          <w:i w:val="1"/>
          <w:iCs w:val="1"/>
          <w:color w:val="auto"/>
        </w:rPr>
        <w:t>CUP</w:t>
      </w:r>
      <w:r>
        <w:rPr>
          <w:rFonts w:ascii="Times New Roman" w:cs="Times New Roman" w:eastAsia="Times New Roman" w:hAnsi="Times New Roman"/>
          <w:sz w:val="18"/>
          <w:szCs w:val="18"/>
          <w:color w:val="auto"/>
        </w:rPr>
        <w:t>”) and Allinpay (“</w:t>
      </w:r>
      <w:r>
        <w:rPr>
          <w:rFonts w:ascii="Times New Roman" w:cs="Times New Roman" w:eastAsia="Times New Roman" w:hAnsi="Times New Roman"/>
          <w:sz w:val="18"/>
          <w:szCs w:val="18"/>
          <w:b w:val="1"/>
          <w:bCs w:val="1"/>
          <w:i w:val="1"/>
          <w:iCs w:val="1"/>
          <w:color w:val="auto"/>
        </w:rPr>
        <w:t>AP</w:t>
      </w:r>
      <w:r>
        <w:rPr>
          <w:rFonts w:ascii="Times New Roman" w:cs="Times New Roman" w:eastAsia="Times New Roman" w:hAnsi="Times New Roman"/>
          <w:sz w:val="18"/>
          <w:szCs w:val="18"/>
          <w:color w:val="auto"/>
        </w:rPr>
        <w:t>”). Rezolve’s former subsidiary, Rezolve Information Technology (Shanghai) Limited (“</w:t>
      </w:r>
      <w:r>
        <w:rPr>
          <w:rFonts w:ascii="Times New Roman" w:cs="Times New Roman" w:eastAsia="Times New Roman" w:hAnsi="Times New Roman"/>
          <w:sz w:val="18"/>
          <w:szCs w:val="18"/>
          <w:b w:val="1"/>
          <w:bCs w:val="1"/>
          <w:i w:val="1"/>
          <w:iCs w:val="1"/>
          <w:color w:val="auto"/>
        </w:rPr>
        <w:t>Rezolve Shanghai</w:t>
      </w:r>
      <w:r>
        <w:rPr>
          <w:rFonts w:ascii="Times New Roman" w:cs="Times New Roman" w:eastAsia="Times New Roman" w:hAnsi="Times New Roman"/>
          <w:sz w:val="18"/>
          <w:szCs w:val="18"/>
          <w:color w:val="auto"/>
        </w:rPr>
        <w:t>”) is a Wholly owned Foreign Entity (“</w:t>
      </w:r>
      <w:r>
        <w:rPr>
          <w:rFonts w:ascii="Times New Roman" w:cs="Times New Roman" w:eastAsia="Times New Roman" w:hAnsi="Times New Roman"/>
          <w:sz w:val="18"/>
          <w:szCs w:val="18"/>
          <w:b w:val="1"/>
          <w:bCs w:val="1"/>
          <w:i w:val="1"/>
          <w:iCs w:val="1"/>
          <w:color w:val="auto"/>
        </w:rPr>
        <w:t>WoFE</w:t>
      </w:r>
      <w:r>
        <w:rPr>
          <w:rFonts w:ascii="Times New Roman" w:cs="Times New Roman" w:eastAsia="Times New Roman" w:hAnsi="Times New Roman"/>
          <w:sz w:val="18"/>
          <w:szCs w:val="18"/>
          <w:color w:val="auto"/>
        </w:rPr>
        <w:t>”), which limits its influence locally in China. A WoFE in China must generally contract with a local third-party company if it wants to do business with a state-owned enterprise (“</w:t>
      </w:r>
      <w:r>
        <w:rPr>
          <w:rFonts w:ascii="Times New Roman" w:cs="Times New Roman" w:eastAsia="Times New Roman" w:hAnsi="Times New Roman"/>
          <w:sz w:val="18"/>
          <w:szCs w:val="18"/>
          <w:b w:val="1"/>
          <w:bCs w:val="1"/>
          <w:i w:val="1"/>
          <w:iCs w:val="1"/>
          <w:color w:val="auto"/>
        </w:rPr>
        <w:t>SOE</w:t>
      </w:r>
      <w:r>
        <w:rPr>
          <w:rFonts w:ascii="Times New Roman" w:cs="Times New Roman" w:eastAsia="Times New Roman" w:hAnsi="Times New Roman"/>
          <w:sz w:val="18"/>
          <w:szCs w:val="18"/>
          <w:color w:val="auto"/>
        </w:rPr>
        <w:t>”),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in the future, a new Rezolve entity can be accredited to operate directly with CUP and AP, the board will consider re-entering the China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current focus is on rolling out our technologies with partners in other markets around the world.</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8" w:name="page89"/>
    <w:bookmarkEnd w:id="88"/>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believe Rezolve’s Brain and our Instant Checkout (Act Now and Buy Now) offerings will operate in large global market opportunities. We believe Rezolve’s Brain can supplement existing retailer site search platforms and that AI enabled search platforms, like Rezolve’s Brain, will replace all existing retailer site search platforms. Act Now will operate in the Global Search Advertising market that is estimated to be $279 billion in 2023 according to the Statista Digital Market Outlook.</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7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web search statistics:</w:t>
      </w:r>
    </w:p>
    <w:p>
      <w:pPr>
        <w:spacing w:after="0" w:line="117" w:lineRule="exact"/>
        <w:rPr>
          <w:sz w:val="20"/>
          <w:szCs w:val="20"/>
          <w:color w:val="auto"/>
        </w:rPr>
      </w:pPr>
    </w:p>
    <w:p>
      <w:pPr>
        <w:ind w:left="900" w:hanging="383"/>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consumers use the Internet to find a local business in 2022. (BrightLocal survey)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of consumers “always” or “regularly” read online reviews for local businesses. (BrightLocal survey)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of consumers search for local businesses at least every week. (BrightLocal survey)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15" w:lineRule="exact"/>
        <w:rPr>
          <w:sz w:val="20"/>
          <w:szCs w:val="20"/>
          <w:color w:val="auto"/>
        </w:rPr>
      </w:pPr>
    </w:p>
    <w:p>
      <w:pPr>
        <w:jc w:val="both"/>
        <w:ind w:left="900" w:right="100" w:hanging="383"/>
        <w:spacing w:after="0" w:line="267"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Scaling Existing Channels. </w:t>
      </w:r>
      <w:r>
        <w:rPr>
          <w:rFonts w:ascii="Times New Roman" w:cs="Times New Roman" w:eastAsia="Times New Roman" w:hAnsi="Times New Roman"/>
          <w:sz w:val="18"/>
          <w:szCs w:val="18"/>
          <w:color w:val="auto"/>
        </w:rPr>
        <w:t>We believe that we have a significant opportunity to work with our existing Channels to grow their customer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intend to continue to strategically invest in marketing and strategic relationships. Our existing Channels deliver an opportunity for growth in the near term within our existing geographies and current platform.</w:t>
      </w:r>
    </w:p>
    <w:p>
      <w:pPr>
        <w:spacing w:after="0" w:line="65" w:lineRule="exact"/>
        <w:rPr>
          <w:rFonts w:ascii="Times New Roman" w:cs="Times New Roman" w:eastAsia="Times New Roman" w:hAnsi="Times New Roman"/>
          <w:sz w:val="18"/>
          <w:szCs w:val="18"/>
          <w:color w:val="auto"/>
        </w:rPr>
      </w:pPr>
    </w:p>
    <w:p>
      <w:pPr>
        <w:ind w:left="900" w:right="160" w:hanging="383"/>
        <w:spacing w:after="0" w:line="267"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Win New Channels</w:t>
      </w:r>
      <w:r>
        <w:rPr>
          <w:rFonts w:ascii="Times New Roman" w:cs="Times New Roman" w:eastAsia="Times New Roman" w:hAnsi="Times New Roman"/>
          <w:sz w:val="18"/>
          <w:szCs w:val="18"/>
          <w:color w:val="auto"/>
        </w:rPr>
        <w:t>. We see significant potential in opening up new distribution channels in other markets, such as Telcos and banks, who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will be able to replicate the success we are experiencing in our current markets. Opening new distribution channels will allow us to accelerate our growth.</w:t>
      </w:r>
    </w:p>
    <w:p>
      <w:pPr>
        <w:spacing w:after="0" w:line="65" w:lineRule="exact"/>
        <w:rPr>
          <w:rFonts w:ascii="Times New Roman" w:cs="Times New Roman" w:eastAsia="Times New Roman" w:hAnsi="Times New Roman"/>
          <w:sz w:val="18"/>
          <w:szCs w:val="18"/>
          <w:color w:val="auto"/>
        </w:rPr>
      </w:pPr>
    </w:p>
    <w:p>
      <w:pPr>
        <w:ind w:left="900" w:right="500" w:hanging="383"/>
        <w:spacing w:after="0" w:line="267"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Offering Features</w:t>
      </w:r>
      <w:r>
        <w:rPr>
          <w:rFonts w:ascii="Times New Roman" w:cs="Times New Roman" w:eastAsia="Times New Roman" w:hAnsi="Times New Roman"/>
          <w:sz w:val="18"/>
          <w:szCs w:val="18"/>
          <w:color w:val="auto"/>
        </w:rPr>
        <w:t>. We plan to add to and expand our platform with further functionality including live event notifications,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more personalization and personal experiences as well as provided artificial intelligence layers to enable more convenient and segmented merchandizing.</w:t>
      </w:r>
    </w:p>
    <w:p>
      <w:pPr>
        <w:spacing w:after="0" w:line="65" w:lineRule="exact"/>
        <w:rPr>
          <w:rFonts w:ascii="Times New Roman" w:cs="Times New Roman" w:eastAsia="Times New Roman" w:hAnsi="Times New Roman"/>
          <w:sz w:val="18"/>
          <w:szCs w:val="18"/>
          <w:color w:val="auto"/>
        </w:rPr>
      </w:pPr>
    </w:p>
    <w:p>
      <w:pPr>
        <w:ind w:left="900" w:right="140" w:hanging="383"/>
        <w:spacing w:after="0" w:line="290" w:lineRule="auto"/>
        <w:tabs>
          <w:tab w:leader="none" w:pos="9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Upsell/Cross Sell</w:t>
      </w:r>
      <w:r>
        <w:rPr>
          <w:rFonts w:ascii="Times New Roman" w:cs="Times New Roman" w:eastAsia="Times New Roman" w:hAnsi="Times New Roman"/>
          <w:sz w:val="17"/>
          <w:szCs w:val="17"/>
          <w:color w:val="auto"/>
        </w:rPr>
        <w:t>. We expect to further penetrate our customer base. We intend to expand direct and indirect sales capabilities, drive dynamic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47" w:lineRule="exact"/>
        <w:rPr>
          <w:rFonts w:ascii="Times New Roman" w:cs="Times New Roman" w:eastAsia="Times New Roman" w:hAnsi="Times New Roman"/>
          <w:sz w:val="17"/>
          <w:szCs w:val="17"/>
          <w:color w:val="auto"/>
        </w:rPr>
      </w:pPr>
    </w:p>
    <w:p>
      <w:pPr>
        <w:ind w:left="900" w:hanging="383"/>
        <w:spacing w:after="0" w:line="284"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 New Geographies</w:t>
      </w:r>
      <w:r>
        <w:rPr>
          <w:rFonts w:ascii="Times New Roman" w:cs="Times New Roman" w:eastAsia="Times New Roman" w:hAnsi="Times New Roman"/>
          <w:sz w:val="18"/>
          <w:szCs w:val="18"/>
          <w:color w:val="auto"/>
        </w:rPr>
        <w:t>. We intend to capitalize on our global growth momentum in India, the U.S., Latin America, East Asia, broader Europe,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Australia, Canada and Brazil.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ind w:left="900" w:right="140" w:hanging="383"/>
        <w:spacing w:after="0" w:line="258"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 Acquisitions</w:t>
      </w:r>
      <w:r>
        <w:rPr>
          <w:rFonts w:ascii="Times New Roman" w:cs="Times New Roman" w:eastAsia="Times New Roman" w:hAnsi="Times New Roman"/>
          <w:sz w:val="18"/>
          <w:szCs w:val="18"/>
          <w:color w:val="auto"/>
        </w:rPr>
        <w:t>. We intend to selectively pursue acquisitions that enhance our existing platform capabilities and are consistent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Rezolve Platform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cloud-based Rezolve AI platform integrates the features and functionalities that merchants need to seamlessly transact across different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Channels. Capabilities include:</w:t>
      </w:r>
    </w:p>
    <w:p>
      <w:pPr>
        <w:spacing w:after="0" w:line="124" w:lineRule="exact"/>
        <w:rPr>
          <w:sz w:val="20"/>
          <w:szCs w:val="20"/>
          <w:color w:val="auto"/>
        </w:rPr>
      </w:pPr>
    </w:p>
    <w:p>
      <w:pPr>
        <w:ind w:left="900" w:right="80" w:hanging="383"/>
        <w:spacing w:after="0" w:line="246" w:lineRule="auto"/>
        <w:tabs>
          <w:tab w:leader="none" w:pos="9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Ecommerce Chat and Search. </w:t>
      </w:r>
      <w:r>
        <w:rPr>
          <w:rFonts w:ascii="Times New Roman" w:cs="Times New Roman" w:eastAsia="Times New Roman" w:hAnsi="Times New Roman"/>
          <w:sz w:val="18"/>
          <w:szCs w:val="18"/>
          <w:color w:val="auto"/>
        </w:rPr>
        <w:t>Rezolve’s Brain allows customers, either online or instore, to ask, via voice or text and in any language,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151765</wp:posOffset>
            </wp:positionV>
            <wp:extent cx="4997450" cy="18084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99745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00" w:right="60" w:hanging="383"/>
        <w:spacing w:after="0" w:line="290" w:lineRule="auto"/>
        <w:tabs>
          <w:tab w:leader="none" w:pos="9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Customer Loyalty Programs. </w:t>
      </w:r>
      <w:r>
        <w:rPr>
          <w:rFonts w:ascii="Times New Roman" w:cs="Times New Roman" w:eastAsia="Times New Roman" w:hAnsi="Times New Roman"/>
          <w:sz w:val="17"/>
          <w:szCs w:val="17"/>
          <w:color w:val="auto"/>
        </w:rPr>
        <w:t>We expect to bring together merchants and consumers with the goal of empowering merchants to engage directly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their customers and not solely through third-party intermediaries. By enabling direct consumer engagement, merchants are able to build customer loyalty and can launch campaigns or targeted offers through the Rezolve platform with a higher level of engagement and relevancy.</w:t>
      </w:r>
    </w:p>
    <w:p>
      <w:pPr>
        <w:spacing w:after="0" w:line="47" w:lineRule="exact"/>
        <w:rPr>
          <w:rFonts w:ascii="Times New Roman" w:cs="Times New Roman" w:eastAsia="Times New Roman" w:hAnsi="Times New Roman"/>
          <w:sz w:val="17"/>
          <w:szCs w:val="17"/>
          <w:color w:val="auto"/>
        </w:rPr>
      </w:pPr>
    </w:p>
    <w:p>
      <w:pPr>
        <w:ind w:left="900" w:right="180" w:hanging="383"/>
        <w:spacing w:after="0" w:line="267"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Customer Insights</w:t>
      </w:r>
      <w:r>
        <w:rPr>
          <w:rFonts w:ascii="Times New Roman" w:cs="Times New Roman" w:eastAsia="Times New Roman" w:hAnsi="Times New Roman"/>
          <w:sz w:val="18"/>
          <w:szCs w:val="18"/>
          <w:color w:val="auto"/>
        </w:rPr>
        <w:t>. We expect our platform to provide merchants with direct access to their customers and their key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preferences, which they can use to drive further consumer engagement. For brands that typically sell their products through third-party intermediaries, these insights are useful for building brand affinity and loyalty.</w:t>
      </w:r>
    </w:p>
    <w:p>
      <w:pPr>
        <w:spacing w:after="0" w:line="65" w:lineRule="exact"/>
        <w:rPr>
          <w:rFonts w:ascii="Times New Roman" w:cs="Times New Roman" w:eastAsia="Times New Roman" w:hAnsi="Times New Roman"/>
          <w:sz w:val="18"/>
          <w:szCs w:val="18"/>
          <w:color w:val="auto"/>
        </w:rPr>
      </w:pPr>
    </w:p>
    <w:p>
      <w:pPr>
        <w:ind w:left="900" w:right="180" w:hanging="383"/>
        <w:spacing w:after="0" w:line="315" w:lineRule="auto"/>
        <w:tabs>
          <w:tab w:leader="none" w:pos="9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Mobile Vouchering</w:t>
      </w:r>
      <w:r>
        <w:rPr>
          <w:rFonts w:ascii="Times New Roman" w:cs="Times New Roman" w:eastAsia="Times New Roman" w:hAnsi="Times New Roman"/>
          <w:sz w:val="17"/>
          <w:szCs w:val="17"/>
          <w:color w:val="auto"/>
        </w:rPr>
        <w:t>. We expect to enable merchants to be more flexible in their offerings to consumers. With the Rezolve platform integrated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into merchants’ apps, consumers are able to scan products and buy them through the app, eliminating the need to wait online in retail stores.</w:t>
      </w:r>
    </w:p>
    <w:p>
      <w:pPr>
        <w:spacing w:after="0" w:line="26" w:lineRule="exact"/>
        <w:rPr>
          <w:rFonts w:ascii="Times New Roman" w:cs="Times New Roman" w:eastAsia="Times New Roman" w:hAnsi="Times New Roman"/>
          <w:sz w:val="17"/>
          <w:szCs w:val="17"/>
          <w:color w:val="auto"/>
        </w:rPr>
      </w:pPr>
    </w:p>
    <w:p>
      <w:pPr>
        <w:ind w:left="900" w:right="280" w:hanging="383"/>
        <w:spacing w:after="0" w:line="284"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Retailer Point-of-Sale / Back office. </w:t>
      </w:r>
      <w:r>
        <w:rPr>
          <w:rFonts w:ascii="Times New Roman" w:cs="Times New Roman" w:eastAsia="Times New Roman" w:hAnsi="Times New Roman"/>
          <w:sz w:val="18"/>
          <w:szCs w:val="18"/>
          <w:color w:val="auto"/>
        </w:rPr>
        <w:t>We expect to provide merchants with a self-service portal, featuring an accessible dashboard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shoppable campaigns and to track consumers’ shopping trends.</w:t>
      </w:r>
    </w:p>
    <w:p>
      <w:pPr>
        <w:spacing w:after="0" w:line="50" w:lineRule="exact"/>
        <w:rPr>
          <w:rFonts w:ascii="Times New Roman" w:cs="Times New Roman" w:eastAsia="Times New Roman" w:hAnsi="Times New Roman"/>
          <w:sz w:val="18"/>
          <w:szCs w:val="18"/>
          <w:color w:val="auto"/>
        </w:rPr>
      </w:pPr>
    </w:p>
    <w:p>
      <w:pPr>
        <w:ind w:left="900" w:right="320" w:hanging="383"/>
        <w:spacing w:after="0" w:line="315" w:lineRule="auto"/>
        <w:tabs>
          <w:tab w:leader="none" w:pos="9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Mobile Payments. </w:t>
      </w:r>
      <w:r>
        <w:rPr>
          <w:rFonts w:ascii="Times New Roman" w:cs="Times New Roman" w:eastAsia="Times New Roman" w:hAnsi="Times New Roman"/>
          <w:sz w:val="17"/>
          <w:szCs w:val="17"/>
          <w:color w:val="auto"/>
        </w:rPr>
        <w:t>We expect to enhance merchants’ platforms by making the checkout process frictionless. Consumers only need a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device to use the Rezolve platform to instantly buy products that are featured in advertisements or scan and buy products in retail stores.</w:t>
      </w:r>
    </w:p>
    <w:p>
      <w:pPr>
        <w:spacing w:after="0" w:line="26" w:lineRule="exact"/>
        <w:rPr>
          <w:rFonts w:ascii="Times New Roman" w:cs="Times New Roman" w:eastAsia="Times New Roman" w:hAnsi="Times New Roman"/>
          <w:sz w:val="17"/>
          <w:szCs w:val="17"/>
          <w:color w:val="auto"/>
        </w:rPr>
      </w:pPr>
    </w:p>
    <w:p>
      <w:pPr>
        <w:ind w:left="900" w:hanging="383"/>
        <w:spacing w:after="0" w:line="267"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Ability to Pay Online or Offline. </w:t>
      </w:r>
      <w:r>
        <w:rPr>
          <w:rFonts w:ascii="Times New Roman" w:cs="Times New Roman" w:eastAsia="Times New Roman" w:hAnsi="Times New Roman"/>
          <w:sz w:val="18"/>
          <w:szCs w:val="18"/>
          <w:color w:val="auto"/>
        </w:rPr>
        <w:t>We expect to offer instant salesware through one-click checkouts that enable seamless transactions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 Consumers are able to find offers nearby and browse through products both online and offline. For local offers, consumers can simply go into the brick-and-mortar stores or can order through an app.</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Opportunities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platform to integrate with and address the following engagement opportunities:</w:t>
      </w:r>
    </w:p>
    <w:p>
      <w:pPr>
        <w:spacing w:after="0" w:line="115" w:lineRule="exact"/>
        <w:rPr>
          <w:sz w:val="20"/>
          <w:szCs w:val="20"/>
          <w:color w:val="auto"/>
        </w:rPr>
      </w:pPr>
    </w:p>
    <w:p>
      <w:pPr>
        <w:ind w:left="900" w:hanging="383"/>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Chat and Search</w:t>
      </w:r>
      <w:r>
        <w:rPr>
          <w:rFonts w:ascii="Times New Roman" w:cs="Times New Roman" w:eastAsia="Times New Roman" w:hAnsi="Times New Roman"/>
          <w:sz w:val="18"/>
          <w:szCs w:val="18"/>
          <w:color w:val="auto"/>
        </w:rPr>
        <w:t>. Merchants can interact naturally with customers via Rezolve Brain.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GeoZones. </w:t>
      </w:r>
      <w:r>
        <w:rPr>
          <w:rFonts w:ascii="Times New Roman" w:cs="Times New Roman" w:eastAsia="Times New Roman" w:hAnsi="Times New Roman"/>
          <w:sz w:val="18"/>
          <w:szCs w:val="18"/>
          <w:color w:val="auto"/>
        </w:rPr>
        <w:t>Merchants can interact with consumers based on proximity to certain locations.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Media with Audio. </w:t>
      </w:r>
      <w:r>
        <w:rPr>
          <w:rFonts w:ascii="Times New Roman" w:cs="Times New Roman" w:eastAsia="Times New Roman" w:hAnsi="Times New Roman"/>
          <w:sz w:val="18"/>
          <w:szCs w:val="18"/>
          <w:color w:val="auto"/>
        </w:rPr>
        <w:t>Merchants can integrate watermarks in broadcast and streaming media.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Visual Events. </w:t>
      </w:r>
      <w:r>
        <w:rPr>
          <w:rFonts w:ascii="Times New Roman" w:cs="Times New Roman" w:eastAsia="Times New Roman" w:hAnsi="Times New Roman"/>
          <w:sz w:val="18"/>
          <w:szCs w:val="18"/>
          <w:color w:val="auto"/>
        </w:rPr>
        <w:t>Merchants can integrate watermarks in posters, advertising, product labels and merchandise.</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4"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Beacons</w:t>
      </w:r>
      <w:r>
        <w:rPr>
          <w:rFonts w:ascii="Times New Roman" w:cs="Times New Roman" w:eastAsia="Times New Roman" w:hAnsi="Times New Roman"/>
          <w:sz w:val="18"/>
          <w:szCs w:val="18"/>
          <w:color w:val="auto"/>
        </w:rPr>
        <w:t>. Merchants can establish near-proximity beacons which allow near-field proximity engagements (3 inches to 36 inches plus) in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indoor and outdoor locations.</w:t>
      </w:r>
    </w:p>
    <w:p>
      <w:pPr>
        <w:spacing w:after="0" w:line="50" w:lineRule="exact"/>
        <w:rPr>
          <w:rFonts w:ascii="Times New Roman" w:cs="Times New Roman" w:eastAsia="Times New Roman" w:hAnsi="Times New Roman"/>
          <w:sz w:val="18"/>
          <w:szCs w:val="18"/>
          <w:color w:val="auto"/>
        </w:rPr>
      </w:pPr>
    </w:p>
    <w:p>
      <w:pPr>
        <w:ind w:left="900" w:right="540" w:hanging="383"/>
        <w:spacing w:after="0" w:line="284"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SmartLinks. </w:t>
      </w:r>
      <w:r>
        <w:rPr>
          <w:rFonts w:ascii="Times New Roman" w:cs="Times New Roman" w:eastAsia="Times New Roman" w:hAnsi="Times New Roman"/>
          <w:sz w:val="18"/>
          <w:szCs w:val="18"/>
          <w:color w:val="auto"/>
        </w:rPr>
        <w:t>Merchants can embed URL links into social media posts and email communications (amongst others) which trigger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Checkout and Instant Act engagements.</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SmartCodes. </w:t>
      </w:r>
      <w:r>
        <w:rPr>
          <w:rFonts w:ascii="Times New Roman" w:cs="Times New Roman" w:eastAsia="Times New Roman" w:hAnsi="Times New Roman"/>
          <w:sz w:val="18"/>
          <w:szCs w:val="18"/>
          <w:color w:val="auto"/>
        </w:rPr>
        <w:t>Merchants can establish QR codes integrated with their media with a richer engagement experience for the consumer.</w:t>
      </w:r>
    </w:p>
    <w:p>
      <w:pPr>
        <w:spacing w:after="0" w:line="117" w:lineRule="exact"/>
        <w:rPr>
          <w:rFonts w:ascii="Times New Roman" w:cs="Times New Roman" w:eastAsia="Times New Roman" w:hAnsi="Times New Roman"/>
          <w:sz w:val="18"/>
          <w:szCs w:val="18"/>
          <w:color w:val="auto"/>
        </w:rPr>
      </w:pPr>
    </w:p>
    <w:p>
      <w:pPr>
        <w:ind w:left="900" w:right="400" w:hanging="383"/>
        <w:spacing w:after="0" w:line="284"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Merchants can embed Buy Now and Act Now buttons on their websites and advertisements for instant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Events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Using the Rezolve dashboard, we expect that merchants can link a trigger from one of the above Channel opportunities with the following types of events or actions as examples of use cases:</w:t>
      </w:r>
    </w:p>
    <w:p>
      <w:pPr>
        <w:spacing w:after="0" w:line="52" w:lineRule="exact"/>
        <w:rPr>
          <w:sz w:val="20"/>
          <w:szCs w:val="20"/>
          <w:color w:val="auto"/>
        </w:rPr>
      </w:pPr>
    </w:p>
    <w:p>
      <w:pPr>
        <w:ind w:left="900" w:hanging="383"/>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Fast Checkout: </w:t>
      </w:r>
      <w:r>
        <w:rPr>
          <w:rFonts w:ascii="Times New Roman" w:cs="Times New Roman" w:eastAsia="Times New Roman" w:hAnsi="Times New Roman"/>
          <w:sz w:val="18"/>
          <w:szCs w:val="18"/>
          <w:color w:val="auto"/>
        </w:rPr>
        <w:t>Consumers can scan products, bag and exit the store without waiting in line</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4"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Walls: </w:t>
      </w:r>
      <w:r>
        <w:rPr>
          <w:rFonts w:ascii="Times New Roman" w:cs="Times New Roman" w:eastAsia="Times New Roman" w:hAnsi="Times New Roman"/>
          <w:sz w:val="18"/>
          <w:szCs w:val="18"/>
          <w:color w:val="auto"/>
        </w:rPr>
        <w:t>Consumers can view a broader selection of products than available in a store (e.g., furniture and clothing) that can be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display wall</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Stay at Table or Reserve: </w:t>
      </w:r>
      <w:r>
        <w:rPr>
          <w:rFonts w:ascii="Times New Roman" w:cs="Times New Roman" w:eastAsia="Times New Roman" w:hAnsi="Times New Roman"/>
          <w:sz w:val="18"/>
          <w:szCs w:val="18"/>
          <w:color w:val="auto"/>
        </w:rPr>
        <w:t>Consumers can scan advertisement or menu, order items, pay and either pick up at counter or have delivered to table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Buy and Fly: </w:t>
      </w:r>
      <w:r>
        <w:rPr>
          <w:rFonts w:ascii="Times New Roman" w:cs="Times New Roman" w:eastAsia="Times New Roman" w:hAnsi="Times New Roman"/>
          <w:sz w:val="18"/>
          <w:szCs w:val="18"/>
          <w:color w:val="auto"/>
        </w:rPr>
        <w:t>Consumers can pick up items, scan, buy, bag, leave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e-Ticketing and Access Control: </w:t>
      </w:r>
      <w:r>
        <w:rPr>
          <w:rFonts w:ascii="Times New Roman" w:cs="Times New Roman" w:eastAsia="Times New Roman" w:hAnsi="Times New Roman"/>
          <w:sz w:val="18"/>
          <w:szCs w:val="18"/>
          <w:color w:val="auto"/>
        </w:rPr>
        <w:t>Tickets are electronically delivered to their handset to enable secure and streamlined access control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Pre-Order Queue-Busting: </w:t>
      </w:r>
      <w:r>
        <w:rPr>
          <w:rFonts w:ascii="Times New Roman" w:cs="Times New Roman" w:eastAsia="Times New Roman" w:hAnsi="Times New Roman"/>
          <w:sz w:val="18"/>
          <w:szCs w:val="18"/>
          <w:color w:val="auto"/>
        </w:rPr>
        <w:t>Enable supporters to pre-order food, beverage and merchandise from their seat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Location sensitive: </w:t>
      </w:r>
      <w:r>
        <w:rPr>
          <w:rFonts w:ascii="Times New Roman" w:cs="Times New Roman" w:eastAsia="Times New Roman" w:hAnsi="Times New Roman"/>
          <w:sz w:val="18"/>
          <w:szCs w:val="18"/>
          <w:color w:val="auto"/>
        </w:rPr>
        <w:t>Offers and promotions nearby, navigate to the location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engagement: </w:t>
      </w:r>
      <w:r>
        <w:rPr>
          <w:rFonts w:ascii="Times New Roman" w:cs="Times New Roman" w:eastAsia="Times New Roman" w:hAnsi="Times New Roman"/>
          <w:sz w:val="18"/>
          <w:szCs w:val="18"/>
          <w:color w:val="auto"/>
        </w:rPr>
        <w:t>Buy or get more information directly from any form of advertising or directly from posters in shop windows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64" w:lineRule="exact"/>
        <w:rPr>
          <w:sz w:val="20"/>
          <w:szCs w:val="20"/>
          <w:color w:val="auto"/>
        </w:rPr>
      </w:pPr>
    </w:p>
    <w:p>
      <w:pPr>
        <w:ind w:left="900" w:hanging="383"/>
        <w:spacing w:after="0" w:line="255"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Artificial Intelligence. </w:t>
      </w:r>
      <w:r>
        <w:rPr>
          <w:rFonts w:ascii="Times New Roman" w:cs="Times New Roman" w:eastAsia="Times New Roman" w:hAnsi="Times New Roman"/>
          <w:sz w:val="18"/>
          <w:szCs w:val="18"/>
          <w:color w:val="auto"/>
        </w:rPr>
        <w:t>Our Large Language Model (“</w:t>
      </w:r>
      <w:r>
        <w:rPr>
          <w:rFonts w:ascii="Times New Roman" w:cs="Times New Roman" w:eastAsia="Times New Roman" w:hAnsi="Times New Roman"/>
          <w:sz w:val="18"/>
          <w:szCs w:val="18"/>
          <w:b w:val="1"/>
          <w:bCs w:val="1"/>
          <w:i w:val="1"/>
          <w:iCs w:val="1"/>
          <w:color w:val="auto"/>
        </w:rPr>
        <w:t>LLM</w:t>
      </w:r>
      <w:r>
        <w:rPr>
          <w:rFonts w:ascii="Times New Roman" w:cs="Times New Roman" w:eastAsia="Times New Roman" w:hAnsi="Times New Roman"/>
          <w:sz w:val="18"/>
          <w:szCs w:val="18"/>
          <w:color w:val="auto"/>
        </w:rPr>
        <w:t>”) uses proprietary AI to interrogate presales, sales and post-sales content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91" w:name="page92"/>
    <w:bookmarkEnd w:id="91"/>
    <w:p>
      <w:pPr>
        <w:ind w:left="383" w:right="140"/>
        <w:spacing w:after="0" w:line="261" w:lineRule="auto"/>
        <w:rPr>
          <w:sz w:val="20"/>
          <w:szCs w:val="20"/>
          <w:color w:val="auto"/>
        </w:rPr>
      </w:pPr>
      <w:r>
        <w:rPr>
          <w:rFonts w:ascii="Times New Roman" w:cs="Times New Roman" w:eastAsia="Times New Roman" w:hAnsi="Times New Roman"/>
          <w:sz w:val="18"/>
          <w:szCs w:val="18"/>
          <w:color w:val="auto"/>
        </w:rPr>
        <w:t>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142875</wp:posOffset>
            </wp:positionV>
            <wp:extent cx="4320540" cy="254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205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3" w:right="140" w:hanging="383"/>
        <w:spacing w:after="0" w:line="284" w:lineRule="auto"/>
        <w:tabs>
          <w:tab w:leader="none" w:pos="3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Our proprietary AI-Platform keeps both merchant and customer confidential and PII data secure and is regulated by the strict GDPR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w:t>
      </w:r>
    </w:p>
    <w:p>
      <w:pPr>
        <w:spacing w:after="0" w:line="5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Encryption. </w:t>
      </w:r>
      <w:r>
        <w:rPr>
          <w:rFonts w:ascii="Times New Roman" w:cs="Times New Roman" w:eastAsia="Times New Roman" w:hAnsi="Times New Roman"/>
          <w:sz w:val="18"/>
          <w:szCs w:val="18"/>
          <w:color w:val="auto"/>
        </w:rPr>
        <w:t>All data is encrypted at rest (AES-256) and in transit.</w:t>
      </w:r>
    </w:p>
    <w:p>
      <w:pPr>
        <w:spacing w:after="0" w:line="117" w:lineRule="exact"/>
        <w:rPr>
          <w:rFonts w:ascii="Times New Roman" w:cs="Times New Roman" w:eastAsia="Times New Roman" w:hAnsi="Times New Roman"/>
          <w:sz w:val="18"/>
          <w:szCs w:val="18"/>
          <w:color w:val="auto"/>
        </w:rPr>
      </w:pPr>
    </w:p>
    <w:p>
      <w:pPr>
        <w:ind w:left="383" w:hanging="383"/>
        <w:spacing w:after="0" w:line="256" w:lineRule="auto"/>
        <w:tabs>
          <w:tab w:leader="none" w:pos="3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usage. </w:t>
      </w:r>
      <w:r>
        <w:rPr>
          <w:rFonts w:ascii="Times New Roman" w:cs="Times New Roman" w:eastAsia="Times New Roman" w:hAnsi="Times New Roman"/>
          <w:sz w:val="18"/>
          <w:szCs w:val="18"/>
          <w:color w:val="auto"/>
        </w:rPr>
        <w:t>All uploaded content such as support documentation, manuals, knowledge base and product catalogue is stored in isolated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The environment is designed to be highly isolated and secure and exceeds the requirements of PCI DSS.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74" w:lineRule="exact"/>
        <w:rPr>
          <w:rFonts w:ascii="Times New Roman" w:cs="Times New Roman" w:eastAsia="Times New Roman" w:hAnsi="Times New Roman"/>
          <w:sz w:val="18"/>
          <w:szCs w:val="18"/>
          <w:color w:val="auto"/>
        </w:rPr>
      </w:pPr>
    </w:p>
    <w:p>
      <w:pPr>
        <w:ind w:left="383" w:hanging="383"/>
        <w:spacing w:after="0" w:line="258" w:lineRule="auto"/>
        <w:tabs>
          <w:tab w:leader="none" w:pos="3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Anti-counterfeiting Solution</w:t>
      </w:r>
      <w:r>
        <w:rPr>
          <w:rFonts w:ascii="Times New Roman" w:cs="Times New Roman" w:eastAsia="Times New Roman" w:hAnsi="Times New Roman"/>
          <w:sz w:val="18"/>
          <w:szCs w:val="18"/>
          <w:color w:val="auto"/>
        </w:rPr>
        <w:t>. Rezolve’s watermarking solution is based on our proprietary machinelearning technology that hides encoded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images, invisible to the naked eye, onto a merchant’s products. Those images can be viewed from a phone camera to verify the authenticity of the product. This solution can be applied to color rich images, graphical images and text. The versatility of Rezolve’s solution is in its ability to watermark printed content on different surfaces like leather, plastic and wood. These watermarks further protect a merchants’ products by including encoded messages that enhance tracking and traceability.</w:t>
      </w:r>
    </w:p>
    <w:p>
      <w:pPr>
        <w:spacing w:after="0" w:line="75" w:lineRule="exact"/>
        <w:rPr>
          <w:rFonts w:ascii="Times New Roman" w:cs="Times New Roman" w:eastAsia="Times New Roman" w:hAnsi="Times New Roman"/>
          <w:sz w:val="18"/>
          <w:szCs w:val="18"/>
          <w:color w:val="auto"/>
        </w:rPr>
      </w:pPr>
    </w:p>
    <w:p>
      <w:pPr>
        <w:ind w:left="383" w:right="300" w:hanging="383"/>
        <w:spacing w:after="0" w:line="267" w:lineRule="auto"/>
        <w:tabs>
          <w:tab w:leader="none" w:pos="3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platform Core services are built on Open Telecom Platform technology Erlang which allows us to create highly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65" w:lineRule="exact"/>
        <w:rPr>
          <w:rFonts w:ascii="Times New Roman" w:cs="Times New Roman" w:eastAsia="Times New Roman" w:hAnsi="Times New Roman"/>
          <w:sz w:val="18"/>
          <w:szCs w:val="18"/>
          <w:color w:val="auto"/>
        </w:rPr>
      </w:pPr>
    </w:p>
    <w:p>
      <w:pPr>
        <w:ind w:left="383" w:right="80" w:hanging="383"/>
        <w:spacing w:after="0" w:line="261" w:lineRule="auto"/>
        <w:tabs>
          <w:tab w:leader="none" w:pos="3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Resilience. </w:t>
      </w:r>
      <w:r>
        <w:rPr>
          <w:rFonts w:ascii="Times New Roman" w:cs="Times New Roman" w:eastAsia="Times New Roman" w:hAnsi="Times New Roman"/>
          <w:sz w:val="18"/>
          <w:szCs w:val="18"/>
          <w:color w:val="auto"/>
        </w:rPr>
        <w:t>Our platform applications and system architectures are designed to support High Availability and Redundancy across all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71" w:lineRule="exact"/>
        <w:rPr>
          <w:rFonts w:ascii="Times New Roman" w:cs="Times New Roman" w:eastAsia="Times New Roman" w:hAnsi="Times New Roman"/>
          <w:sz w:val="18"/>
          <w:szCs w:val="18"/>
          <w:color w:val="auto"/>
        </w:rPr>
      </w:pPr>
    </w:p>
    <w:p>
      <w:pPr>
        <w:ind w:left="383" w:right="40" w:hanging="383"/>
        <w:spacing w:after="0" w:line="267" w:lineRule="auto"/>
        <w:tabs>
          <w:tab w:leader="none" w:pos="3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Connectivity. </w:t>
      </w:r>
      <w:r>
        <w:rPr>
          <w:rFonts w:ascii="Times New Roman" w:cs="Times New Roman" w:eastAsia="Times New Roman" w:hAnsi="Times New Roman"/>
          <w:sz w:val="18"/>
          <w:szCs w:val="18"/>
          <w:color w:val="auto"/>
        </w:rPr>
        <w:t>Rezolve’s mobile SDK provides a quick and easy solution to embed and enable Rezolve platform functionality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Android and iOS app. The accompanying SDK sample app and documents allow third-party developers to quickly leverage the power of our solution.</w:t>
      </w:r>
    </w:p>
    <w:p>
      <w:pPr>
        <w:spacing w:after="0" w:line="175"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93" w:right="359" w:bottom="1440" w:gutter="0" w:footer="0" w:header="0"/>
        </w:sectPr>
      </w:pPr>
    </w:p>
    <w:bookmarkStart w:id="92" w:name="page93"/>
    <w:bookmarkEnd w:id="92"/>
    <w:p>
      <w:pPr>
        <w:ind w:left="900" w:right="440" w:hanging="383"/>
        <w:spacing w:after="0" w:line="284"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Management. </w:t>
      </w:r>
      <w:r>
        <w:rPr>
          <w:rFonts w:ascii="Times New Roman" w:cs="Times New Roman" w:eastAsia="Times New Roman" w:hAnsi="Times New Roman"/>
          <w:sz w:val="18"/>
          <w:szCs w:val="18"/>
          <w:color w:val="auto"/>
        </w:rPr>
        <w:t>Rezolve maintains a central management and configuration tool that allows it to quickly setup partners,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apps and index content from its merchants so it’s available via the SDK.</w:t>
      </w:r>
    </w:p>
    <w:p>
      <w:pPr>
        <w:spacing w:after="0" w:line="50" w:lineRule="exact"/>
        <w:rPr>
          <w:rFonts w:ascii="Times New Roman" w:cs="Times New Roman" w:eastAsia="Times New Roman" w:hAnsi="Times New Roman"/>
          <w:sz w:val="18"/>
          <w:szCs w:val="18"/>
          <w:color w:val="auto"/>
        </w:rPr>
      </w:pPr>
    </w:p>
    <w:p>
      <w:pPr>
        <w:ind w:left="900" w:right="20" w:hanging="383"/>
        <w:spacing w:after="0" w:line="284"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Analytics &amp; Reporting. </w:t>
      </w:r>
      <w:r>
        <w:rPr>
          <w:rFonts w:ascii="Times New Roman" w:cs="Times New Roman" w:eastAsia="Times New Roman" w:hAnsi="Times New Roman"/>
          <w:sz w:val="18"/>
          <w:szCs w:val="18"/>
          <w:color w:val="auto"/>
        </w:rPr>
        <w:t>Rezolve SDK and Backend Data Ingestor Service gathers metrics on usage, transactions, interactions and feeds it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Analytics Engine to churn out smart Dashboards and Reports.</w:t>
      </w:r>
    </w:p>
    <w:p>
      <w:pPr>
        <w:spacing w:after="0" w:line="50" w:lineRule="exact"/>
        <w:rPr>
          <w:rFonts w:ascii="Times New Roman" w:cs="Times New Roman" w:eastAsia="Times New Roman" w:hAnsi="Times New Roman"/>
          <w:sz w:val="18"/>
          <w:szCs w:val="18"/>
          <w:color w:val="auto"/>
        </w:rPr>
      </w:pPr>
    </w:p>
    <w:p>
      <w:pPr>
        <w:jc w:val="both"/>
        <w:ind w:left="900" w:hanging="383"/>
        <w:spacing w:after="0" w:line="267"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Snap-on Integrations. </w:t>
      </w:r>
      <w:r>
        <w:rPr>
          <w:rFonts w:ascii="Times New Roman" w:cs="Times New Roman" w:eastAsia="Times New Roman" w:hAnsi="Times New Roman"/>
          <w:sz w:val="18"/>
          <w:szCs w:val="18"/>
          <w:color w:val="auto"/>
        </w:rPr>
        <w:t>Rezolve’s Platform supports a snap-on integration design that allows integrations to any payment provider or gateway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eCommerce platforms with minimum effort. Rezolve already supports a large number of payment providers and ramping up support for e-commerce platforms via its unique plugin architecture and webhooks.</w:t>
      </w:r>
    </w:p>
    <w:p>
      <w:pPr>
        <w:spacing w:after="0" w:line="65" w:lineRule="exact"/>
        <w:rPr>
          <w:rFonts w:ascii="Times New Roman" w:cs="Times New Roman" w:eastAsia="Times New Roman" w:hAnsi="Times New Roman"/>
          <w:sz w:val="18"/>
          <w:szCs w:val="18"/>
          <w:color w:val="auto"/>
        </w:rPr>
      </w:pPr>
    </w:p>
    <w:p>
      <w:pPr>
        <w:ind w:left="900" w:right="80" w:hanging="383"/>
        <w:spacing w:after="0" w:line="267"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Onboarding. </w:t>
      </w:r>
      <w:r>
        <w:rPr>
          <w:rFonts w:ascii="Times New Roman" w:cs="Times New Roman" w:eastAsia="Times New Roman" w:hAnsi="Times New Roman"/>
          <w:sz w:val="18"/>
          <w:szCs w:val="18"/>
          <w:color w:val="auto"/>
        </w:rPr>
        <w:t>Bulk Onboarding of Merchants is a new and unique offering of our platform that allows us to set up and configure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10,000 merchants. Admin portal provides an easy to operate tool for operations teams to quickly add a large merchant base in any market on demand.</w:t>
      </w:r>
    </w:p>
    <w:p>
      <w:pPr>
        <w:spacing w:after="0" w:line="65" w:lineRule="exact"/>
        <w:rPr>
          <w:rFonts w:ascii="Times New Roman" w:cs="Times New Roman" w:eastAsia="Times New Roman" w:hAnsi="Times New Roman"/>
          <w:sz w:val="18"/>
          <w:szCs w:val="18"/>
          <w:color w:val="auto"/>
        </w:rPr>
      </w:pPr>
    </w:p>
    <w:p>
      <w:pPr>
        <w:ind w:left="900" w:right="40" w:hanging="383"/>
        <w:spacing w:after="0" w:line="267"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 Triggers. </w:t>
      </w:r>
      <w:r>
        <w:rPr>
          <w:rFonts w:ascii="Times New Roman" w:cs="Times New Roman" w:eastAsia="Times New Roman" w:hAnsi="Times New Roman"/>
          <w:sz w:val="18"/>
          <w:szCs w:val="18"/>
          <w:color w:val="auto"/>
        </w:rPr>
        <w:t>Rezolve’s implementation of GeoZones, Beacons and Watermarking are important elements of its platform. The creation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triggers via Rezolve’s Experience Platform when combined with its SDK delivers a powerful tool to Merchants to deliver non spamming targeted engagements.</w:t>
      </w:r>
    </w:p>
    <w:p>
      <w:pPr>
        <w:spacing w:after="0" w:line="65" w:lineRule="exact"/>
        <w:rPr>
          <w:rFonts w:ascii="Times New Roman" w:cs="Times New Roman" w:eastAsia="Times New Roman" w:hAnsi="Times New Roman"/>
          <w:sz w:val="18"/>
          <w:szCs w:val="18"/>
          <w:color w:val="auto"/>
        </w:rPr>
      </w:pPr>
    </w:p>
    <w:p>
      <w:pPr>
        <w:ind w:left="900" w:right="300" w:hanging="383"/>
        <w:spacing w:after="0" w:line="284"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Friendly. </w:t>
      </w:r>
      <w:r>
        <w:rPr>
          <w:rFonts w:ascii="Times New Roman" w:cs="Times New Roman" w:eastAsia="Times New Roman" w:hAnsi="Times New Roman"/>
          <w:sz w:val="18"/>
          <w:szCs w:val="18"/>
          <w:color w:val="auto"/>
        </w:rPr>
        <w:t>Rezolve’s REST API provides another integration point for any partner or client not using native mobile apps.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support progressive web applications, hybrid applications, web-based services and other applications.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preliminarily established relationships with Channels such as Grupo Carso (Latin America), ACI Worldwide (U.S. and Europe), Concardis (Germany), CompuTop (Germany) and MobiKwik (India), among others, although these Channels are currently pre-revenue.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acquiror Channels promote the use of Rezolve technology embedded into their apps directly (using Rezolve’s SDK and mobile application libraries). All merchants are encouraged to use our Rezolve Experience Platform to create engagements with their end-customers, whether it is labelled with the brand of the Channel or our brand.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Our market is transforming, competitive and highly fragmented, and we expect competition to increase in the future. We believe the principal competitive factors in our market are:</w:t>
      </w:r>
    </w:p>
    <w:p>
      <w:pPr>
        <w:spacing w:after="0" w:line="54" w:lineRule="exact"/>
        <w:rPr>
          <w:sz w:val="20"/>
          <w:szCs w:val="20"/>
          <w:color w:val="auto"/>
        </w:rPr>
      </w:pPr>
    </w:p>
    <w:p>
      <w:pPr>
        <w:ind w:left="900" w:hanging="383"/>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actionable AI-engineered products and solutions focused on commerce;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and ease of 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multiple Channels;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scale;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brand development;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respect to each of these factors, we believe that we provide a number of favorable offerings.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93" w:name="page94"/>
    <w:bookmarkEnd w:id="93"/>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Adobe</w:t>
      </w:r>
    </w:p>
    <w:p>
      <w:pPr>
        <w:spacing w:after="0" w:line="115"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color w:val="auto"/>
        </w:rPr>
        <w:t>On March 19, 2024, Rezolve entered into an agreement with Adobe, Inc. (“</w:t>
      </w:r>
      <w:r>
        <w:rPr>
          <w:rFonts w:ascii="Times New Roman" w:cs="Times New Roman" w:eastAsia="Times New Roman" w:hAnsi="Times New Roman"/>
          <w:sz w:val="18"/>
          <w:szCs w:val="18"/>
          <w:b w:val="1"/>
          <w:bCs w:val="1"/>
          <w:i w:val="1"/>
          <w:iCs w:val="1"/>
          <w:color w:val="auto"/>
        </w:rPr>
        <w:t>Adobe</w:t>
      </w:r>
      <w:r>
        <w:rPr>
          <w:rFonts w:ascii="Times New Roman" w:cs="Times New Roman" w:eastAsia="Times New Roman" w:hAnsi="Times New Roman"/>
          <w:sz w:val="18"/>
          <w:szCs w:val="18"/>
          <w:color w:val="auto"/>
        </w:rPr>
        <w:t>”), pursuant to which, among other things, Rezolve granted Adobe a worldwide, non-exclusive, royalty free, license to copy, display, perform and transmit Rezolve’s marks and logos in exchange for Adobe granting Rezolze a limited, non-transferable, non-exclusive, license, to integrate its AI-driven customer interaction tools into Adobe’s Magento eCommerce platform. Under the agreement, revenue will be generated through subscription fees paid by merchants who adopt Rezolve technology. Adobe may terminate the agreement at any time and for any reason.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 Worldwide</w:t>
      </w:r>
    </w:p>
    <w:p>
      <w:pPr>
        <w:spacing w:after="0" w:line="115"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On March 31, 2022, Rezolve entered into an agreement with ACI Worldwide (EMEA) Limited (“</w:t>
      </w:r>
      <w:r>
        <w:rPr>
          <w:rFonts w:ascii="Times New Roman" w:cs="Times New Roman" w:eastAsia="Times New Roman" w:hAnsi="Times New Roman"/>
          <w:sz w:val="18"/>
          <w:szCs w:val="18"/>
          <w:b w:val="1"/>
          <w:bCs w:val="1"/>
          <w:i w:val="1"/>
          <w:iCs w:val="1"/>
          <w:color w:val="auto"/>
        </w:rPr>
        <w:t>ACI</w:t>
      </w:r>
      <w:r>
        <w:rPr>
          <w:rFonts w:ascii="Times New Roman" w:cs="Times New Roman" w:eastAsia="Times New Roman" w:hAnsi="Times New Roman"/>
          <w:sz w:val="18"/>
          <w:szCs w:val="18"/>
          <w:color w:val="auto"/>
        </w:rPr>
        <w:t>”), pursuant to which, among other things, Rezolve granted ACI a non-sublicensable, non-transferable, non-exclusive license to use certain Rezolve technology in exchange for ACI agreeing to introduce and onboard merchants to the Rezolve platform as well as introduce Rezolve to banking partners to facilitate conversation around mutual collaboration and developing the market for Rezolve’s services in the US, EU, UK and Latin America. Under the agreement, ACI will receive 50% of all net revenues generated by merchants acquired or introduced by ACI. In addition, ACI agreed to pay a fee of $39,000 for the provision of a single instance of Rezolve RXP, branded for ACI. The agreement may be terminated by either party, without good cause, with 90 days written notice.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Haendlerbund</w:t>
      </w:r>
    </w:p>
    <w:p>
      <w:pPr>
        <w:spacing w:after="0" w:line="115"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On November 20, 2023, Rezolve entered into an agreement with HB Marketplace GmbH (“</w:t>
      </w:r>
      <w:r>
        <w:rPr>
          <w:rFonts w:ascii="Times New Roman" w:cs="Times New Roman" w:eastAsia="Times New Roman" w:hAnsi="Times New Roman"/>
          <w:sz w:val="18"/>
          <w:szCs w:val="18"/>
          <w:b w:val="1"/>
          <w:bCs w:val="1"/>
          <w:i w:val="1"/>
          <w:iCs w:val="1"/>
          <w:color w:val="auto"/>
        </w:rPr>
        <w:t>Haendlerbund</w:t>
      </w:r>
      <w:r>
        <w:rPr>
          <w:rFonts w:ascii="Times New Roman" w:cs="Times New Roman" w:eastAsia="Times New Roman" w:hAnsi="Times New Roman"/>
          <w:sz w:val="18"/>
          <w:szCs w:val="18"/>
          <w:color w:val="auto"/>
        </w:rPr>
        <w:t>”), pursuant to which, among other things, Rezolve granted Haendlerbund a non-exclusive distribution and marketing license of the Brain in exchange for Handlerbund selling and marketing Brain on its digital marketplace to online retailers. Under the agreement, Handlerbund will receives 25% of the net sales actually received by Handlerbund from the sale of Brain. The agreement may be terminated without notice for good cause. Good cause exists if Handlerbund has received multiple justified complaints from the end customer related to use of the service (e.g., technical malfunctions) or Rezolve actively encourages end customers of Handlerbund’s to get services from Rezolve directly or if technical integration cannot be achieved or can only be achieved with disproportionate effort.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Epages</w:t>
      </w:r>
    </w:p>
    <w:p>
      <w:pPr>
        <w:spacing w:after="0" w:line="11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color w:val="auto"/>
        </w:rPr>
        <w:t>On January 22, 2024, Rezolve entered into an agreement with Epages GMBH (“</w:t>
      </w:r>
      <w:r>
        <w:rPr>
          <w:rFonts w:ascii="Times New Roman" w:cs="Times New Roman" w:eastAsia="Times New Roman" w:hAnsi="Times New Roman"/>
          <w:sz w:val="18"/>
          <w:szCs w:val="18"/>
          <w:b w:val="1"/>
          <w:bCs w:val="1"/>
          <w:i w:val="1"/>
          <w:iCs w:val="1"/>
          <w:color w:val="auto"/>
        </w:rPr>
        <w:t>Epages</w:t>
      </w:r>
      <w:r>
        <w:rPr>
          <w:rFonts w:ascii="Times New Roman" w:cs="Times New Roman" w:eastAsia="Times New Roman" w:hAnsi="Times New Roman"/>
          <w:sz w:val="18"/>
          <w:szCs w:val="18"/>
          <w:color w:val="auto"/>
        </w:rPr>
        <w:t>”), pursuant to which, among other things, Epages agreed to introduce merchants to Rezolve’s services as well as introduce Rezolve to partners to facilitate conversations around mutual collaboration. Under the agreement, Epages will receive 25% of all net revenues generated by merchants acquired or introduced by Epages. The agreement is for a term of two years and may be terminated by either party by providing six months’ notice.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JTL</w:t>
      </w:r>
    </w:p>
    <w:p>
      <w:pPr>
        <w:spacing w:after="0" w:line="115"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color w:val="auto"/>
        </w:rPr>
        <w:t>On March 19, 2024, Rezolve entered into an agreement with JTL Software GmbH (“</w:t>
      </w:r>
      <w:r>
        <w:rPr>
          <w:rFonts w:ascii="Times New Roman" w:cs="Times New Roman" w:eastAsia="Times New Roman" w:hAnsi="Times New Roman"/>
          <w:sz w:val="18"/>
          <w:szCs w:val="18"/>
          <w:b w:val="1"/>
          <w:bCs w:val="1"/>
          <w:i w:val="1"/>
          <w:iCs w:val="1"/>
          <w:color w:val="auto"/>
        </w:rPr>
        <w:t>JTL</w:t>
      </w:r>
      <w:r>
        <w:rPr>
          <w:rFonts w:ascii="Times New Roman" w:cs="Times New Roman" w:eastAsia="Times New Roman" w:hAnsi="Times New Roman"/>
          <w:sz w:val="18"/>
          <w:szCs w:val="18"/>
          <w:color w:val="auto"/>
        </w:rPr>
        <w:t>”), pursuant to which, among other things, JTL agreed to cooperate with Rezolve on co-marketing of Rezolve’s products and services. Any renumeration or commissions are to be agreed upon in a separate individual agreement. The agreement is for an initial term of 12 months. After the 12 months have passed, the contract runs for an indefinite period of time unless it is terminated by one of the parties. The contract may be terminated by either party with 2 months’ notice within the initial 12-month term and thereafter with three months’ notice.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color w:val="auto"/>
        </w:rPr>
        <w:t>Oxid</w:t>
      </w:r>
    </w:p>
    <w:p>
      <w:pPr>
        <w:spacing w:after="0" w:line="115"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color w:val="auto"/>
        </w:rPr>
        <w:t>On March 22, 2024, Rezolve entered into an agreement with OXID eSales AG (“</w:t>
      </w:r>
      <w:r>
        <w:rPr>
          <w:rFonts w:ascii="Times New Roman" w:cs="Times New Roman" w:eastAsia="Times New Roman" w:hAnsi="Times New Roman"/>
          <w:sz w:val="18"/>
          <w:szCs w:val="18"/>
          <w:b w:val="1"/>
          <w:bCs w:val="1"/>
          <w:i w:val="1"/>
          <w:iCs w:val="1"/>
          <w:color w:val="auto"/>
        </w:rPr>
        <w:t>OXID</w:t>
      </w:r>
      <w:r>
        <w:rPr>
          <w:rFonts w:ascii="Times New Roman" w:cs="Times New Roman" w:eastAsia="Times New Roman" w:hAnsi="Times New Roman"/>
          <w:sz w:val="18"/>
          <w:szCs w:val="18"/>
          <w:color w:val="auto"/>
        </w:rPr>
        <w:t>”), pursuant to which, among other things, OXID agreed to co-market and sell Rezolve’s products and services in order to generate new customers for Rezolve and to integrate Rezolve’s products into OXID’s software. Under the agreement, OXID will receive a commission of 25% on all sales made by Rezolve with an OXID customer. The agreement is for an initial term of 24 months, after which the term shall be 12 months, unless terminated upon six months’ notice at the end of the initial term.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Chatwerk</w:t>
      </w:r>
    </w:p>
    <w:p>
      <w:pPr>
        <w:spacing w:after="0" w:line="115"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color w:val="auto"/>
        </w:rPr>
        <w:t>On May 23, 2023, Rezolve entered into a non-binding offer with Chatwerk by Inbox Solutions GmbH (“</w:t>
      </w:r>
      <w:r>
        <w:rPr>
          <w:rFonts w:ascii="Times New Roman" w:cs="Times New Roman" w:eastAsia="Times New Roman" w:hAnsi="Times New Roman"/>
          <w:sz w:val="18"/>
          <w:szCs w:val="18"/>
          <w:b w:val="1"/>
          <w:bCs w:val="1"/>
          <w:i w:val="1"/>
          <w:iCs w:val="1"/>
          <w:color w:val="auto"/>
        </w:rPr>
        <w:t>Chatwerk</w:t>
      </w:r>
      <w:r>
        <w:rPr>
          <w:rFonts w:ascii="Times New Roman" w:cs="Times New Roman" w:eastAsia="Times New Roman" w:hAnsi="Times New Roman"/>
          <w:sz w:val="18"/>
          <w:szCs w:val="18"/>
          <w:color w:val="auto"/>
        </w:rPr>
        <w:t>”) to purchase Rezolve’s products. Under the agreement, Chatwerk will receive 20% on all Rezolve services-based revenues generated by Chatwerk.</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Operations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83"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we had 35 employees and 29 contractors. None of our employees is represented by a labor organization or is a party to a collective bargaining arrangement. We consider our relationship with our employees to be excellent.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headquartered in London, England, United Kingdom. We do not own any real property. All of our employees based in the United Kingdom work remotely.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bookmarkStart w:id="95" w:name="page96"/>
    <w:bookmarkEnd w:id="95"/>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 AND COMPENSATION</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following sets forth the names, business addresses and functions of the Company’s directors and senior management as of January 31, 2025. The Company’s Amended and Restated Memorandum and Articles of Association provide that the Company Board of Directors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three classes of directors with the directors of each class serving staggered three-year terms. Class I directors shall serve a term expiring at the Company’s 2025 annual meeting of shareholders, Class II directors shall serve a term expiring at the Company’s 2026 annual meeting of shareholders, and Class III directors shall serve a term expiring at the Company’s 2027 annual meeting of shareholders.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Age</w:t>
            </w:r>
          </w:p>
        </w:tc>
        <w:tc>
          <w:tcPr>
            <w:tcW w:w="510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190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61</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90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91</w:t>
            </w:r>
          </w:p>
        </w:tc>
        <w:tc>
          <w:tcPr>
            <w:tcW w:w="5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62</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90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80</w:t>
            </w:r>
          </w:p>
        </w:tc>
        <w:tc>
          <w:tcPr>
            <w:tcW w:w="5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64</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Derek Smith</w:t>
            </w:r>
          </w:p>
        </w:tc>
        <w:tc>
          <w:tcPr>
            <w:tcW w:w="1900" w:type="dxa"/>
            <w:vAlign w:val="bottom"/>
          </w:tcPr>
          <w:p>
            <w:pPr>
              <w:jc w:val="right"/>
              <w:ind w:right="1031"/>
              <w:spacing w:after="0" w:line="198" w:lineRule="exact"/>
              <w:rPr>
                <w:sz w:val="20"/>
                <w:szCs w:val="20"/>
                <w:color w:val="auto"/>
              </w:rPr>
            </w:pPr>
            <w:r>
              <w:rPr>
                <w:rFonts w:ascii="Times New Roman" w:cs="Times New Roman" w:eastAsia="Times New Roman" w:hAnsi="Times New Roman"/>
                <w:sz w:val="18"/>
                <w:szCs w:val="18"/>
                <w:color w:val="auto"/>
              </w:rPr>
              <w:t>78</w:t>
            </w:r>
          </w:p>
        </w:tc>
        <w:tc>
          <w:tcPr>
            <w:tcW w:w="510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Class II Director</w:t>
            </w: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90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62</w:t>
            </w:r>
          </w:p>
        </w:tc>
        <w:tc>
          <w:tcPr>
            <w:tcW w:w="5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432"/>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9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61</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90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52</w:t>
            </w:r>
          </w:p>
        </w:tc>
        <w:tc>
          <w:tcPr>
            <w:tcW w:w="5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62</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Chief Commercial Officer and General Manager (EMEA)</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90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49</w:t>
            </w:r>
          </w:p>
        </w:tc>
        <w:tc>
          <w:tcPr>
            <w:tcW w:w="5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CEO Products, Technology, and Digital Services</w:t>
            </w: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51</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Daniel Wagner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11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7" w:name="page98"/>
    <w:bookmarkEnd w:id="97"/>
    <w:p>
      <w:pPr>
        <w:ind w:right="20"/>
        <w:spacing w:after="0" w:line="282" w:lineRule="auto"/>
        <w:rPr>
          <w:sz w:val="20"/>
          <w:szCs w:val="20"/>
          <w:color w:val="auto"/>
        </w:rPr>
      </w:pPr>
      <w:r>
        <w:rPr>
          <w:rFonts w:ascii="Times New Roman" w:cs="Times New Roman" w:eastAsia="Times New Roman" w:hAnsi="Times New Roman"/>
          <w:sz w:val="18"/>
          <w:szCs w:val="18"/>
          <w:color w:val="auto"/>
        </w:rPr>
        <w:t>BA in Economics from the University of Nottingham and a PhD in Economics from the University of Nottingham. Rezolve believes Dr. Smith is qualified to serve on the board because of his history of holding leadership roles in various companies.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Wagner.</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Herbert.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Mr. Herbert has served as a director on the board of directors of Rezolve since August 2024.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 Mr. Burchill served as Group Finance Director with Rezolve. Prior to joining Rezolve, he was the Group Treasurer at Arcadia Group Ltd from 1999 to 2021. From 2014 to 2021, he served as a director of the main operating board of Arcadia</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98" w:name="page99"/>
    <w:bookmarkEnd w:id="98"/>
    <w:p>
      <w:pPr>
        <w:ind w:right="600"/>
        <w:spacing w:after="0" w:line="282" w:lineRule="auto"/>
        <w:rPr>
          <w:sz w:val="20"/>
          <w:szCs w:val="20"/>
          <w:color w:val="auto"/>
        </w:rPr>
      </w:pPr>
      <w:r>
        <w:rPr>
          <w:rFonts w:ascii="Times New Roman" w:cs="Times New Roman" w:eastAsia="Times New Roman" w:hAnsi="Times New Roman"/>
          <w:sz w:val="18"/>
          <w:szCs w:val="18"/>
          <w:color w:val="auto"/>
        </w:rPr>
        <w:t>Group Ltd. He also served as director of card services at Arcadia Group Ltd from 2006 to 2021. He holds a degree in Accounting and Finance from Middlesex University and is a member of the Chartered Institute of Management Accountants.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 Class Honours degree in computer science and a doctorate in 3D graphics and AI from Loughborough University.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Except for Daniel Wagner, CEO and director, being the son of John Wagner, a non-executive director on the board of directors, there are no family relationships between any of the executive officers and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68" w:lineRule="exact"/>
        <w:rPr>
          <w:sz w:val="20"/>
          <w:szCs w:val="20"/>
          <w:color w:val="auto"/>
        </w:rPr>
      </w:pPr>
    </w:p>
    <w:p>
      <w:pPr>
        <w:ind w:left="900" w:right="360" w:hanging="383"/>
        <w:spacing w:after="0" w:line="282"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53"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53"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53"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53"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color w:val="auto"/>
        </w:rPr>
      </w:pPr>
    </w:p>
    <w:p>
      <w:pPr>
        <w:ind w:left="900" w:right="300" w:hanging="383"/>
        <w:spacing w:after="0" w:line="261"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72" w:lineRule="exact"/>
        <w:rPr>
          <w:sz w:val="20"/>
          <w:szCs w:val="20"/>
          <w:color w:val="auto"/>
        </w:rPr>
      </w:pPr>
    </w:p>
    <w:p>
      <w:pPr>
        <w:ind w:left="920" w:hanging="403"/>
        <w:spacing w:after="0"/>
        <w:tabs>
          <w:tab w:leader="none" w:pos="9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w:t>
      </w:r>
    </w:p>
    <w:p>
      <w:pPr>
        <w:spacing w:after="0" w:line="53"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we are an “emerging growth company” as defined in the JOBS Act and have elected to comply with certain reduced public company reporting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Board of Directors Composition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is comprised of eight directors (provided that Daniel Wagner has the right to appoint an additional director to the Board from time to time), five of whom qualify as independent directors as defined in the Nasdaq listing requirements. Daniel Wagner serves as the Chairman of the board of directors and Anthony Sharp serves as deputy Chairman.</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serving staggered three 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0" w:name="page101"/>
    <w:bookmarkEnd w:id="100"/>
    <w:p>
      <w:pPr>
        <w:ind w:right="380"/>
        <w:spacing w:after="0" w:line="282" w:lineRule="auto"/>
        <w:rPr>
          <w:sz w:val="20"/>
          <w:szCs w:val="20"/>
          <w:color w:val="auto"/>
        </w:rPr>
      </w:pPr>
      <w:r>
        <w:rPr>
          <w:rFonts w:ascii="Times New Roman" w:cs="Times New Roman" w:eastAsia="Times New Roman" w:hAnsi="Times New Roman"/>
          <w:sz w:val="18"/>
          <w:szCs w:val="18"/>
          <w:color w:val="auto"/>
        </w:rPr>
        <w:t>directors and will serve until our annual meeting in 2026. Messrs. Dan Wagner and John Wagner are Class III directors and will serve until our annual meeting in 2027.</w:t>
      </w:r>
    </w:p>
    <w:p>
      <w:pPr>
        <w:spacing w:after="0" w:line="16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Rezolve Board of Directors in Risk Oversight</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Rezolve Board of Directors</w:t>
      </w:r>
    </w:p>
    <w:p>
      <w:pPr>
        <w:spacing w:after="0" w:line="225"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color w:val="auto"/>
        </w:rPr>
        <w:t>Following the Closing, the board of directors established three standing committees: (i) an audit committee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(ii) a remuneration committee (the "</w:t>
      </w:r>
      <w:r>
        <w:rPr>
          <w:rFonts w:ascii="Times New Roman" w:cs="Times New Roman" w:eastAsia="Times New Roman" w:hAnsi="Times New Roman"/>
          <w:sz w:val="18"/>
          <w:szCs w:val="18"/>
          <w:b w:val="1"/>
          <w:bCs w:val="1"/>
          <w:i w:val="1"/>
          <w:iCs w:val="1"/>
          <w:color w:val="auto"/>
        </w:rPr>
        <w:t>Remuneration Committee</w:t>
      </w:r>
      <w:r>
        <w:rPr>
          <w:rFonts w:ascii="Times New Roman" w:cs="Times New Roman" w:eastAsia="Times New Roman" w:hAnsi="Times New Roman"/>
          <w:sz w:val="18"/>
          <w:szCs w:val="18"/>
          <w:color w:val="auto"/>
        </w:rPr>
        <w:t>"), and (iii) a nominating and corporate governance committee (the "</w:t>
      </w:r>
      <w:r>
        <w:rPr>
          <w:rFonts w:ascii="Times New Roman" w:cs="Times New Roman" w:eastAsia="Times New Roman" w:hAnsi="Times New Roman"/>
          <w:sz w:val="18"/>
          <w:szCs w:val="18"/>
          <w:b w:val="1"/>
          <w:bCs w:val="1"/>
          <w:i w:val="1"/>
          <w:iCs w:val="1"/>
          <w:color w:val="auto"/>
        </w:rPr>
        <w:t>Nominating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Governance Committee</w:t>
      </w:r>
      <w:r>
        <w:rPr>
          <w:rFonts w:ascii="Times New Roman" w:cs="Times New Roman" w:eastAsia="Times New Roman" w:hAnsi="Times New Roman"/>
          <w:sz w:val="18"/>
          <w:szCs w:val="18"/>
          <w:color w:val="auto"/>
        </w:rPr>
        <w:t>"). In addition, from time to time, special committees may be established under the direction of our board of directors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to address specific issues.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17" w:lineRule="exact"/>
        <w:rPr>
          <w:sz w:val="20"/>
          <w:szCs w:val="20"/>
          <w:color w:val="auto"/>
        </w:rPr>
      </w:pPr>
    </w:p>
    <w:p>
      <w:pPr>
        <w:ind w:left="900" w:right="260" w:hanging="383"/>
        <w:spacing w:after="0" w:line="282"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accounting firm regarding, among other issues, audits, and adequacy of our accounting and control systems;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6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Remuneration Committee is responsible for, among other things:</w:t>
      </w:r>
    </w:p>
    <w:p>
      <w:pPr>
        <w:spacing w:after="0" w:line="117" w:lineRule="exact"/>
        <w:rPr>
          <w:sz w:val="20"/>
          <w:szCs w:val="20"/>
          <w:color w:val="auto"/>
        </w:rPr>
      </w:pPr>
    </w:p>
    <w:p>
      <w:pPr>
        <w:ind w:left="900" w:right="20" w:hanging="383"/>
        <w:spacing w:after="0" w:line="266"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any disclosure requirements;</w:t>
      </w:r>
    </w:p>
    <w:p>
      <w:pPr>
        <w:spacing w:after="0" w:line="117" w:lineRule="exact"/>
        <w:rPr>
          <w:rFonts w:ascii="Times New Roman" w:cs="Times New Roman" w:eastAsia="Times New Roman" w:hAnsi="Times New Roman"/>
          <w:sz w:val="18"/>
          <w:szCs w:val="18"/>
          <w:color w:val="auto"/>
        </w:rPr>
      </w:pPr>
    </w:p>
    <w:p>
      <w:pPr>
        <w:ind w:left="900" w:right="700" w:hanging="383"/>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Remuneration Committee consists of Anthony Sharp and Steve Perry, with Steve Perry serving as the chair of the committee. Our board of directors has adopted a written terms of reference for the Remuneration Committee, which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117" w:lineRule="exact"/>
        <w:rPr>
          <w:sz w:val="20"/>
          <w:szCs w:val="20"/>
          <w:color w:val="auto"/>
        </w:rPr>
      </w:pPr>
    </w:p>
    <w:p>
      <w:pPr>
        <w:ind w:left="900" w:hanging="383"/>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have also purchased a policy of directors’ and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02" w:name="page103"/>
    <w:bookmarkEnd w:id="102"/>
    <w:p>
      <w:pPr>
        <w:ind w:right="200"/>
        <w:spacing w:after="0" w:line="282" w:lineRule="auto"/>
        <w:rPr>
          <w:sz w:val="20"/>
          <w:szCs w:val="20"/>
          <w:color w:val="auto"/>
        </w:rPr>
      </w:pPr>
      <w:r>
        <w:rPr>
          <w:rFonts w:ascii="Times New Roman" w:cs="Times New Roman" w:eastAsia="Times New Roman" w:hAnsi="Times New Roman"/>
          <w:sz w:val="18"/>
          <w:szCs w:val="18"/>
          <w:color w:val="auto"/>
        </w:rPr>
        <w:t>officers’ liability insurance that insures our officers and directors against the cost of defense, settlement or payment of a judgment in some circumstances and insures us against our obligations to indemnify our officers and directors.</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8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160" w:lineRule="exact"/>
        <w:rPr>
          <w:sz w:val="20"/>
          <w:szCs w:val="20"/>
          <w:color w:val="auto"/>
        </w:rPr>
      </w:pPr>
    </w:p>
    <w:p>
      <w:pPr>
        <w:jc w:val="both"/>
        <w:ind w:right="40" w:firstLine="509"/>
        <w:spacing w:after="0" w:line="267" w:lineRule="auto"/>
        <w:rPr>
          <w:sz w:val="20"/>
          <w:szCs w:val="20"/>
          <w:color w:val="auto"/>
        </w:rPr>
      </w:pPr>
      <w:r>
        <w:rPr>
          <w:rFonts w:ascii="Times New Roman" w:cs="Times New Roman" w:eastAsia="Times New Roman" w:hAnsi="Times New Roman"/>
          <w:sz w:val="18"/>
          <w:szCs w:val="18"/>
          <w:color w:val="auto"/>
        </w:rPr>
        <w:t>For further details on the indemnity provisions referred to in our articles of association, see the section entitled “</w:t>
      </w:r>
      <w:r>
        <w:rPr>
          <w:rFonts w:ascii="Times New Roman" w:cs="Times New Roman" w:eastAsia="Times New Roman" w:hAnsi="Times New Roman"/>
          <w:sz w:val="18"/>
          <w:szCs w:val="18"/>
          <w:i w:val="1"/>
          <w:iCs w:val="1"/>
          <w:color w:val="auto"/>
        </w:rPr>
        <w:t>Description of Ordinary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of this prospectus, and for a summary of the indemnification agreement, see the section entitled “</w:t>
      </w:r>
      <w:r>
        <w:rPr>
          <w:rFonts w:ascii="Times New Roman" w:cs="Times New Roman" w:eastAsia="Times New Roman" w:hAnsi="Times New Roman"/>
          <w:sz w:val="18"/>
          <w:szCs w:val="18"/>
          <w:i w:val="1"/>
          <w:iCs w:val="1"/>
          <w:color w:val="auto"/>
        </w:rPr>
        <w:t>Indemnification Agreements with Officers and Directors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$2,038,626.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Daniel Wagner</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Richard Burchill</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Richard Burchill entered into a service agreement on September 6, 2021 with a commencement date of September 13, 2021. He is entitled to an initial salary of £220,000 per annum. In addition, Richard has been granted 2,000,000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0"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29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Non-executive Director Letters of Appointment (John Wagner, Anthony Sharp, Sir David Wright, Derek Smith, Stephen Perry, and Stephen Herbert)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(John Wagner, Anthony Sharp, Sir David Wright, Derek Smith, and Stephen Perry)</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(d Stephen Herbert)</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 on the same terms as set out above with the exception of the term of appointment and compensation, which will be for a period of one year with no cash compensation.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Daniel Wagner</w:t>
      </w:r>
    </w:p>
    <w:p>
      <w:pPr>
        <w:spacing w:after="0" w:line="117"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color w:val="auto"/>
        </w:rPr>
        <w:t>We have debt outstanding to DBLP Sea Cow Limited (a company incorporated in the Seychelles)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which is wholly legally owned by Daniel Wagner and beneficially owned by John Wagner, in the amounts of $175,000 and $477,077, an aggregate of $652,077. The loans provided by DBLP were to provide liquidity to Rezolve in 2020 and 2021. There are no formal loan documents in place and the loan is non-interest bearing and remains callable at any time. We expect the loan to be called and repaid in H2 2023.</w:t>
      </w:r>
    </w:p>
    <w:p>
      <w:pPr>
        <w:spacing w:after="0" w:line="18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Rezolve has also purchased a policy of directors’ and officers’ liability insurance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72" w:lineRule="exact"/>
        <w:rPr>
          <w:sz w:val="20"/>
          <w:szCs w:val="20"/>
          <w:color w:val="auto"/>
        </w:rPr>
      </w:pPr>
    </w:p>
    <w:p>
      <w:pPr>
        <w:ind w:left="900" w:hanging="383"/>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Rezolve’s executive officers or directors;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Rezolve to be the beneficial owner of more than 5% of Rezolve voting shares;</w:t>
      </w:r>
    </w:p>
    <w:p>
      <w:pPr>
        <w:spacing w:after="0" w:line="117" w:lineRule="exact"/>
        <w:rPr>
          <w:rFonts w:ascii="Times New Roman" w:cs="Times New Roman" w:eastAsia="Times New Roman" w:hAnsi="Times New Roman"/>
          <w:sz w:val="18"/>
          <w:szCs w:val="18"/>
          <w:color w:val="auto"/>
        </w:rPr>
      </w:pPr>
    </w:p>
    <w:p>
      <w:pPr>
        <w:ind w:left="900" w:right="40" w:hanging="383"/>
        <w:spacing w:after="0" w:line="261"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71"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8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Ordinary Shares as of January 31, 2025:</w:t>
      </w:r>
    </w:p>
    <w:p>
      <w:pPr>
        <w:spacing w:after="0" w:line="117" w:lineRule="exact"/>
        <w:rPr>
          <w:sz w:val="20"/>
          <w:szCs w:val="20"/>
          <w:color w:val="auto"/>
        </w:rPr>
      </w:pPr>
    </w:p>
    <w:p>
      <w:pPr>
        <w:ind w:left="900" w:hanging="383"/>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ordinary shares;;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w:t>
      </w:r>
    </w:p>
    <w:p>
      <w:pPr>
        <w:spacing w:after="0" w:line="22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percentage of Ordinary Shares beneficially owned is computed on the basis of 208,295,754 Ordinary Shares outstanding as of January 31, 2025.</w:t>
      </w:r>
    </w:p>
    <w:p>
      <w:pPr>
        <w:spacing w:after="0" w:line="23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377"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3740" w:type="dxa"/>
            <w:vAlign w:val="bottom"/>
            <w:tcBorders>
              <w:top w:val="single" w:sz="8" w:color="auto"/>
              <w:left w:val="single" w:sz="8" w:color="auto"/>
              <w:bottom w:val="single" w:sz="8" w:color="auto"/>
              <w:right w:val="single" w:sz="8" w:color="auto"/>
            </w:tcBorders>
          </w:tcPr>
          <w:p>
            <w:pPr>
              <w:ind w:left="12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Name of Beneficial Owners</w:t>
            </w:r>
            <w:r>
              <w:rPr>
                <w:rFonts w:ascii="Times New Roman" w:cs="Times New Roman" w:eastAsia="Times New Roman" w:hAnsi="Times New Roman"/>
                <w:sz w:val="24"/>
                <w:szCs w:val="24"/>
                <w:i w:val="1"/>
                <w:iCs w:val="1"/>
                <w:color w:val="auto"/>
                <w:vertAlign w:val="superscript"/>
              </w:rPr>
              <w:t>(1)</w:t>
            </w:r>
          </w:p>
        </w:tc>
        <w:tc>
          <w:tcPr>
            <w:tcW w:w="3680" w:type="dxa"/>
            <w:vAlign w:val="bottom"/>
            <w:tcBorders>
              <w:top w:val="single" w:sz="8" w:color="auto"/>
              <w:bottom w:val="single" w:sz="8" w:color="auto"/>
              <w:right w:val="single" w:sz="8" w:color="auto"/>
            </w:tcBorders>
          </w:tcPr>
          <w:p>
            <w:pPr>
              <w:spacing w:after="0"/>
              <w:rPr>
                <w:sz w:val="22"/>
                <w:szCs w:val="22"/>
                <w:color w:val="auto"/>
              </w:rPr>
            </w:pPr>
          </w:p>
        </w:tc>
        <w:tc>
          <w:tcPr>
            <w:tcW w:w="3700" w:type="dxa"/>
            <w:vAlign w:val="bottom"/>
            <w:tcBorders>
              <w:top w:val="single" w:sz="8" w:color="auto"/>
              <w:bottom w:val="single" w:sz="8" w:color="auto"/>
              <w:right w:val="single" w:sz="8" w:color="auto"/>
            </w:tcBorders>
          </w:tcPr>
          <w:p>
            <w:pPr>
              <w:spacing w:after="0"/>
              <w:rPr>
                <w:sz w:val="22"/>
                <w:szCs w:val="22"/>
                <w:color w:val="auto"/>
              </w:rPr>
            </w:pPr>
          </w:p>
        </w:tc>
      </w:tr>
      <w:tr>
        <w:trPr>
          <w:trHeight w:val="193"/>
        </w:trPr>
        <w:tc>
          <w:tcPr>
            <w:tcW w:w="3740" w:type="dxa"/>
            <w:vAlign w:val="bottom"/>
            <w:tcBorders>
              <w:left w:val="single" w:sz="8" w:color="auto"/>
              <w:bottom w:val="single" w:sz="8" w:color="auto"/>
              <w:right w:val="single" w:sz="8" w:color="auto"/>
            </w:tcBorders>
          </w:tcPr>
          <w:p>
            <w:pPr>
              <w:ind w:left="120"/>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3680" w:type="dxa"/>
            <w:vAlign w:val="bottom"/>
            <w:tcBorders>
              <w:bottom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Number of Shares</w:t>
            </w:r>
          </w:p>
        </w:tc>
        <w:tc>
          <w:tcPr>
            <w:tcW w:w="3700" w:type="dxa"/>
            <w:vAlign w:val="bottom"/>
            <w:tcBorders>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Daniel Wagner</w:t>
            </w:r>
          </w:p>
        </w:tc>
        <w:tc>
          <w:tcPr>
            <w:tcW w:w="3680" w:type="dxa"/>
            <w:vAlign w:val="bottom"/>
            <w:tcBorders>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40,523,028</w:t>
            </w:r>
            <w:r>
              <w:rPr>
                <w:rFonts w:ascii="Times New Roman" w:cs="Times New Roman" w:eastAsia="Times New Roman" w:hAnsi="Times New Roman"/>
                <w:sz w:val="24"/>
                <w:szCs w:val="24"/>
                <w:i w:val="1"/>
                <w:iCs w:val="1"/>
                <w:color w:val="auto"/>
                <w:vertAlign w:val="superscript"/>
              </w:rPr>
              <w:t>(2)</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19.45%</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Wagner</w:t>
            </w:r>
          </w:p>
        </w:tc>
        <w:tc>
          <w:tcPr>
            <w:tcW w:w="3680" w:type="dxa"/>
            <w:vAlign w:val="bottom"/>
            <w:tcBorders>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36,640,512</w:t>
            </w:r>
            <w:r>
              <w:rPr>
                <w:rFonts w:ascii="Times New Roman" w:cs="Times New Roman" w:eastAsia="Times New Roman" w:hAnsi="Times New Roman"/>
                <w:sz w:val="24"/>
                <w:szCs w:val="24"/>
                <w:i w:val="1"/>
                <w:iCs w:val="1"/>
                <w:color w:val="auto"/>
                <w:vertAlign w:val="superscript"/>
              </w:rPr>
              <w:t>(3)</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17.59%</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Anthony Sharp</w:t>
            </w:r>
          </w:p>
        </w:tc>
        <w:tc>
          <w:tcPr>
            <w:tcW w:w="3680" w:type="dxa"/>
            <w:vAlign w:val="bottom"/>
            <w:tcBorders>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1,921,793</w:t>
            </w:r>
            <w:r>
              <w:rPr>
                <w:rFonts w:ascii="Times New Roman" w:cs="Times New Roman" w:eastAsia="Times New Roman" w:hAnsi="Times New Roman"/>
                <w:sz w:val="24"/>
                <w:szCs w:val="24"/>
                <w:i w:val="1"/>
                <w:iCs w:val="1"/>
                <w:color w:val="auto"/>
                <w:vertAlign w:val="superscript"/>
              </w:rPr>
              <w:t>(4)</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Sir David Wright</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495,343</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Perry</w:t>
            </w:r>
          </w:p>
        </w:tc>
        <w:tc>
          <w:tcPr>
            <w:tcW w:w="3680" w:type="dxa"/>
            <w:vAlign w:val="bottom"/>
            <w:tcBorders>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744,461</w:t>
            </w:r>
            <w:r>
              <w:rPr>
                <w:rFonts w:ascii="Times New Roman" w:cs="Times New Roman" w:eastAsia="Times New Roman" w:hAnsi="Times New Roman"/>
                <w:sz w:val="24"/>
                <w:szCs w:val="24"/>
                <w:i w:val="1"/>
                <w:iCs w:val="1"/>
                <w:color w:val="auto"/>
                <w:vertAlign w:val="superscript"/>
              </w:rPr>
              <w:t>(5)</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Derek Smith</w:t>
            </w:r>
          </w:p>
        </w:tc>
        <w:tc>
          <w:tcPr>
            <w:tcW w:w="3680" w:type="dxa"/>
            <w:vAlign w:val="bottom"/>
            <w:tcBorders>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33,334</w:t>
            </w:r>
            <w:r>
              <w:rPr>
                <w:rFonts w:ascii="Times New Roman" w:cs="Times New Roman" w:eastAsia="Times New Roman" w:hAnsi="Times New Roman"/>
                <w:sz w:val="24"/>
                <w:szCs w:val="24"/>
                <w:i w:val="1"/>
                <w:iCs w:val="1"/>
                <w:color w:val="auto"/>
                <w:vertAlign w:val="superscript"/>
              </w:rPr>
              <w:t>(6)</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Herbert</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298,436</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Peter Vesco</w:t>
            </w:r>
          </w:p>
        </w:tc>
        <w:tc>
          <w:tcPr>
            <w:tcW w:w="3680" w:type="dxa"/>
            <w:vAlign w:val="bottom"/>
            <w:tcBorders>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1,153,633</w:t>
            </w:r>
            <w:r>
              <w:rPr>
                <w:rFonts w:ascii="Times New Roman" w:cs="Times New Roman" w:eastAsia="Times New Roman" w:hAnsi="Times New Roman"/>
                <w:sz w:val="24"/>
                <w:szCs w:val="24"/>
                <w:i w:val="1"/>
                <w:iCs w:val="1"/>
                <w:color w:val="auto"/>
                <w:vertAlign w:val="superscript"/>
              </w:rPr>
              <w:t>(7)</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Richard Burchill</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300</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Sauvik Banerjee</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45,986,317</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22.08%</w:t>
            </w:r>
          </w:p>
        </w:tc>
      </w:tr>
      <w:tr>
        <w:trPr>
          <w:trHeight w:val="210"/>
        </w:trPr>
        <w:tc>
          <w:tcPr>
            <w:tcW w:w="3740" w:type="dxa"/>
            <w:vAlign w:val="bottom"/>
            <w:tcBorders>
              <w:left w:val="single" w:sz="8" w:color="auto"/>
              <w:bottom w:val="single" w:sz="8" w:color="auto"/>
              <w:right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36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209"/>
        </w:trPr>
        <w:tc>
          <w:tcPr>
            <w:tcW w:w="37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8"/>
                <w:szCs w:val="18"/>
                <w:color w:val="auto"/>
              </w:rPr>
              <w:t>DBLP Sea Cow Limited</w:t>
            </w:r>
            <w:r>
              <w:rPr>
                <w:rFonts w:ascii="Times New Roman" w:cs="Times New Roman" w:eastAsia="Times New Roman" w:hAnsi="Times New Roman"/>
                <w:sz w:val="24"/>
                <w:szCs w:val="24"/>
                <w:i w:val="1"/>
                <w:iCs w:val="1"/>
                <w:color w:val="auto"/>
                <w:vertAlign w:val="superscript"/>
              </w:rPr>
              <w:t>(8)</w:t>
            </w:r>
          </w:p>
        </w:tc>
        <w:tc>
          <w:tcPr>
            <w:tcW w:w="3680" w:type="dxa"/>
            <w:vAlign w:val="bottom"/>
            <w:tcBorders>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35,824,523</w:t>
            </w:r>
            <w:r>
              <w:rPr>
                <w:rFonts w:ascii="Times New Roman" w:cs="Times New Roman" w:eastAsia="Times New Roman" w:hAnsi="Times New Roman"/>
                <w:sz w:val="24"/>
                <w:szCs w:val="24"/>
                <w:i w:val="1"/>
                <w:iCs w:val="1"/>
                <w:color w:val="auto"/>
                <w:vertAlign w:val="superscript"/>
              </w:rPr>
              <w:t>(9)</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17.20%</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Igor Lychagov</w:t>
            </w:r>
          </w:p>
        </w:tc>
        <w:tc>
          <w:tcPr>
            <w:tcW w:w="3680" w:type="dxa"/>
            <w:vAlign w:val="bottom"/>
            <w:tcBorders>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35,965,051</w:t>
            </w:r>
            <w:r>
              <w:rPr>
                <w:rFonts w:ascii="Times New Roman" w:cs="Times New Roman" w:eastAsia="Times New Roman" w:hAnsi="Times New Roman"/>
                <w:sz w:val="24"/>
                <w:szCs w:val="24"/>
                <w:i w:val="1"/>
                <w:iCs w:val="1"/>
                <w:color w:val="auto"/>
                <w:vertAlign w:val="superscript"/>
              </w:rPr>
              <w:t>(10)</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17.27%</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Brooks Newmark</w:t>
            </w:r>
          </w:p>
        </w:tc>
        <w:tc>
          <w:tcPr>
            <w:tcW w:w="3680" w:type="dxa"/>
            <w:vAlign w:val="bottom"/>
            <w:tcBorders>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24,370,676</w:t>
            </w:r>
            <w:r>
              <w:rPr>
                <w:rFonts w:ascii="Times New Roman" w:cs="Times New Roman" w:eastAsia="Times New Roman" w:hAnsi="Times New Roman"/>
                <w:sz w:val="24"/>
                <w:szCs w:val="24"/>
                <w:i w:val="1"/>
                <w:iCs w:val="1"/>
                <w:color w:val="auto"/>
                <w:vertAlign w:val="superscript"/>
              </w:rPr>
              <w:t>(11)</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11.70%</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Brad Wickens</w:t>
            </w:r>
          </w:p>
        </w:tc>
        <w:tc>
          <w:tcPr>
            <w:tcW w:w="3680" w:type="dxa"/>
            <w:vAlign w:val="bottom"/>
            <w:tcBorders>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25,646,057</w:t>
            </w:r>
            <w:r>
              <w:rPr>
                <w:rFonts w:ascii="Times New Roman" w:cs="Times New Roman" w:eastAsia="Times New Roman" w:hAnsi="Times New Roman"/>
                <w:sz w:val="24"/>
                <w:szCs w:val="24"/>
                <w:color w:val="auto"/>
                <w:vertAlign w:val="superscript"/>
              </w:rPr>
              <w:t>(12)</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12.31%</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Aperion Investment Group Limited</w:t>
            </w:r>
          </w:p>
        </w:tc>
        <w:tc>
          <w:tcPr>
            <w:tcW w:w="3680" w:type="dxa"/>
            <w:vAlign w:val="bottom"/>
            <w:tcBorders>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24,852,159</w:t>
            </w:r>
            <w:r>
              <w:rPr>
                <w:rFonts w:ascii="Times New Roman" w:cs="Times New Roman" w:eastAsia="Times New Roman" w:hAnsi="Times New Roman"/>
                <w:sz w:val="24"/>
                <w:szCs w:val="24"/>
                <w:color w:val="auto"/>
                <w:vertAlign w:val="superscript"/>
              </w:rPr>
              <w:t>(13)</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11.93%</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185" w:lineRule="exact"/>
        <w:rPr>
          <w:sz w:val="20"/>
          <w:szCs w:val="20"/>
          <w:color w:val="auto"/>
        </w:rPr>
      </w:pPr>
    </w:p>
    <w:p>
      <w:pPr>
        <w:jc w:val="center"/>
        <w:ind w:left="5540" w:right="620" w:hanging="5532"/>
        <w:spacing w:after="0" w:line="736" w:lineRule="auto"/>
        <w:tabs>
          <w:tab w:leader="none" w:pos="37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United Kingdom, W1S 3DN.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6" w:name="page107"/>
    <w:bookmarkEnd w:id="106"/>
    <w:p>
      <w:pPr>
        <w:ind w:left="-8" w:right="40" w:firstLine="8"/>
        <w:spacing w:after="0" w:line="268" w:lineRule="auto"/>
        <w:tabs>
          <w:tab w:leader="none" w:pos="3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4,698,505 shares directly held by Daniel Wagner and (ii) 35,824,523 shares directly held by DBLP Sea Cow Limited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DBLP is wholly legally owned by Mr. Wagner and Mr. Wagner is a director of DBLP and therefore Mr. Wagner may be deemed to share voting and investment power over the shares held by DBLP.</w:t>
      </w:r>
    </w:p>
    <w:p>
      <w:pPr>
        <w:spacing w:after="0" w:line="134" w:lineRule="exact"/>
        <w:rPr>
          <w:rFonts w:ascii="Times New Roman" w:cs="Times New Roman" w:eastAsia="Times New Roman" w:hAnsi="Times New Roman"/>
          <w:sz w:val="18"/>
          <w:szCs w:val="18"/>
          <w:color w:val="auto"/>
        </w:rPr>
      </w:pPr>
    </w:p>
    <w:p>
      <w:pPr>
        <w:jc w:val="both"/>
        <w:ind w:left="-8" w:right="80" w:firstLine="8"/>
        <w:spacing w:after="0" w:line="266" w:lineRule="auto"/>
        <w:tabs>
          <w:tab w:leader="none" w:pos="3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815,989 shares directly held by John Wagner and (ii) 35,824,523 shares directly held by DBLP. DBLP is beneficially owned by Mr. John Wagner and Mr. John Wagner is a director of DBLP and therefore Mr. Wagner may be deemed to share voting and investment power over the shares held by DBLP.</w:t>
      </w:r>
    </w:p>
    <w:p>
      <w:pPr>
        <w:spacing w:after="0" w:line="148" w:lineRule="exact"/>
        <w:rPr>
          <w:rFonts w:ascii="Times New Roman" w:cs="Times New Roman" w:eastAsia="Times New Roman" w:hAnsi="Times New Roman"/>
          <w:sz w:val="18"/>
          <w:szCs w:val="18"/>
          <w:color w:val="auto"/>
        </w:rPr>
      </w:pPr>
    </w:p>
    <w:p>
      <w:pPr>
        <w:ind w:left="-8" w:right="400" w:firstLine="8"/>
        <w:spacing w:after="0" w:line="282" w:lineRule="auto"/>
        <w:tabs>
          <w:tab w:leader="none" w:pos="3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1,879,352 Ordinary Shares; and (ii) 42,441 Ordinary Shares issued upon the conversion of the Advance Subscription made by Mr. Sharp. Excludes 15,850 Ordinary Shares underlying the Private Warrants held by Mr. Sharp.</w:t>
      </w:r>
    </w:p>
    <w:p>
      <w:pPr>
        <w:spacing w:after="0" w:line="121" w:lineRule="exact"/>
        <w:rPr>
          <w:rFonts w:ascii="Times New Roman" w:cs="Times New Roman" w:eastAsia="Times New Roman" w:hAnsi="Times New Roman"/>
          <w:sz w:val="18"/>
          <w:szCs w:val="18"/>
          <w:color w:val="auto"/>
        </w:rPr>
      </w:pPr>
    </w:p>
    <w:p>
      <w:pPr>
        <w:ind w:left="-8" w:right="40" w:firstLine="8"/>
        <w:spacing w:after="0" w:line="261" w:lineRule="auto"/>
        <w:tabs>
          <w:tab w:leader="none" w:pos="3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564,935 Ordinary Shares; (ii) 110,000 Ordinary Shares issued upon the conversion of the Advance Subscription made by Mr. Perry; and (iii) 69,526 Ordinary Shares, issued upon conversion of the Convertible Note held by Mr. Perry. Excludes (i) 34,395 Ordinary Shares, which is the maximum amount of Ordinary Shares issuable upon conversion of the Promissory Note held by Mr. Perry, when converted at $2 per share; and (ii) 12,700 Ordinary Shares underlying the Private Warrants held by Mr. Perry.</w:t>
      </w:r>
    </w:p>
    <w:p>
      <w:pPr>
        <w:spacing w:after="0" w:line="139"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33,334 Ordinary Shares issued upon the conversion of the Advance Subscription made by Mr. Smith.</w:t>
      </w:r>
    </w:p>
    <w:p>
      <w:pPr>
        <w:spacing w:after="0" w:line="198" w:lineRule="exact"/>
        <w:rPr>
          <w:rFonts w:ascii="Times New Roman" w:cs="Times New Roman" w:eastAsia="Times New Roman" w:hAnsi="Times New Roman"/>
          <w:sz w:val="18"/>
          <w:szCs w:val="18"/>
          <w:color w:val="auto"/>
        </w:rPr>
      </w:pPr>
    </w:p>
    <w:p>
      <w:pPr>
        <w:ind w:left="-8" w:right="460" w:firstLine="8"/>
        <w:spacing w:after="0" w:line="282" w:lineRule="auto"/>
        <w:tabs>
          <w:tab w:leader="none" w:pos="3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1,142,384 Ordinary Shares and (ii) 11,249 Ordinary Shares issued upon the conversion of the Advance Subscription made by Mr. Vesco.</w:t>
      </w:r>
    </w:p>
    <w:p>
      <w:pPr>
        <w:spacing w:after="0" w:line="121" w:lineRule="exact"/>
        <w:rPr>
          <w:rFonts w:ascii="Times New Roman" w:cs="Times New Roman" w:eastAsia="Times New Roman" w:hAnsi="Times New Roman"/>
          <w:sz w:val="18"/>
          <w:szCs w:val="18"/>
          <w:color w:val="auto"/>
        </w:rPr>
      </w:pPr>
    </w:p>
    <w:p>
      <w:pPr>
        <w:ind w:left="-8" w:right="460" w:firstLine="8"/>
        <w:spacing w:after="0" w:line="282" w:lineRule="auto"/>
        <w:tabs>
          <w:tab w:leader="none" w:pos="3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is wholly legally owned by Daniel Wagner and is wholly beneficially owned by John Wagner. Both Daniel Wagner and John Wagner are directors of DBLP.</w:t>
      </w:r>
    </w:p>
    <w:p>
      <w:pPr>
        <w:spacing w:after="0" w:line="121" w:lineRule="exact"/>
        <w:rPr>
          <w:rFonts w:ascii="Times New Roman" w:cs="Times New Roman" w:eastAsia="Times New Roman" w:hAnsi="Times New Roman"/>
          <w:sz w:val="18"/>
          <w:szCs w:val="18"/>
          <w:color w:val="auto"/>
        </w:rPr>
      </w:pPr>
    </w:p>
    <w:p>
      <w:pPr>
        <w:jc w:val="both"/>
        <w:ind w:left="-8" w:right="40" w:firstLine="8"/>
        <w:spacing w:after="0" w:line="266" w:lineRule="auto"/>
        <w:tabs>
          <w:tab w:leader="none" w:pos="3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31,674,523 Ordinary Shares; and (ii) 4,150,000 Ordinary Shares issued upon the conversion of the Advance Subscription made by DBLP. Excludes (i) 3,592,193 shares subject to a call option currently exercisable by Brad Wickens; (ii) 178,571 Ordinary Shares, which is the maximum amount of Ordinary Shares issuable upon conversion of the Promissory Note held by DBLP; and (iii) 250,000 Ordinary Shares underlying the Private Warrants.</w:t>
      </w:r>
    </w:p>
    <w:p>
      <w:pPr>
        <w:spacing w:after="0" w:line="148"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34,771,000 Ordinary Shares; and (ii) 1,194,051 Ordinary Shares issued upon conversion of the Convertible Note held by Mr. Lychagov.</w:t>
      </w:r>
    </w:p>
    <w:p>
      <w:pPr>
        <w:spacing w:after="0" w:line="184" w:lineRule="exact"/>
        <w:rPr>
          <w:rFonts w:ascii="Times New Roman" w:cs="Times New Roman" w:eastAsia="Times New Roman" w:hAnsi="Times New Roman"/>
          <w:sz w:val="18"/>
          <w:szCs w:val="18"/>
          <w:color w:val="auto"/>
        </w:rPr>
      </w:pPr>
    </w:p>
    <w:p>
      <w:pPr>
        <w:ind w:left="-8" w:right="340" w:firstLine="8"/>
        <w:spacing w:after="0" w:line="282" w:lineRule="auto"/>
        <w:tabs>
          <w:tab w:leader="none" w:pos="3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15,170,676 Ordinary Shares and (ii) 9,200,000 Ordinary Shares issued upon the conversion of the Advance Subscription made by Mr. Newmark.</w:t>
      </w:r>
    </w:p>
    <w:p>
      <w:pPr>
        <w:spacing w:after="0" w:line="161" w:lineRule="exact"/>
        <w:rPr>
          <w:rFonts w:ascii="Times New Roman" w:cs="Times New Roman" w:eastAsia="Times New Roman" w:hAnsi="Times New Roman"/>
          <w:sz w:val="18"/>
          <w:szCs w:val="18"/>
          <w:color w:val="auto"/>
        </w:rPr>
      </w:pPr>
    </w:p>
    <w:p>
      <w:pPr>
        <w:ind w:left="-8" w:right="60" w:firstLine="8"/>
        <w:spacing w:after="0" w:line="258" w:lineRule="auto"/>
        <w:tabs>
          <w:tab w:leader="none" w:pos="71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9,638,692 Ordinary Shares, (ii) 1,240,865 Ordinary Shares currently held by Apeiron on Mr. Wickens' behalf, (iii) 3,592,194 Ordinary Shares currently held by DBLP but subject to a call option currently exercisable by Mr. Wickens, (iv) 333,333 Ordinary Shares issued upon the conversion of the Advance Subscription made by Mr. Wickens; and (v) 10,840,973 Ordinary Shares issued upon conversion of the Convertible Note held by Mr. Wickens. Excludes (i) 156,250 Ordinary Shares, which is the amount of Ordinary Shares issuable upon conversion of the Promissory Note held by Mr. Wickens when converted at $2 per share and (ii) 62,500 Ordinary Shares underlying the Private Warrants held by Mr. Wickens.</w:t>
      </w:r>
    </w:p>
    <w:p>
      <w:pPr>
        <w:spacing w:after="0" w:line="142"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3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10,712,645 Ordinary Shares, (ii) 333,333 Ordinary Shares issued upon conversion of the Advance Subscription made by Apeiron; and (iii) 13,806,181 Ordinary Shares issued upon conversion of the Convertible Note held by Apeiron. Excludes (i) 1,240,865 Ordinary Shares held by Apeiron on Brad Wickens' behalf; (ii) (ii) 182,886 Ordinary Shares issuable upon potential conversion of the Promissory Note held by Apeiron; and (iii) 62,500 Ordinary Shares underlying the Private Warrants held by Apeiron.</w:t>
      </w:r>
    </w:p>
    <w:p>
      <w:pPr>
        <w:spacing w:after="0" w:line="36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1" w:right="35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This prospectus relates to the resale by certain of the Selling Holders of up to 58,444,822 Ordinary Shares, consisting of (i) up to 8,070,845 Ordinary Shares issued upon exercise of certain Convertible Notes by certain Selling Holders; (ii) up to 425,171 Ordinary Shares issuable upon conversion of certain Promissory Notes (iii) up to 1,413,946 Ordinary Shares issued upon conversion of the YA Notes; and (iv) up to 48,534,860 Ordinary Shares issuable pursuant to the Second A&amp;R YA Agreement.</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Following the expiration of the applicable lock-up restrictions described herein, the sale of all of the securities registered for resale hereunder, or the perception that such sales may occur, may cause the market prices of our securities to decline significantly. Despite such a decline in price, Armada’s Sponsor and our holders may still experience a positive rate of return on the shares purchased by them due to the lower price per share at which its shares were purchased. See “</w:t>
      </w:r>
      <w:r>
        <w:rPr>
          <w:rFonts w:ascii="Times New Roman" w:cs="Times New Roman" w:eastAsia="Times New Roman" w:hAnsi="Times New Roman"/>
          <w:sz w:val="18"/>
          <w:szCs w:val="18"/>
          <w:i w:val="1"/>
          <w:iCs w:val="1"/>
          <w:color w:val="auto"/>
        </w:rPr>
        <w:t>Risk Factors—Risks Related to the Company</w:t>
      </w:r>
      <w:r>
        <w:rPr>
          <w:rFonts w:ascii="Times New Roman" w:cs="Times New Roman" w:eastAsia="Times New Roman" w:hAnsi="Times New Roman"/>
          <w:sz w:val="18"/>
          <w:szCs w:val="18"/>
          <w:color w:val="auto"/>
        </w:rPr>
        <w:t>” for more information.</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February 2021, Armada issued 4,312,500 shares of common stock to its Sponsor for $25,000 in cash, at a purchase price of approximately $0.006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over-allotment option, Armada’s Sponsor forfeited 1,125,000 shares of common stock as of October 1, 2021. Additionally, upon consummation of Armada’s initial business combination, the Sponsor allocated membership interests representing Founder Shares to each anchor investor.</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Armada’s Sponsor purchased an aggregate of 459,500 private shares at a price of $10.00 per share for an aggregate purchase price of $4,595,000.</w:t>
      </w:r>
    </w:p>
    <w:p>
      <w:pPr>
        <w:spacing w:after="0" w:line="22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Upon the consummation of the Business Combination, (i) each issued and outstanding share of common stock of Armada immediately prior to the Merger Effective Time was exchanged for one Ordinary Share; (ii) each issued and outstanding Armada Warrant immediately prior to the Merger Effective Time was exchanged for one Public Warrant; (iii) each issued and outstanding Armada Unit immediately prior to the Merger Effective Time was separated into its component parts (one share of Armada Common Stock and one-half of one Armada Warrant), with each share of Armada Common Stock to be exchanged for one Ordinary Share and each Armada Warrant to be exchanged for one Public Warrant. The Ordinary Shares, Public Warrants, the Ordinary Shares issuable upon exercise of the Private Warrants and the conversion of the Convertible Notes, the YA Note and the Promissory Notes are being registered by the registration statement of which this prospectus forms a part pursuant to the registration rights granted under certain of the Subscription Agreements and the Registration Rights Agreement.</w:t>
      </w:r>
    </w:p>
    <w:p>
      <w:pPr>
        <w:spacing w:after="0" w:line="19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ownership prior to this offering as of January 31, 2025. In calculating percentages of Ordinary Shares owned by a particular Selling Holder, we treated as outstanding the number of Ordinary Shares issuable upon exercise of that particular Selling Holder’s Warrants and upon the conversion of that Selling Holder’s Convertible Notes, YA Note or Promissory Notes, if any, and did not assume the exercise of any other Selling Holder’s Warrants or the conversion of any other Selling Holder’s Convertible Notes, YA Note or Promissory Notes.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jc w:val="center"/>
        <w:ind w:right="-39"/>
        <w:spacing w:after="0"/>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United Kingdom, W1S 3DN.</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347"/>
        </w:trPr>
        <w:tc>
          <w:tcPr>
            <w:tcW w:w="2700" w:type="dxa"/>
            <w:vAlign w:val="bottom"/>
            <w:tcBorders>
              <w:top w:val="single" w:sz="8" w:color="auto"/>
              <w:left w:val="single" w:sz="8" w:color="auto"/>
              <w:right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4520" w:type="dxa"/>
            <w:vAlign w:val="bottom"/>
            <w:tcBorders>
              <w:top w:val="single" w:sz="8" w:color="auto"/>
            </w:tcBorders>
            <w:gridSpan w:val="2"/>
          </w:tcPr>
          <w:p>
            <w:pPr>
              <w:ind w:left="13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24"/>
                <w:szCs w:val="24"/>
                <w:b w:val="1"/>
                <w:bCs w:val="1"/>
                <w:i w:val="1"/>
                <w:iCs w:val="1"/>
                <w:color w:val="auto"/>
                <w:vertAlign w:val="superscript"/>
              </w:rPr>
              <w:t>(1)</w:t>
            </w:r>
          </w:p>
        </w:tc>
        <w:tc>
          <w:tcPr>
            <w:tcW w:w="1840" w:type="dxa"/>
            <w:vAlign w:val="bottom"/>
            <w:tcBorders>
              <w:top w:val="single" w:sz="8" w:color="auto"/>
              <w:right w:val="single" w:sz="8" w:color="auto"/>
            </w:tcBorders>
          </w:tcPr>
          <w:p>
            <w:pPr>
              <w:spacing w:after="0"/>
              <w:rPr>
                <w:sz w:val="24"/>
                <w:szCs w:val="24"/>
                <w:color w:val="auto"/>
              </w:rPr>
            </w:pPr>
          </w:p>
        </w:tc>
      </w:tr>
      <w:tr>
        <w:trPr>
          <w:trHeight w:val="135"/>
        </w:trPr>
        <w:tc>
          <w:tcPr>
            <w:tcW w:w="2700" w:type="dxa"/>
            <w:vAlign w:val="bottom"/>
            <w:tcBorders>
              <w:left w:val="single" w:sz="8" w:color="auto"/>
              <w:bottom w:val="single" w:sz="8" w:color="auto"/>
              <w:right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r>
      <w:tr>
        <w:trPr>
          <w:trHeight w:val="150"/>
        </w:trPr>
        <w:tc>
          <w:tcPr>
            <w:tcW w:w="2700" w:type="dxa"/>
            <w:vAlign w:val="bottom"/>
            <w:tcBorders>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218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w:t>
            </w:r>
          </w:p>
        </w:tc>
        <w:tc>
          <w:tcPr>
            <w:tcW w:w="198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Maximum Number</w:t>
            </w:r>
          </w:p>
        </w:tc>
        <w:tc>
          <w:tcPr>
            <w:tcW w:w="25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 Owned</w:t>
            </w:r>
          </w:p>
        </w:tc>
        <w:tc>
          <w:tcPr>
            <w:tcW w:w="18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Percent Owned After</w:t>
            </w:r>
          </w:p>
        </w:tc>
      </w:tr>
      <w:tr>
        <w:trPr>
          <w:trHeight w:val="196"/>
        </w:trPr>
        <w:tc>
          <w:tcPr>
            <w:tcW w:w="270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Owned Prior to Offering</w:t>
            </w:r>
          </w:p>
        </w:tc>
        <w:tc>
          <w:tcPr>
            <w:tcW w:w="198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5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After the Offered Shares are</w:t>
            </w:r>
          </w:p>
        </w:tc>
        <w:tc>
          <w:tcPr>
            <w:tcW w:w="18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the Offered Shares</w:t>
            </w:r>
          </w:p>
        </w:tc>
      </w:tr>
      <w:tr>
        <w:trPr>
          <w:trHeight w:val="321"/>
        </w:trPr>
        <w:tc>
          <w:tcPr>
            <w:tcW w:w="27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w:t>
            </w:r>
            <w:r>
              <w:rPr>
                <w:rFonts w:ascii="Times New Roman" w:cs="Times New Roman" w:eastAsia="Times New Roman" w:hAnsi="Times New Roman"/>
                <w:sz w:val="24"/>
                <w:szCs w:val="24"/>
                <w:b w:val="1"/>
                <w:bCs w:val="1"/>
                <w:i w:val="1"/>
                <w:iCs w:val="1"/>
                <w:color w:val="auto"/>
                <w:vertAlign w:val="superscript"/>
              </w:rPr>
              <w:t>(2)</w:t>
            </w: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are Sold</w:t>
            </w:r>
          </w:p>
        </w:tc>
      </w:tr>
      <w:tr>
        <w:trPr>
          <w:trHeight w:val="140"/>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254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Arthur Yao</w:t>
            </w:r>
            <w:r>
              <w:rPr>
                <w:rFonts w:ascii="Times New Roman" w:cs="Times New Roman" w:eastAsia="Times New Roman" w:hAnsi="Times New Roman"/>
                <w:sz w:val="24"/>
                <w:szCs w:val="24"/>
                <w:color w:val="auto"/>
                <w:vertAlign w:val="superscript"/>
              </w:rPr>
              <w:t>(3)</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1,311,816</w:t>
            </w:r>
            <w:r>
              <w:rPr>
                <w:rFonts w:ascii="Times New Roman" w:cs="Times New Roman" w:eastAsia="Times New Roman" w:hAnsi="Times New Roman"/>
                <w:sz w:val="24"/>
                <w:szCs w:val="24"/>
                <w:color w:val="auto"/>
                <w:vertAlign w:val="superscript"/>
              </w:rPr>
              <w:t>(4)</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37,387</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1,274,429</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Bradley Wickens</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25,864,807</w:t>
            </w:r>
            <w:r>
              <w:rPr>
                <w:rFonts w:ascii="Times New Roman" w:cs="Times New Roman" w:eastAsia="Times New Roman" w:hAnsi="Times New Roman"/>
                <w:sz w:val="24"/>
                <w:szCs w:val="24"/>
                <w:color w:val="auto"/>
                <w:vertAlign w:val="superscript"/>
              </w:rPr>
              <w:t>(5)</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7,987,374</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17,877,433</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8.25%</w:t>
            </w:r>
          </w:p>
        </w:tc>
      </w:tr>
      <w:tr>
        <w:trPr>
          <w:trHeight w:val="232"/>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Fujian Limatong XinXi Keji</w:t>
            </w:r>
          </w:p>
        </w:tc>
        <w:tc>
          <w:tcPr>
            <w:tcW w:w="218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325,411</w:t>
            </w:r>
            <w:r>
              <w:rPr>
                <w:rFonts w:ascii="Times New Roman" w:cs="Times New Roman" w:eastAsia="Times New Roman" w:hAnsi="Times New Roman"/>
                <w:sz w:val="24"/>
                <w:szCs w:val="24"/>
                <w:color w:val="auto"/>
                <w:vertAlign w:val="superscript"/>
              </w:rPr>
              <w:t>(6)</w:t>
            </w: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99,697</w:t>
            </w:r>
          </w:p>
        </w:tc>
        <w:tc>
          <w:tcPr>
            <w:tcW w:w="2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225,714</w:t>
            </w: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Youxian Gongsi</w:t>
            </w:r>
          </w:p>
        </w:tc>
        <w:tc>
          <w:tcPr>
            <w:tcW w:w="218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r>
      <w:tr>
        <w:trPr>
          <w:trHeight w:val="27"/>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Julien Nurse</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59,102</w:t>
            </w:r>
            <w:r>
              <w:rPr>
                <w:rFonts w:ascii="Times New Roman" w:cs="Times New Roman" w:eastAsia="Times New Roman" w:hAnsi="Times New Roman"/>
                <w:sz w:val="24"/>
                <w:szCs w:val="24"/>
                <w:color w:val="auto"/>
                <w:vertAlign w:val="superscript"/>
              </w:rPr>
              <w:t>(7)</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15,827</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43,275</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70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Julius Meller Management</w:t>
            </w:r>
          </w:p>
        </w:tc>
        <w:tc>
          <w:tcPr>
            <w:tcW w:w="2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7"/>
                <w:szCs w:val="17"/>
                <w:color w:val="auto"/>
              </w:rPr>
              <w:t>27,812</w:t>
            </w:r>
            <w:r>
              <w:rPr>
                <w:rFonts w:ascii="Times New Roman" w:cs="Times New Roman" w:eastAsia="Times New Roman" w:hAnsi="Times New Roman"/>
                <w:sz w:val="22"/>
                <w:szCs w:val="22"/>
                <w:color w:val="auto"/>
                <w:vertAlign w:val="superscript"/>
              </w:rPr>
              <w:t>(8)</w:t>
            </w:r>
          </w:p>
        </w:tc>
        <w:tc>
          <w:tcPr>
            <w:tcW w:w="198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14,955</w:t>
            </w:r>
          </w:p>
        </w:tc>
        <w:tc>
          <w:tcPr>
            <w:tcW w:w="25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12,857</w:t>
            </w:r>
          </w:p>
        </w:tc>
        <w:tc>
          <w:tcPr>
            <w:tcW w:w="18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29"/>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Services LTD</w:t>
            </w:r>
          </w:p>
        </w:tc>
        <w:tc>
          <w:tcPr>
            <w:tcW w:w="218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254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Justin King</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42,509</w:t>
            </w:r>
            <w:r>
              <w:rPr>
                <w:rFonts w:ascii="Times New Roman" w:cs="Times New Roman" w:eastAsia="Times New Roman" w:hAnsi="Times New Roman"/>
                <w:sz w:val="24"/>
                <w:szCs w:val="24"/>
                <w:color w:val="auto"/>
                <w:vertAlign w:val="superscript"/>
              </w:rPr>
              <w:t>(9)</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18,992</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23,517</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Karen Kalaris</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111,632</w:t>
            </w:r>
            <w:r>
              <w:rPr>
                <w:rFonts w:ascii="Times New Roman" w:cs="Times New Roman" w:eastAsia="Times New Roman" w:hAnsi="Times New Roman"/>
                <w:sz w:val="24"/>
                <w:szCs w:val="24"/>
                <w:color w:val="auto"/>
                <w:vertAlign w:val="superscript"/>
              </w:rPr>
              <w:t>(10)</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24,924</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86,708</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Igor Lychagov</w:t>
            </w:r>
            <w:r>
              <w:rPr>
                <w:rFonts w:ascii="Times New Roman" w:cs="Times New Roman" w:eastAsia="Times New Roman" w:hAnsi="Times New Roman"/>
                <w:sz w:val="24"/>
                <w:szCs w:val="24"/>
                <w:color w:val="auto"/>
                <w:vertAlign w:val="superscript"/>
              </w:rPr>
              <w:t>(11)</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35,965,051</w:t>
            </w:r>
            <w:r>
              <w:rPr>
                <w:rFonts w:ascii="Times New Roman" w:cs="Times New Roman" w:eastAsia="Times New Roman" w:hAnsi="Times New Roman"/>
                <w:sz w:val="24"/>
                <w:szCs w:val="24"/>
                <w:color w:val="auto"/>
                <w:vertAlign w:val="superscript"/>
              </w:rPr>
              <w:t>(12)</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51,194</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35,913,857</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16.57%</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Perry</w:t>
            </w:r>
            <w:r>
              <w:rPr>
                <w:rFonts w:ascii="Times New Roman" w:cs="Times New Roman" w:eastAsia="Times New Roman" w:hAnsi="Times New Roman"/>
                <w:sz w:val="24"/>
                <w:szCs w:val="24"/>
                <w:color w:val="auto"/>
                <w:vertAlign w:val="superscript"/>
              </w:rPr>
              <w:t>(13)</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791,556</w:t>
            </w:r>
            <w:r>
              <w:rPr>
                <w:rFonts w:ascii="Times New Roman" w:cs="Times New Roman" w:eastAsia="Times New Roman" w:hAnsi="Times New Roman"/>
                <w:sz w:val="24"/>
                <w:szCs w:val="24"/>
                <w:color w:val="auto"/>
                <w:vertAlign w:val="superscript"/>
              </w:rPr>
              <w:t>(14)</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75,833</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715,723</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Susan Briggs</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128,530</w:t>
            </w:r>
            <w:r>
              <w:rPr>
                <w:rFonts w:ascii="Times New Roman" w:cs="Times New Roman" w:eastAsia="Times New Roman" w:hAnsi="Times New Roman"/>
                <w:sz w:val="24"/>
                <w:szCs w:val="24"/>
                <w:color w:val="auto"/>
                <w:vertAlign w:val="superscript"/>
              </w:rPr>
              <w:t>(15)</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93,375</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35,155</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Tanist Group Limited</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1,049,512</w:t>
            </w:r>
            <w:r>
              <w:rPr>
                <w:rFonts w:ascii="Times New Roman" w:cs="Times New Roman" w:eastAsia="Times New Roman" w:hAnsi="Times New Roman"/>
                <w:sz w:val="24"/>
                <w:szCs w:val="24"/>
                <w:color w:val="auto"/>
                <w:vertAlign w:val="superscript"/>
              </w:rPr>
              <w:t>(16)</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51,534</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997,978</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Trustees of Risol Limited</w:t>
            </w:r>
          </w:p>
        </w:tc>
        <w:tc>
          <w:tcPr>
            <w:tcW w:w="218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486,987</w:t>
            </w:r>
            <w:r>
              <w:rPr>
                <w:rFonts w:ascii="Times New Roman" w:cs="Times New Roman" w:eastAsia="Times New Roman" w:hAnsi="Times New Roman"/>
                <w:sz w:val="24"/>
                <w:szCs w:val="24"/>
                <w:color w:val="auto"/>
                <w:vertAlign w:val="superscript"/>
              </w:rPr>
              <w:t>(17)</w:t>
            </w: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24,924</w:t>
            </w:r>
          </w:p>
        </w:tc>
        <w:tc>
          <w:tcPr>
            <w:tcW w:w="2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462,063</w:t>
            </w: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Pension</w:t>
            </w:r>
          </w:p>
        </w:tc>
        <w:tc>
          <w:tcPr>
            <w:tcW w:w="218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r>
      <w:tr>
        <w:trPr>
          <w:trHeight w:val="27"/>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YA II PN, Ltd.</w:t>
            </w:r>
            <w:r>
              <w:rPr>
                <w:rFonts w:ascii="Times New Roman" w:cs="Times New Roman" w:eastAsia="Times New Roman" w:hAnsi="Times New Roman"/>
                <w:sz w:val="24"/>
                <w:szCs w:val="24"/>
                <w:color w:val="auto"/>
                <w:vertAlign w:val="superscript"/>
              </w:rPr>
              <w:t>(18)</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1,413,946</w:t>
            </w:r>
            <w:r>
              <w:rPr>
                <w:rFonts w:ascii="Times New Roman" w:cs="Times New Roman" w:eastAsia="Times New Roman" w:hAnsi="Times New Roman"/>
                <w:sz w:val="24"/>
                <w:szCs w:val="24"/>
                <w:color w:val="auto"/>
                <w:vertAlign w:val="superscript"/>
              </w:rPr>
              <w:t>(19)</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49,948,806</w:t>
            </w:r>
            <w:r>
              <w:rPr>
                <w:rFonts w:ascii="Times New Roman" w:cs="Times New Roman" w:eastAsia="Times New Roman" w:hAnsi="Times New Roman"/>
                <w:sz w:val="24"/>
                <w:szCs w:val="24"/>
                <w:color w:val="auto"/>
                <w:vertAlign w:val="superscript"/>
              </w:rPr>
              <w:t>(20)</w:t>
            </w:r>
          </w:p>
        </w:tc>
        <w:tc>
          <w:tcPr>
            <w:tcW w:w="25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30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97" w:lineRule="exact"/>
        <w:rPr>
          <w:sz w:val="20"/>
          <w:szCs w:val="20"/>
          <w:color w:val="auto"/>
        </w:rPr>
      </w:pPr>
    </w:p>
    <w:p>
      <w:pPr>
        <w:ind w:left="380" w:right="120" w:hanging="372"/>
        <w:spacing w:after="0" w:line="261"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Ordinary Shares to be beneficially owned after completion of this offering is calculated on the basis of 216,790,901 Ordinary Shares outstanding, which includes the issuance of all Ordinary Shares issuable upon conversion of the Promissory Note, the exercise of all currently outstanding Warrants, the sale of all securities offered hereby by that particular Selling Holder and does not assume the exercise, conversion or sale, as applicable, by any other Selling Holder.</w:t>
      </w:r>
    </w:p>
    <w:p>
      <w:pPr>
        <w:spacing w:after="0" w:line="7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Ordinary Shares being offered pursuant to this prospectus.</w:t>
      </w:r>
    </w:p>
    <w:p>
      <w:pPr>
        <w:spacing w:after="0" w:line="117"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Yao is the Chief Executive Officer of Rezolve’s China office. The principal business address for Mr. Yao is No. 2 Zhuang, 268 Hao, Qinggong Lu, Fengxianqu, Shanghai, China.</w:t>
      </w:r>
    </w:p>
    <w:p>
      <w:pPr>
        <w:spacing w:after="0" w:line="53" w:lineRule="exact"/>
        <w:rPr>
          <w:rFonts w:ascii="Times New Roman" w:cs="Times New Roman" w:eastAsia="Times New Roman" w:hAnsi="Times New Roman"/>
          <w:sz w:val="18"/>
          <w:szCs w:val="18"/>
          <w:color w:val="auto"/>
        </w:rPr>
      </w:pPr>
    </w:p>
    <w:p>
      <w:pPr>
        <w:ind w:left="380" w:right="80" w:hanging="372"/>
        <w:spacing w:after="0" w:line="258"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1,192,335 Ordinary Shares; (ii) 50,780 Ordinary Shares issuable upon conversion of the Promissory Note held by Mr. Yao, when converted at $2 per share; (iii) 49,951 Ordinary Shares issued upon the conversion of the Advance Subscription made by Mr. Yao; and (iv) 18,750 Ordinary Shares underlying the Private Warrants held by Mr. Yao. For the avoidance of doubt, 13,393 of the 50,780 Ordinary Shares underlying the Promissory Note held by Mr. Wickens were registered on the Prior Form F-1 and 37,387 Ordinary Shares underlying such Promissory Note are being registered for resale hereby.</w:t>
      </w:r>
    </w:p>
    <w:p>
      <w:pPr>
        <w:spacing w:after="0" w:line="75" w:lineRule="exact"/>
        <w:rPr>
          <w:rFonts w:ascii="Times New Roman" w:cs="Times New Roman" w:eastAsia="Times New Roman" w:hAnsi="Times New Roman"/>
          <w:sz w:val="18"/>
          <w:szCs w:val="18"/>
          <w:color w:val="auto"/>
        </w:rPr>
      </w:pPr>
    </w:p>
    <w:p>
      <w:pPr>
        <w:ind w:left="380" w:right="40" w:hanging="372"/>
        <w:spacing w:after="0" w:line="254"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9,638,692 Ordinary Shares; (ii) 1,240,865 Ordinary Shares currently held by Apeiron on Mr. Wickens' behalf; (iii) 3,592,194 Ordinary Shares currently held by DBLP but subject to a call option currently exercisable by Mr. Wickens; (iv) 156,250 Ordinary Shares issuable upon conversion of the Promissory Note held by Mr. Wickens, when converted at $2 per share; (iv) 333,333 Ordinary Shares issued upon the conversion of the Advance Subscription made by Mr. Wickens, (v) 62,500 Ordinary Shares underlying the Private Warrants held by Mr. Wickens; and (vi) 10,840,973 Ordinary Shares issued upon conversion of the Convertible Note held by Mr. Wickens. For the avoidance of doubt, 44,643 of the 156,250 Ordinary Shares underlying the Promissory Note held by Mr. Wickens and 2,965,206 of the 10,840,973 Ordinary Shares issued upon conversion of the Convertible Note held by Mr. Wickens were registered on the Prior Form F-1, and 111,607 Ordinary Shares underlying such Promissory Note and 7,875,767 Ordinary Shares issued upon exercise of such Convertible Note are being registered for resale hereby.</w:t>
      </w:r>
    </w:p>
    <w:p>
      <w:pPr>
        <w:spacing w:after="0" w:line="83" w:lineRule="exact"/>
        <w:rPr>
          <w:rFonts w:ascii="Times New Roman" w:cs="Times New Roman" w:eastAsia="Times New Roman" w:hAnsi="Times New Roman"/>
          <w:sz w:val="18"/>
          <w:szCs w:val="18"/>
          <w:color w:val="auto"/>
        </w:rPr>
      </w:pPr>
    </w:p>
    <w:p>
      <w:pPr>
        <w:ind w:left="380" w:right="340" w:hanging="372"/>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135,411 Ordinary Shares issuable upon conversion of the Promissory Note held by FMS China when converted at $2 per share; (ii) 50,000 Ordinary Shares underlying the Private Warrants held by FMS China; and (iii) 140,000 Ordinary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9" w:name="page110"/>
    <w:bookmarkEnd w:id="109"/>
    <w:p>
      <w:pPr>
        <w:ind w:left="372" w:right="120"/>
        <w:spacing w:after="0" w:line="291" w:lineRule="auto"/>
        <w:rPr>
          <w:sz w:val="20"/>
          <w:szCs w:val="20"/>
          <w:color w:val="auto"/>
        </w:rPr>
      </w:pPr>
      <w:r>
        <w:rPr>
          <w:rFonts w:ascii="Times New Roman" w:cs="Times New Roman" w:eastAsia="Times New Roman" w:hAnsi="Times New Roman"/>
          <w:sz w:val="17"/>
          <w:szCs w:val="17"/>
          <w:color w:val="auto"/>
        </w:rPr>
        <w:t>issued upon the conversion of the Advance Subscription made by Fujian Global Services Co., Ltd. (collectively, with FMS China “</w:t>
      </w:r>
      <w:r>
        <w:rPr>
          <w:rFonts w:ascii="Times New Roman" w:cs="Times New Roman" w:eastAsia="Times New Roman" w:hAnsi="Times New Roman"/>
          <w:sz w:val="17"/>
          <w:szCs w:val="17"/>
          <w:b w:val="1"/>
          <w:bCs w:val="1"/>
          <w:i w:val="1"/>
          <w:iCs w:val="1"/>
          <w:color w:val="auto"/>
        </w:rPr>
        <w:t>Fujian Limatong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XinXi Keji Youxian Gongsi</w:t>
      </w:r>
      <w:r>
        <w:rPr>
          <w:rFonts w:ascii="Times New Roman" w:cs="Times New Roman" w:eastAsia="Times New Roman" w:hAnsi="Times New Roman"/>
          <w:sz w:val="17"/>
          <w:szCs w:val="17"/>
          <w:color w:val="auto"/>
        </w:rPr>
        <w:t>”). For the avoidance of doubt, 35,715 of the 135,411 Ordinary Shares underlying the Promissory Note held by FMS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China were registered on the Prior Form F-1 and 99,697 Ordinary Shares underlying such Promissory Note are being registered for resale hereby.</w:t>
      </w:r>
    </w:p>
    <w:p>
      <w:pPr>
        <w:spacing w:after="0" w:line="49" w:lineRule="exact"/>
        <w:rPr>
          <w:sz w:val="20"/>
          <w:szCs w:val="20"/>
          <w:color w:val="auto"/>
        </w:rPr>
      </w:pPr>
    </w:p>
    <w:p>
      <w:pPr>
        <w:ind w:left="372" w:right="120" w:hanging="372"/>
        <w:spacing w:after="0" w:line="281" w:lineRule="auto"/>
        <w:tabs>
          <w:tab w:leader="none" w:pos="372"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21,497 Ordinary Shares issuable upon conversion of the Promissory Note held by Mr. Nurse, when converted at $2 per share; (ii) 29,667 Ordinary Shares issued upon the conversion of the Advance Subscription made by Mr. Nurse; and (iii) 7,938 Ordinary Shares underlying the Private Warrants held by Julian Nurse. For the avoidance of doubt, 5,670 of the 21,497 Ordinary Shares underlying the Promissory Note held by Mr. Nurse were registered on the Prior Form F-1 and 15,827 Ordinary Shares underlying such Promissory Note are being registered for resale hereby.</w:t>
      </w:r>
    </w:p>
    <w:p>
      <w:pPr>
        <w:spacing w:after="0" w:line="56" w:lineRule="exact"/>
        <w:rPr>
          <w:rFonts w:ascii="Times New Roman" w:cs="Times New Roman" w:eastAsia="Times New Roman" w:hAnsi="Times New Roman"/>
          <w:sz w:val="17"/>
          <w:szCs w:val="17"/>
          <w:color w:val="auto"/>
        </w:rPr>
      </w:pPr>
    </w:p>
    <w:p>
      <w:pPr>
        <w:ind w:left="372" w:right="100" w:hanging="372"/>
        <w:spacing w:after="0" w:line="261" w:lineRule="auto"/>
        <w:tabs>
          <w:tab w:leader="none" w:pos="3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20,312 Ordinary Shares issuable upon conversion of the Promissory Note held by Mr. Meller, when converted at $2 per share; and (ii) 7,500 Ordinary Shares underlying the Private Warrants held by Mr. Meller. For the avoidance of doubt, 5,357 of the 20,312 Ordinary Shares underlying the Promissory Note held by Mr. Meller were registered on the Prior Form F-1 and 14,955 Ordinary Shares underlying such Promissory Note and are being registered for resale hereby.</w:t>
      </w:r>
    </w:p>
    <w:p>
      <w:pPr>
        <w:spacing w:after="0" w:line="71" w:lineRule="exact"/>
        <w:rPr>
          <w:rFonts w:ascii="Times New Roman" w:cs="Times New Roman" w:eastAsia="Times New Roman" w:hAnsi="Times New Roman"/>
          <w:sz w:val="18"/>
          <w:szCs w:val="18"/>
          <w:color w:val="auto"/>
        </w:rPr>
      </w:pPr>
    </w:p>
    <w:p>
      <w:pPr>
        <w:ind w:left="372" w:right="60" w:hanging="372"/>
        <w:spacing w:after="0" w:line="261" w:lineRule="auto"/>
        <w:tabs>
          <w:tab w:leader="none" w:pos="3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7,188 Ordinary Shares; (ii) 25,796 Ordinary Shares issuable upon conversion of the Promissory Note held by Mr. King, when converted at $2 per share; and (iii) 9,525 Ordinary Shares underlying the Private Warrants held by Mr. King. For the avoidance of doubt, 6,804 of the 25,796 Ordinary Shares underlying the Promissory Note held by Mr. King were registered on the Prior Form F-1 and 18,992 underlying such Promissory Note are being registered for resale hereby.</w:t>
      </w:r>
    </w:p>
    <w:p>
      <w:pPr>
        <w:spacing w:after="0" w:line="71" w:lineRule="exact"/>
        <w:rPr>
          <w:rFonts w:ascii="Times New Roman" w:cs="Times New Roman" w:eastAsia="Times New Roman" w:hAnsi="Times New Roman"/>
          <w:sz w:val="18"/>
          <w:szCs w:val="18"/>
          <w:color w:val="auto"/>
        </w:rPr>
      </w:pPr>
    </w:p>
    <w:p>
      <w:pPr>
        <w:ind w:left="372" w:right="60" w:hanging="372"/>
        <w:spacing w:after="0" w:line="261" w:lineRule="auto"/>
        <w:tabs>
          <w:tab w:leader="none" w:pos="3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65,279 Ordinary Shares; (ii) 33,853 Ordinary Shares issuable upon the conversion of the Promissory Note held by Ms. Kalaris, when converted at $2 per share; and (iii) 12,500 Ordinary Shares underlying the Private Warrants held by Ms. Kalaris. For the avoidance of doubt, 8,929 of the 33,853 Ordinary Shares underlying the Promissory Note held by Ms. Kalaris were registered on the Prior Form F-1 and 24,924 Ordinary Shares underlying such Promissory Note are being registered for resale hereby.</w:t>
      </w:r>
    </w:p>
    <w:p>
      <w:pPr>
        <w:spacing w:after="0" w:line="71" w:lineRule="exact"/>
        <w:rPr>
          <w:rFonts w:ascii="Times New Roman" w:cs="Times New Roman" w:eastAsia="Times New Roman" w:hAnsi="Times New Roman"/>
          <w:sz w:val="18"/>
          <w:szCs w:val="18"/>
          <w:color w:val="auto"/>
        </w:rPr>
      </w:pPr>
    </w:p>
    <w:p>
      <w:pPr>
        <w:jc w:val="both"/>
        <w:ind w:left="372" w:right="400" w:hanging="372"/>
        <w:spacing w:after="0" w:line="266" w:lineRule="auto"/>
        <w:tabs>
          <w:tab w:leader="none" w:pos="3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are held directly by Mr. Lychagov, with no agreements or understandings with any other parties regarding the distribution of the securities. Mr. Lychagov resigned as a director of Rezolve on May 19, 2023, having served in such position since August 2019. Mr. Lychagov’s business address is c/o LakeShore International Management AG, Obergrundstrasse 44, 6003 Luzern, Switzerland.</w:t>
      </w:r>
    </w:p>
    <w:p>
      <w:pPr>
        <w:spacing w:after="0" w:line="67" w:lineRule="exact"/>
        <w:rPr>
          <w:rFonts w:ascii="Times New Roman" w:cs="Times New Roman" w:eastAsia="Times New Roman" w:hAnsi="Times New Roman"/>
          <w:sz w:val="18"/>
          <w:szCs w:val="18"/>
          <w:color w:val="auto"/>
        </w:rPr>
      </w:pPr>
    </w:p>
    <w:p>
      <w:pPr>
        <w:jc w:val="both"/>
        <w:ind w:left="372" w:right="720" w:hanging="372"/>
        <w:spacing w:after="0" w:line="261" w:lineRule="auto"/>
        <w:tabs>
          <w:tab w:leader="none" w:pos="3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34,771,000 Ordinary Shares; and (ii) 1,194,051 Ordinary Shares issued upon conversion of the Convertible Note held by Mr. Lychagov. For the avoidance of doubt, 1,142,857 of the 1,194,051 Ordinary Shares issued upon conversion of the Convertible Note held by Mr.Lychagov were registered on the Prior Form F-1 and 51,194 Ordinary Shares issued upon conversion of such Convertible Note are being registered for resale hereby.</w:t>
      </w:r>
    </w:p>
    <w:p>
      <w:pPr>
        <w:spacing w:after="0" w:line="71"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Perry is a director of Rezolve.</w:t>
      </w:r>
    </w:p>
    <w:p>
      <w:pPr>
        <w:spacing w:after="0" w:line="117" w:lineRule="exact"/>
        <w:rPr>
          <w:rFonts w:ascii="Times New Roman" w:cs="Times New Roman" w:eastAsia="Times New Roman" w:hAnsi="Times New Roman"/>
          <w:sz w:val="18"/>
          <w:szCs w:val="18"/>
          <w:color w:val="auto"/>
        </w:rPr>
      </w:pPr>
    </w:p>
    <w:p>
      <w:pPr>
        <w:ind w:left="372" w:right="40" w:hanging="372"/>
        <w:spacing w:after="0" w:line="255" w:lineRule="auto"/>
        <w:tabs>
          <w:tab w:leader="none" w:pos="3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564,935 Ordinary Shares; (ii) 34,395 Ordinary Shares issuable upon conversion of the Promissory Note held by Mr. Perry, when converted at $2 per share; (iii) 110,000 Ordinary Shares issued upon the conversion of the Advance Subscription made by Mr. Perry; (iv) 12,700 Ordinary Shares underlying the Private Warrants held by Mr. Perry; (v) 69,526 Ordinary Shares, issued upon conversion of the Convertible Note held by Mr. Perry. For the avoidance of doubt, 9,070 of the 34,395 Ordinary Shares underlying the Promissory Note held by Mr.Perry and 19,017 of the 69,526 Ordinary Shares issued upon conversion of the Convertible Note held by Mr. Perry were registered on the Prior Form F-1, and 25,324 Ordinary Shares underlying such Promissory Note and 50,509 Ordinary Shares issued upon conversion of such Convertible Note are being registered for resale hereby.</w:t>
      </w:r>
    </w:p>
    <w:p>
      <w:pPr>
        <w:spacing w:after="0" w:line="80" w:lineRule="exact"/>
        <w:rPr>
          <w:rFonts w:ascii="Times New Roman" w:cs="Times New Roman" w:eastAsia="Times New Roman" w:hAnsi="Times New Roman"/>
          <w:sz w:val="18"/>
          <w:szCs w:val="18"/>
          <w:color w:val="auto"/>
        </w:rPr>
      </w:pPr>
    </w:p>
    <w:p>
      <w:pPr>
        <w:ind w:left="372" w:right="200" w:hanging="372"/>
        <w:spacing w:after="0" w:line="266" w:lineRule="auto"/>
        <w:tabs>
          <w:tab w:leader="none" w:pos="3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128,530 Ordinary Shares issued upon conversion of the Convertible Note held by Ms. Briggs. For the avoidance of doubt, 35,155 of the 128,530 Ordinary Shares issued upon conversion of the Convertible Note held by Ms. Briggs were registered for resale on the Prior Form F-1 and 93,375 of the Ordinary Shares issued upon conversion of the Convertible Note are being registered for resale hereby.</w:t>
      </w:r>
    </w:p>
    <w:p>
      <w:pPr>
        <w:spacing w:after="0" w:line="67" w:lineRule="exact"/>
        <w:rPr>
          <w:rFonts w:ascii="Times New Roman" w:cs="Times New Roman" w:eastAsia="Times New Roman" w:hAnsi="Times New Roman"/>
          <w:sz w:val="18"/>
          <w:szCs w:val="18"/>
          <w:color w:val="auto"/>
        </w:rPr>
      </w:pPr>
    </w:p>
    <w:p>
      <w:pPr>
        <w:ind w:left="372" w:hanging="372"/>
        <w:spacing w:after="0" w:line="258" w:lineRule="auto"/>
        <w:tabs>
          <w:tab w:leader="none" w:pos="3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790,455 Ordinary Shares; (ii) 69,391 Ordinary Shares issuable upon the conversion of the Promissory Note held by Tanist Group Limited, when converted at $2 per share; (iii) 166,666 Ordinary Shares issued upon the conversion of the Advance Subscription made by Tanist Group Limited; and (iv) 25,000 Ordinary Shares underlying the Private Warrants held by Tanist Group Limited. For the avoidance of doubt, 17,857 of the 69,391 Ordinary Shares underlying the Promissory Note held by Tanist Group Limited were registered for resale on the Prior Form F-1 and 51,534 of the Ordinary Shares underlying such Promissory Note are being registered for resale hereby.</w:t>
      </w:r>
    </w:p>
    <w:p>
      <w:pPr>
        <w:spacing w:after="0" w:line="75" w:lineRule="exact"/>
        <w:rPr>
          <w:rFonts w:ascii="Times New Roman" w:cs="Times New Roman" w:eastAsia="Times New Roman" w:hAnsi="Times New Roman"/>
          <w:sz w:val="18"/>
          <w:szCs w:val="18"/>
          <w:color w:val="auto"/>
        </w:rPr>
      </w:pPr>
    </w:p>
    <w:p>
      <w:pPr>
        <w:ind w:left="372" w:right="80" w:hanging="372"/>
        <w:spacing w:after="0" w:line="266" w:lineRule="auto"/>
        <w:tabs>
          <w:tab w:leader="none" w:pos="3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440,634 Ordinary Shares, (ii) 33,853 Ordinary Shares issuable upon the conversion of the Promissory Note held by Trustees of Risol Limited Pension, when converted at $2 per share; and (iii) 12,500 Ordinary Shares underlying the Private Warrants held by Trustees of Risol Limited Pension. For the avoidance of doubt, 8,929 of the 33,853 Ordinary Shares underlying</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89" w:right="359" w:bottom="1440" w:gutter="0" w:footer="0" w:header="0"/>
        </w:sectPr>
      </w:pPr>
    </w:p>
    <w:bookmarkStart w:id="110" w:name="page111"/>
    <w:bookmarkEnd w:id="110"/>
    <w:p>
      <w:pPr>
        <w:ind w:left="372" w:right="260"/>
        <w:spacing w:after="0" w:line="282" w:lineRule="auto"/>
        <w:rPr>
          <w:sz w:val="20"/>
          <w:szCs w:val="20"/>
          <w:color w:val="auto"/>
        </w:rPr>
      </w:pPr>
      <w:r>
        <w:rPr>
          <w:rFonts w:ascii="Times New Roman" w:cs="Times New Roman" w:eastAsia="Times New Roman" w:hAnsi="Times New Roman"/>
          <w:sz w:val="18"/>
          <w:szCs w:val="18"/>
          <w:color w:val="auto"/>
        </w:rPr>
        <w:t>the Promissory Note held by Trustees of Risol Limited Pension were registered for resale on the Prior Form F-1 and 24,924 of the Ordinary Shares underlying such Promissory Note are being registered for resale hereby.</w:t>
      </w:r>
    </w:p>
    <w:p>
      <w:pPr>
        <w:spacing w:after="0" w:line="50" w:lineRule="exact"/>
        <w:rPr>
          <w:sz w:val="20"/>
          <w:szCs w:val="20"/>
          <w:color w:val="auto"/>
        </w:rPr>
      </w:pPr>
    </w:p>
    <w:p>
      <w:pPr>
        <w:ind w:left="372" w:right="120" w:hanging="372"/>
        <w:spacing w:after="0" w:line="268" w:lineRule="auto"/>
        <w:tabs>
          <w:tab w:leader="none" w:pos="37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II PN, Ltd. is managed by Yorkville Advisors Global, LP (“</w:t>
      </w:r>
      <w:r>
        <w:rPr>
          <w:rFonts w:ascii="Times New Roman" w:cs="Times New Roman" w:eastAsia="Times New Roman" w:hAnsi="Times New Roman"/>
          <w:sz w:val="18"/>
          <w:szCs w:val="18"/>
          <w:b w:val="1"/>
          <w:bCs w:val="1"/>
          <w:i w:val="1"/>
          <w:iCs w:val="1"/>
          <w:color w:val="auto"/>
        </w:rPr>
        <w:t>Yorkville LP</w:t>
      </w:r>
      <w:r>
        <w:rPr>
          <w:rFonts w:ascii="Times New Roman" w:cs="Times New Roman" w:eastAsia="Times New Roman" w:hAnsi="Times New Roman"/>
          <w:sz w:val="18"/>
          <w:szCs w:val="18"/>
          <w:color w:val="auto"/>
        </w:rPr>
        <w:t>”). Yorkville Advisors Global II, LLC (“</w:t>
      </w:r>
      <w:r>
        <w:rPr>
          <w:rFonts w:ascii="Times New Roman" w:cs="Times New Roman" w:eastAsia="Times New Roman" w:hAnsi="Times New Roman"/>
          <w:sz w:val="18"/>
          <w:szCs w:val="18"/>
          <w:b w:val="1"/>
          <w:bCs w:val="1"/>
          <w:i w:val="1"/>
          <w:iCs w:val="1"/>
          <w:color w:val="auto"/>
        </w:rPr>
        <w:t>Yorkville LLC</w:t>
      </w:r>
      <w:r>
        <w:rPr>
          <w:rFonts w:ascii="Times New Roman" w:cs="Times New Roman" w:eastAsia="Times New Roman" w:hAnsi="Times New Roman"/>
          <w:sz w:val="18"/>
          <w:szCs w:val="18"/>
          <w:color w:val="auto"/>
        </w:rPr>
        <w:t>”) is the General Partner of Yorkville LP. All investment decisions for YA are made by Yorkville LLC’s President and Managing Member, Mr. Mark Angelo. The business address of YA is 1012 Springfield Avenue, Mountainside, NJ 07092.</w:t>
      </w:r>
    </w:p>
    <w:p>
      <w:pPr>
        <w:spacing w:after="0" w:line="66" w:lineRule="exact"/>
        <w:rPr>
          <w:rFonts w:ascii="Times New Roman" w:cs="Times New Roman" w:eastAsia="Times New Roman" w:hAnsi="Times New Roman"/>
          <w:sz w:val="18"/>
          <w:szCs w:val="18"/>
          <w:color w:val="auto"/>
        </w:rPr>
      </w:pPr>
    </w:p>
    <w:p>
      <w:pPr>
        <w:ind w:left="372" w:hanging="372"/>
        <w:spacing w:after="0" w:line="253" w:lineRule="auto"/>
        <w:tabs>
          <w:tab w:leader="none" w:pos="37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13d-3(d) under the Exchange Act, we have excluded from the number of shares beneficially owned prior to the offering all of the shares that YA may be required to purchase under the Second A&amp;R YA Agreement, because the issuance of such shares is at our discretion and is subject to conditions contained in the Second A&amp;R YA Agreement, the satisfaction of which are entirely outside of YA's control, including the registration statement that includes this prospectus becoming and remaining effective. Furthermore, the Advances of common stock under the Second A&amp;R YA Agreement are subject to certain agreed upon maximum amount limitations set forth in the Second A&amp;R YA Agreement. Also, the Second A&amp;R YA Agreement prohibits us from issuing and selling any shares of our common stock to YA to the extent such shares, when aggregated with all other shares of our common stock then beneficially owned by YA, would cause YA's beneficial ownership of our common stock to exceed the 4.99% Ownership Limitation. The Second A&amp;R YA Agreement also prohibits us from issuing or selling shares of our Common Stock under the Second A&amp;R YA Agreement in excess of the 19.99% Exchange Cap, unless we obtain stockholder approval to do so, or unless all applicable sales of shares of common stock under the Second A&amp;R YA Agreement equal or exceed the “Minimum Price” (as such term is defined in Nasdaq Rule 5635) or, as to any Advance, the issuance of the common stock pursuant to an Advance Notice would be excluded from the Exchange Cap under Nasdaq rules (or interpretive guidance provided by Nasdaq with respect thereto), in which case the Exchange Cap limitation would no longer apply under applicable Nasdaq rules.</w:t>
      </w:r>
    </w:p>
    <w:p>
      <w:pPr>
        <w:spacing w:after="0" w:line="79" w:lineRule="exact"/>
        <w:rPr>
          <w:rFonts w:ascii="Times New Roman" w:cs="Times New Roman" w:eastAsia="Times New Roman" w:hAnsi="Times New Roman"/>
          <w:sz w:val="18"/>
          <w:szCs w:val="18"/>
          <w:color w:val="auto"/>
        </w:rPr>
      </w:pPr>
    </w:p>
    <w:p>
      <w:pPr>
        <w:ind w:left="372" w:hanging="372"/>
        <w:spacing w:after="0" w:line="261" w:lineRule="auto"/>
        <w:tabs>
          <w:tab w:leader="none" w:pos="37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1,413,946 Ordinary Shares issued as repayment of certain of the YA Notes and (ii) 48,534,860 Ordinary Shares issuable pursuant to the Second A&amp;R YA Agreement. For the avoidance of doubt, the Company shall not be permitted to issue shares Ordinary Shares to Yorkville pursuant to the Second A&amp;R YA Agreement to the extent that after such issuance Yorkville (together with any affiliates) would beneficially own in excess of 4.99% of the number of outstanding Ordinary Shares 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93" w:right="35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ORDINARY SHARES, ARTICLES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17" w:lineRule="exact"/>
        <w:rPr>
          <w:sz w:val="20"/>
          <w:szCs w:val="20"/>
          <w:color w:val="auto"/>
        </w:rPr>
      </w:pPr>
    </w:p>
    <w:p>
      <w:pPr>
        <w:ind w:left="900" w:hanging="383"/>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7" w:lineRule="exact"/>
        <w:rPr>
          <w:rFonts w:ascii="Times New Roman" w:cs="Times New Roman" w:eastAsia="Times New Roman" w:hAnsi="Times New Roman"/>
          <w:sz w:val="18"/>
          <w:szCs w:val="18"/>
          <w:color w:val="auto"/>
        </w:rPr>
      </w:pPr>
    </w:p>
    <w:p>
      <w:pPr>
        <w:ind w:left="900" w:right="100" w:hanging="383"/>
        <w:spacing w:after="0" w:line="261"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71"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53"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5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2" w:name="page113"/>
    <w:bookmarkEnd w:id="112"/>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17" w:lineRule="exact"/>
        <w:rPr>
          <w:sz w:val="20"/>
          <w:szCs w:val="20"/>
          <w:color w:val="auto"/>
        </w:rPr>
      </w:pPr>
    </w:p>
    <w:p>
      <w:pPr>
        <w:ind w:left="900" w:hanging="383"/>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ind w:right="5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 (subject to any restrictions under the UK Companies Act):</w:t>
      </w:r>
    </w:p>
    <w:p>
      <w:pPr>
        <w:spacing w:after="0" w:line="52" w:lineRule="exact"/>
        <w:rPr>
          <w:sz w:val="20"/>
          <w:szCs w:val="20"/>
          <w:color w:val="auto"/>
        </w:rPr>
      </w:pPr>
    </w:p>
    <w:p>
      <w:pPr>
        <w:ind w:left="900" w:hanging="383"/>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17" w:lineRule="exact"/>
        <w:rPr>
          <w:rFonts w:ascii="Times New Roman" w:cs="Times New Roman" w:eastAsia="Times New Roman" w:hAnsi="Times New Roman"/>
          <w:sz w:val="18"/>
          <w:szCs w:val="18"/>
          <w:color w:val="auto"/>
        </w:rPr>
      </w:pPr>
    </w:p>
    <w:p>
      <w:pPr>
        <w:ind w:left="900" w:right="360" w:hanging="383"/>
        <w:spacing w:after="0" w:line="266"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3" w:name="page114"/>
    <w:bookmarkEnd w:id="113"/>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of 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shares held by Daniel Wagner as the “Rezolve Founder” or in which he is interested shall be equal to the higher of:</w:t>
      </w:r>
    </w:p>
    <w:p>
      <w:pPr>
        <w:spacing w:after="0" w:line="54" w:lineRule="exact"/>
        <w:rPr>
          <w:sz w:val="20"/>
          <w:szCs w:val="20"/>
          <w:color w:val="auto"/>
        </w:rPr>
      </w:pPr>
    </w:p>
    <w:p>
      <w:pPr>
        <w:ind w:left="900" w:hanging="383"/>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6" w:name="page117"/>
    <w:bookmarkEnd w:id="116"/>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the Rezolve held in 2025, the second class being eligible for re-election at the annual general meeting of the Rezolve held in 2026 and the third class being eligible for re-election at the annual general meeting of the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17" w:lineRule="exact"/>
        <w:rPr>
          <w:sz w:val="20"/>
          <w:szCs w:val="20"/>
          <w:color w:val="auto"/>
        </w:rPr>
      </w:pPr>
    </w:p>
    <w:p>
      <w:pPr>
        <w:ind w:left="900" w:right="240" w:hanging="383"/>
        <w:spacing w:after="0" w:line="282"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5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67" w:lineRule="exact"/>
        <w:rPr>
          <w:rFonts w:ascii="Times New Roman" w:cs="Times New Roman" w:eastAsia="Times New Roman" w:hAnsi="Times New Roman"/>
          <w:sz w:val="18"/>
          <w:szCs w:val="18"/>
          <w:color w:val="auto"/>
        </w:rPr>
      </w:pPr>
    </w:p>
    <w:p>
      <w:pPr>
        <w:ind w:left="900" w:right="880" w:hanging="383"/>
        <w:spacing w:after="0" w:line="282"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8" w:name="page119"/>
    <w:bookmarkEnd w:id="118"/>
    <w:p>
      <w:pPr>
        <w:jc w:val="both"/>
        <w:ind w:left="900" w:right="40" w:hanging="383"/>
        <w:spacing w:after="0" w:line="266"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6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3"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22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9" w:name="page120"/>
    <w:bookmarkEnd w:id="119"/>
    <w:p>
      <w:pPr>
        <w:ind w:right="220"/>
        <w:spacing w:after="0" w:line="282" w:lineRule="auto"/>
        <w:rPr>
          <w:sz w:val="20"/>
          <w:szCs w:val="20"/>
          <w:color w:val="auto"/>
        </w:rPr>
      </w:pPr>
      <w:r>
        <w:rPr>
          <w:rFonts w:ascii="Times New Roman" w:cs="Times New Roman" w:eastAsia="Times New Roman" w:hAnsi="Times New Roman"/>
          <w:sz w:val="18"/>
          <w:szCs w:val="18"/>
          <w:color w:val="auto"/>
        </w:rPr>
        <w:t>acquire, those shares on the same terms as the general offer. The offeror would do so by sending a notice to the outstanding minority shareholders telling them that it will compulsorily acquire their shares.</w:t>
      </w:r>
    </w:p>
    <w:p>
      <w:pPr>
        <w:spacing w:after="0" w:line="16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54" w:lineRule="exact"/>
        <w:rPr>
          <w:sz w:val="20"/>
          <w:szCs w:val="20"/>
          <w:color w:val="auto"/>
        </w:rPr>
      </w:pPr>
    </w:p>
    <w:p>
      <w:pPr>
        <w:ind w:left="900" w:right="120" w:hanging="383"/>
        <w:spacing w:after="0" w:line="282"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3" w:lineRule="exact"/>
        <w:rPr>
          <w:rFonts w:ascii="Times New Roman" w:cs="Times New Roman" w:eastAsia="Times New Roman" w:hAnsi="Times New Roman"/>
          <w:sz w:val="18"/>
          <w:szCs w:val="18"/>
          <w:color w:val="auto"/>
        </w:rPr>
      </w:pPr>
    </w:p>
    <w:p>
      <w:pPr>
        <w:ind w:left="900" w:right="60" w:hanging="383"/>
        <w:spacing w:after="0" w:line="261"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79" w:lineRule="exact"/>
        <w:rPr>
          <w:sz w:val="20"/>
          <w:szCs w:val="20"/>
          <w:color w:val="auto"/>
        </w:rPr>
      </w:pPr>
    </w:p>
    <w:p>
      <w:pPr>
        <w:ind w:left="900" w:hanging="383"/>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0" w:name="page121"/>
    <w:bookmarkEnd w:id="120"/>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8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68" w:lineRule="exact"/>
        <w:rPr>
          <w:sz w:val="20"/>
          <w:szCs w:val="20"/>
          <w:color w:val="auto"/>
        </w:rPr>
      </w:pPr>
    </w:p>
    <w:p>
      <w:pPr>
        <w:ind w:left="900" w:right="40" w:hanging="383"/>
        <w:spacing w:after="0" w:line="282"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General Data Protection Regulation (as implemented in the UK) and the Data Protection Act 2018 (“</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based on internationally accepted principles of data privacy.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17" w:lineRule="exact"/>
        <w:rPr>
          <w:sz w:val="20"/>
          <w:szCs w:val="20"/>
          <w:color w:val="auto"/>
        </w:rPr>
      </w:pPr>
    </w:p>
    <w:p>
      <w:pPr>
        <w:ind w:left="900" w:hanging="383"/>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22" w:name="page123"/>
    <w:bookmarkEnd w:id="122"/>
    <w:p>
      <w:pPr>
        <w:ind w:left="520"/>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statements are not directed at and do not apply to persons who are resident, or in the case of individuals, domiciled for tax purposes in the UK.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YOU ARE IN ANY DOUBT AS TO YOUR TAX POSITION, YOU SHOULD CONSULT YOUR PROFESSIONAL TAX ADVISER.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Rezolve</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is not required to withhold UK tax when paying a dividend.</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UK stamp duty or UK SDRT should arise on the issue of Ordinary Shares.</w:t>
      </w:r>
    </w:p>
    <w:p>
      <w:pPr>
        <w:spacing w:after="0" w:line="2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An agreement to transfer Ordinary Shares or Warrants other than to a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will normally give rise to a charge to UK SDRT at the rate of 0.5% of the amount or value of the consideration payable for the transfer, subject to the application 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spacing w:after="0" w:line="72" w:lineRule="exact"/>
        <w:rPr>
          <w:sz w:val="20"/>
          <w:szCs w:val="20"/>
          <w:color w:val="auto"/>
        </w:rPr>
      </w:pPr>
    </w:p>
    <w:p>
      <w:pPr>
        <w:ind w:left="900" w:hanging="383"/>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and other investors that do not own their Ordinary Shares or Warrants as capital assets;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(directly, indirectly, or by attribution) 5% or more (by vote or value) of the Armada Common Stock or Ordinary Shares;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53"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or Warrants as part of a straddle, hedging or conversion transaction, constructive sale, or other arrangement involving more than one position;</w:t>
      </w:r>
    </w:p>
    <w:p>
      <w:pPr>
        <w:spacing w:after="0" w:line="53"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Ordinary Shares or Warrants as a result of such income being recognized on an applicable financial statement;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Ordinary Shares or Warrants as compensation for services;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2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w:t>
      </w:r>
      <w:r>
        <w:rPr>
          <w:rFonts w:ascii="Times New Roman" w:cs="Times New Roman" w:eastAsia="Times New Roman" w:hAnsi="Times New Roman"/>
          <w:sz w:val="18"/>
          <w:szCs w:val="18"/>
          <w:b w:val="1"/>
          <w:bCs w:val="1"/>
          <w:i w:val="1"/>
          <w:iCs w:val="1"/>
          <w:color w:val="auto"/>
        </w:rPr>
        <w:t>Treasury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 published rulings by the IRS and court decisions, all as of the date hereof. These laws are subject to change, possibly on a retroactive basis.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125" w:name="page126"/>
    <w:bookmarkEnd w:id="125"/>
    <w:p>
      <w:pPr>
        <w:ind w:right="260"/>
        <w:spacing w:after="0" w:line="282" w:lineRule="auto"/>
        <w:rPr>
          <w:sz w:val="20"/>
          <w:szCs w:val="20"/>
          <w:color w:val="auto"/>
        </w:rPr>
      </w:pPr>
      <w:r>
        <w:rPr>
          <w:rFonts w:ascii="Times New Roman" w:cs="Times New Roman" w:eastAsia="Times New Roman" w:hAnsi="Times New Roman"/>
          <w:sz w:val="18"/>
          <w:szCs w:val="18"/>
          <w:color w:val="auto"/>
        </w:rPr>
        <w:t>IRS will not take positions concerning the tax consequences of the Business Combination that are different from those discussed below, or that any such different positions would not be sustained by a court.</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Except as specifically provided, the discussion below applies only to U.S. holders. For purposes of this discussion, a U.S. holder means a beneficial owner of Ordinary Shares or Warrants that is, for U.S. federal income tax purposes:</w:t>
      </w:r>
    </w:p>
    <w:p>
      <w:pPr>
        <w:spacing w:after="0" w:line="54" w:lineRule="exact"/>
        <w:rPr>
          <w:sz w:val="20"/>
          <w:szCs w:val="20"/>
          <w:color w:val="auto"/>
        </w:rPr>
      </w:pPr>
    </w:p>
    <w:p>
      <w:pPr>
        <w:ind w:left="900" w:hanging="383"/>
        <w:spacing w:after="0"/>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Holders who are not U.S. holders should consult with their own tax advisors regarding the U.S. federal income tax consequences of holding Rezolve Securities.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the gross amount of any distribution on Ordinary Shares that is made out of Rezolve’s current or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dividends received by non-corporate U.S. holders (including individuals) from a “qualified foreign corporation”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8"/>
          <w:szCs w:val="18"/>
          <w:i w:val="1"/>
          <w:iCs w:val="1"/>
          <w:color w:val="auto"/>
        </w:rPr>
        <w:t>Material Tax Considerations — Material U.S. Federal Income Tax Considerations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6" w:name="page127"/>
    <w:bookmarkEnd w:id="126"/>
    <w:p>
      <w:pPr>
        <w:ind w:right="480"/>
        <w:spacing w:after="0" w:line="282" w:lineRule="auto"/>
        <w:rPr>
          <w:sz w:val="20"/>
          <w:szCs w:val="20"/>
          <w:color w:val="auto"/>
        </w:rPr>
      </w:pPr>
      <w:r>
        <w:rPr>
          <w:rFonts w:ascii="Times New Roman" w:cs="Times New Roman" w:eastAsia="Times New Roman" w:hAnsi="Times New Roman"/>
          <w:sz w:val="18"/>
          <w:szCs w:val="18"/>
          <w:color w:val="auto"/>
        </w:rPr>
        <w:t>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Ordinary Shares and Warrants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a U.S. holder generally will recognize gain or loss on any sale, exchange, redemption or other taxable disposition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or Warrants generally will be treated as U.S. source gain or loss.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or Lapse of a Warrant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Ordinary Shares for which the Warrant may be exercised or to the exercise price of the Warrant in certain events, as discussed in the section entitled “</w:t>
      </w:r>
      <w:r>
        <w:rPr>
          <w:rFonts w:ascii="Times New Roman" w:cs="Times New Roman" w:eastAsia="Times New Roman" w:hAnsi="Times New Roman"/>
          <w:sz w:val="18"/>
          <w:szCs w:val="18"/>
          <w:i w:val="1"/>
          <w:iCs w:val="1"/>
          <w:color w:val="auto"/>
        </w:rPr>
        <w:t>Description of Rezolve Securities</w:t>
      </w:r>
      <w:r>
        <w:rPr>
          <w:rFonts w:ascii="Times New Roman" w:cs="Times New Roman" w:eastAsia="Times New Roman" w:hAnsi="Times New Roman"/>
          <w:sz w:val="18"/>
          <w:szCs w:val="18"/>
          <w:color w:val="auto"/>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cs="Times New Roman" w:eastAsia="Times New Roman" w:hAnsi="Times New Roman"/>
          <w:sz w:val="18"/>
          <w:szCs w:val="18"/>
          <w:i w:val="1"/>
          <w:iCs w:val="1"/>
          <w:color w:val="auto"/>
        </w:rPr>
        <w:t>Material Tax Considerations —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 Distributions on Ordinary Shares.</w:t>
      </w:r>
      <w:r>
        <w:rPr>
          <w:rFonts w:ascii="Times New Roman" w:cs="Times New Roman" w:eastAsia="Times New Roman" w:hAnsi="Times New Roman"/>
          <w:sz w:val="18"/>
          <w:szCs w:val="18"/>
          <w:color w:val="auto"/>
        </w:rPr>
        <w:t>” Such constructive distribution would be subject to tax as described under that section in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9" w:lineRule="exact"/>
        <w:rPr>
          <w:sz w:val="20"/>
          <w:szCs w:val="20"/>
          <w:color w:val="auto"/>
        </w:rPr>
      </w:pPr>
    </w:p>
    <w:p>
      <w:pPr>
        <w:ind w:right="28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Generally. </w:t>
      </w:r>
      <w:r>
        <w:rPr>
          <w:rFonts w:ascii="Times New Roman" w:cs="Times New Roman" w:eastAsia="Times New Roman" w:hAnsi="Times New Roman"/>
          <w:sz w:val="17"/>
          <w:szCs w:val="17"/>
          <w:color w:val="auto"/>
        </w:rPr>
        <w:t>The treatment of U.S. holders of the Ordinary Shares could be materially different from that described above if Rezolve is treated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passive foreign investment company, or PFIC, for U.S. federal income tax purposes. A PFIC is any foreign corporation with respect to which either: (i)</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3"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7" w:name="page128"/>
    <w:bookmarkEnd w:id="127"/>
    <w:p>
      <w:pPr>
        <w:ind w:right="20"/>
        <w:spacing w:after="0" w:line="258" w:lineRule="auto"/>
        <w:rPr>
          <w:sz w:val="20"/>
          <w:szCs w:val="20"/>
          <w:color w:val="auto"/>
        </w:rPr>
      </w:pPr>
      <w:r>
        <w:rPr>
          <w:rFonts w:ascii="Times New Roman" w:cs="Times New Roman" w:eastAsia="Times New Roman" w:hAnsi="Times New Roman"/>
          <w:sz w:val="18"/>
          <w:szCs w:val="18"/>
          <w:color w:val="auto"/>
        </w:rPr>
        <w:t>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w:t>
      </w:r>
    </w:p>
    <w:p>
      <w:pPr>
        <w:jc w:val="both"/>
        <w:ind w:right="20" w:firstLine="8"/>
        <w:spacing w:after="0" w:line="253" w:lineRule="auto"/>
        <w:tabs>
          <w:tab w:leader="none" w:pos="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a U.S. holder does not make a mark-to-market election, as described below, the U.S. holder will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“excess distribution regime” under the PFIC rules with respect to (i) any gain realized on a sale or other 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spacing w:after="0" w:line="77" w:lineRule="exact"/>
        <w:rPr>
          <w:sz w:val="20"/>
          <w:szCs w:val="20"/>
          <w:color w:val="auto"/>
        </w:rPr>
      </w:pPr>
    </w:p>
    <w:p>
      <w:pPr>
        <w:ind w:left="900" w:hanging="383"/>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Ordinary Shares;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1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17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Mark-to-Market Regime. </w:t>
      </w:r>
      <w:r>
        <w:rPr>
          <w:rFonts w:ascii="Times New Roman" w:cs="Times New Roman" w:eastAsia="Times New Roman" w:hAnsi="Times New Roman"/>
          <w:sz w:val="18"/>
          <w:szCs w:val="18"/>
          <w:color w:val="auto"/>
        </w:rPr>
        <w:t>Alternatively, a U.S. holder may make an election to mark marketable shares in a PFIC to market on an annual basis. PFIC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spacing w:after="0" w:line="191" w:lineRule="exact"/>
        <w:rPr>
          <w:sz w:val="20"/>
          <w:szCs w:val="20"/>
          <w:color w:val="auto"/>
        </w:rPr>
      </w:pPr>
    </w:p>
    <w:p>
      <w:pPr>
        <w:jc w:val="both"/>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QEF Regime. </w:t>
      </w:r>
      <w:r>
        <w:rPr>
          <w:rFonts w:ascii="Times New Roman" w:cs="Times New Roman" w:eastAsia="Times New Roman" w:hAnsi="Times New Roman"/>
          <w:sz w:val="18"/>
          <w:szCs w:val="18"/>
          <w:color w:val="auto"/>
        </w:rPr>
        <w:t>Alternatively, a U.S. holder of a PFIC may avoid the adverse PFIC tax consequences described above in respect of stock of the PFIC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warrants) by making and maintaining a timely and valid qualified electing fund (“QEF”) election (if eligible to do so) to include in income its pro rata share of the PFIC’s net capital gains (as long-term capital gain) and other earnings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8" w:name="page129"/>
    <w:bookmarkEnd w:id="128"/>
    <w:p>
      <w:pPr>
        <w:ind w:right="100"/>
        <w:spacing w:after="0" w:line="258" w:lineRule="auto"/>
        <w:rPr>
          <w:sz w:val="20"/>
          <w:szCs w:val="20"/>
          <w:color w:val="auto"/>
        </w:rPr>
      </w:pPr>
      <w:r>
        <w:rPr>
          <w:rFonts w:ascii="Times New Roman" w:cs="Times New Roman" w:eastAsia="Times New Roman" w:hAnsi="Times New Roman"/>
          <w:sz w:val="18"/>
          <w:szCs w:val="18"/>
          <w:color w:val="auto"/>
        </w:rPr>
        <w:t>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81" w:lineRule="exact"/>
        <w:rPr>
          <w:sz w:val="20"/>
          <w:szCs w:val="20"/>
          <w:color w:val="auto"/>
        </w:rPr>
      </w:pPr>
    </w:p>
    <w:p>
      <w:pPr>
        <w:jc w:val="both"/>
        <w:ind w:right="4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of Ordinary Shares will be required to file an annual report on IRS Form 8621 containing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8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8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9" w:name="page130"/>
    <w:bookmarkEnd w:id="1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89"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We are registering the resale, from time to time, by the Selling Holders or their permitted transferees of up to 58,444,822 Ordinary Shares, consisting of (i) up to 8,070,845 Ordinary Shares issued upon exercise of certain Convertible Notes by certain Selling Holders; (ii) up to 425,171 Ordinary Shares issuable upon conversion of certain Promissory Notes (iii) up to 1,413,946 Ordinary Shares issued upon conversion of the YA Notes; and (iv) up to 48,534,860 Ordinary Shares issuable pursuant to the Second A&amp;R YA Agreement.</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Ordinary Shares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72" w:lineRule="exact"/>
        <w:rPr>
          <w:sz w:val="20"/>
          <w:szCs w:val="20"/>
          <w:color w:val="auto"/>
        </w:rPr>
      </w:pPr>
    </w:p>
    <w:p>
      <w:pPr>
        <w:ind w:left="900" w:hanging="383"/>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 in the over-the-counter market or on any other national securities exchange on which our securities are listed or traded;</w:t>
      </w:r>
    </w:p>
    <w:p>
      <w:pPr>
        <w:spacing w:after="0" w:line="117" w:lineRule="exact"/>
        <w:rPr>
          <w:rFonts w:ascii="Times New Roman" w:cs="Times New Roman" w:eastAsia="Times New Roman" w:hAnsi="Times New Roman"/>
          <w:sz w:val="18"/>
          <w:szCs w:val="18"/>
          <w:color w:val="auto"/>
        </w:rPr>
      </w:pPr>
    </w:p>
    <w:p>
      <w:pPr>
        <w:ind w:left="900" w:right="320" w:hanging="383"/>
        <w:spacing w:after="0" w:line="266"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in privately negotiated transactions;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a broker-dealer will attempt to sell the offered securities as agent but may purchase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with broker-dealers to sell a specified number of the securities at a stipulated price per share or warrant;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or through market makers or into an existing market for the securities;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may transfer our securities in other circumstances, in which case the transferees, pledgees or other successors in interest will be the selling beneficial owners for purposes of this prospectus.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30" w:name="page131"/>
    <w:bookmarkEnd w:id="130"/>
    <w:p>
      <w:pPr>
        <w:ind w:right="80"/>
        <w:spacing w:after="0" w:line="255" w:lineRule="auto"/>
        <w:rPr>
          <w:sz w:val="20"/>
          <w:szCs w:val="20"/>
          <w:color w:val="auto"/>
        </w:rPr>
      </w:pPr>
      <w:r>
        <w:rPr>
          <w:rFonts w:ascii="Times New Roman" w:cs="Times New Roman" w:eastAsia="Times New Roman" w:hAnsi="Times New Roman"/>
          <w:sz w:val="18"/>
          <w:szCs w:val="18"/>
          <w:color w:val="auto"/>
        </w:rPr>
        <w:t>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81"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YA is an “underwriter” within the meaning of Section 2(a)(11) of the Securities Act, and any profits on the sales of shares of our common stock by YA and any discounts, commissions, or concessions received by YA are deemed to be underwriting discounts and commissions under the Securities Act. We know of no existing arrangements between YA or any other stockholder, broker, dealer, underwriter, or agent relating to the sale or distribution of the shares of our common stock offered by this prospectus.</w:t>
      </w:r>
    </w:p>
    <w:p>
      <w:pPr>
        <w:spacing w:after="0" w:line="72"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7"/>
          <w:szCs w:val="17"/>
          <w:color w:val="auto"/>
        </w:rPr>
        <w:t>YA has agreed that it and its affiliates will not engage in any short sales during the term of the Second A&amp;R YA Agreement and will not enter into any transaction that establishes a net short position with respect to the common stock. The Second A&amp;R YA Agreement stipulates that the YA may sell our common stock to be issued pursuant to an Advance Notice, following receipt of the Advance Notice, but prior to receiving such shares, and may sell other common stock acquired pursuant to the Purchase Agreement that the Selling Stockholder has continuously held from a prior date of acquisition.</w:t>
      </w:r>
    </w:p>
    <w:p>
      <w:pPr>
        <w:spacing w:after="0" w:line="16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Selling Holders party to the Investor Rights Agreement have agreed, and the other Selling Holders may agree, to indemnify an underwriter, broker-dealer or agent against certain liabilities related to the sale of the securities, including liabilities under the Securities Act.</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Selling Holders, including YA,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or, if necessary, a post-effective amendment to the registration statement that includes this prospectus,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Certain of our shareholders are subject to the transfer restrictions in the Investor Rights Agreement, which is incorporated by reference herein as Exhibit 4.7 to the registration statement of which this prospectus is a part, and the Lock-In Agreement, the form of which isincorporated by reference herein as Exhibits 4.8 to the registration statement of which this prospectus is a part.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20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 hereby.</w:t>
      </w:r>
    </w:p>
    <w:p>
      <w:pPr>
        <w:spacing w:after="0" w:line="182"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r>
      <w:tr>
        <w:trPr>
          <w:trHeight w:val="209"/>
        </w:trPr>
        <w:tc>
          <w:tcPr>
            <w:tcW w:w="5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5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140" w:hanging="132"/>
        <w:spacing w:after="0"/>
        <w:tabs>
          <w:tab w:leader="none" w:pos="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80" w:lineRule="exact"/>
        <w:rPr>
          <w:rFonts w:ascii="Times New Roman" w:cs="Times New Roman" w:eastAsia="Times New Roman" w:hAnsi="Times New Roman"/>
          <w:sz w:val="18"/>
          <w:szCs w:val="18"/>
          <w:color w:val="auto"/>
        </w:rPr>
      </w:pPr>
    </w:p>
    <w:p>
      <w:pPr>
        <w:ind w:left="4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DLA Piper LLP, New York, New York, and Taylor Wessing LLP, have passed upon the validity of the securities of Rezolve AI Limited offered by this prospectus and certain other legal matters related to this prospectus.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financial statements of Armada as of September 30, 2023 and 2022 and for each of the two years in the period ended September 30, 2023, included in this registration statement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and are included in reliance on such report given upon the authority of such firm as experts in accounting and auditing.</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carve-out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six months ended June 30, 2024 and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Condensed Interim Carve-out Consolidated Financial Statements (Unaudited)</w:t>
            </w:r>
          </w:p>
        </w:tc>
        <w:tc>
          <w:tcPr>
            <w:tcW w:w="92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8420" w:type="dxa"/>
            <w:vAlign w:val="bottom"/>
            <w:tcBorders>
              <w:bottom w:val="single" w:sz="8" w:color="0000FF"/>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Condensed interim Carve-out Consolidated Balance Sheets as of June 30, 2024 (Unaudited) and December 31, 2023</w:t>
            </w:r>
          </w:p>
        </w:tc>
        <w:tc>
          <w:tcPr>
            <w:tcW w:w="1880" w:type="dxa"/>
            <w:vAlign w:val="bottom"/>
            <w:gridSpan w:val="4"/>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20" w:type="dxa"/>
            <w:vAlign w:val="bottom"/>
          </w:tcPr>
          <w:p>
            <w:pPr>
              <w:spacing w:after="0"/>
              <w:rPr>
                <w:sz w:val="17"/>
                <w:szCs w:val="17"/>
                <w:color w:val="auto"/>
              </w:rPr>
            </w:pPr>
          </w:p>
        </w:tc>
        <w:tc>
          <w:tcPr>
            <w:tcW w:w="95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interim Carve-out Consolidated Statements of Operations for the six months ended June 30, 2024 and 2023 (Unaudited)</w:t>
            </w:r>
          </w:p>
        </w:tc>
        <w:tc>
          <w:tcPr>
            <w:tcW w:w="80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interim Carve-out Consolidated Statements of Comprehensive Loss (Unaudited)</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interim Carve-out Consolidated Statements of Changes in Stockholders’ deficit for the six and the six months ended June 30, 2024</w:t>
            </w:r>
          </w:p>
        </w:tc>
        <w:tc>
          <w:tcPr>
            <w:tcW w:w="9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and 2023 (Unaudited)</w:t>
            </w:r>
          </w:p>
        </w:tc>
        <w:tc>
          <w:tcPr>
            <w:tcW w:w="8480" w:type="dxa"/>
            <w:vAlign w:val="bottom"/>
            <w:gridSpan w:val="2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20" w:type="dxa"/>
            <w:vAlign w:val="bottom"/>
          </w:tcPr>
          <w:p>
            <w:pPr>
              <w:spacing w:after="0"/>
              <w:rPr>
                <w:sz w:val="17"/>
                <w:szCs w:val="17"/>
                <w:color w:val="auto"/>
              </w:rPr>
            </w:pPr>
          </w:p>
        </w:tc>
        <w:tc>
          <w:tcPr>
            <w:tcW w:w="95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Condensed interim Carve-out Consolidated Statements of Cash Flows for the six and the six months ended June 30, 2024 and 2023</w:t>
            </w:r>
          </w:p>
        </w:tc>
        <w:tc>
          <w:tcPr>
            <w:tcW w:w="80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20" w:type="dxa"/>
            <w:vAlign w:val="bottom"/>
          </w:tcPr>
          <w:p>
            <w:pPr>
              <w:spacing w:after="0"/>
              <w:rPr>
                <w:sz w:val="17"/>
                <w:szCs w:val="17"/>
                <w:color w:val="auto"/>
              </w:rPr>
            </w:pPr>
          </w:p>
        </w:tc>
        <w:tc>
          <w:tcPr>
            <w:tcW w:w="75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the Condensed interim Carve-out Consolidated Financial Statements June 30, 2024 (Unaudited)</w:t>
            </w:r>
          </w:p>
        </w:tc>
        <w:tc>
          <w:tcPr>
            <w:tcW w:w="2740" w:type="dxa"/>
            <w:vAlign w:val="bottom"/>
            <w:gridSpan w:val="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65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00" w:type="dxa"/>
            <w:vAlign w:val="bottom"/>
            <w:gridSpan w:val="16"/>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Carve-out Consolidated Financial Statements</w:t>
            </w:r>
          </w:p>
        </w:tc>
        <w:tc>
          <w:tcPr>
            <w:tcW w:w="9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40" w:type="dxa"/>
            <w:vAlign w:val="bottom"/>
            <w:gridSpan w:val="19"/>
          </w:tcPr>
          <w:p>
            <w:pPr>
              <w:jc w:val="center"/>
              <w:ind w:right="2000"/>
              <w:spacing w:after="0"/>
              <w:rPr>
                <w:sz w:val="20"/>
                <w:szCs w:val="20"/>
                <w:color w:val="auto"/>
              </w:rPr>
            </w:pPr>
            <w:r>
              <w:rPr>
                <w:rFonts w:ascii="Times New Roman" w:cs="Times New Roman" w:eastAsia="Times New Roman" w:hAnsi="Times New Roman"/>
                <w:sz w:val="18"/>
                <w:szCs w:val="18"/>
                <w:color w:val="auto"/>
              </w:rPr>
              <w:t>As of and for the years ended December 31, 2023 (Restated) and 2022</w:t>
            </w:r>
          </w:p>
        </w:tc>
        <w:tc>
          <w:tcPr>
            <w:tcW w:w="92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10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Independent Auditor’s Report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F-27</w:t>
            </w:r>
          </w:p>
        </w:tc>
      </w:tr>
      <w:tr>
        <w:trPr>
          <w:trHeight w:val="20"/>
        </w:trPr>
        <w:tc>
          <w:tcPr>
            <w:tcW w:w="20" w:type="dxa"/>
            <w:vAlign w:val="bottom"/>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10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Carve-out Consolidated Financial Statements</w:t>
            </w:r>
          </w:p>
        </w:tc>
        <w:tc>
          <w:tcPr>
            <w:tcW w:w="92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103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Carve-out Consolidated Balance Sheets </w:t>
            </w:r>
            <w:r>
              <w:rPr>
                <w:rFonts w:ascii="Times New Roman" w:cs="Times New Roman" w:eastAsia="Times New Roman" w:hAnsi="Times New Roman"/>
                <w:sz w:val="18"/>
                <w:szCs w:val="18"/>
                <w:color w:val="000000"/>
              </w:rPr>
              <w:t>(Restated)</w:t>
            </w: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F-28</w:t>
            </w:r>
          </w:p>
        </w:tc>
      </w:tr>
      <w:tr>
        <w:trPr>
          <w:trHeight w:val="20"/>
        </w:trPr>
        <w:tc>
          <w:tcPr>
            <w:tcW w:w="20" w:type="dxa"/>
            <w:vAlign w:val="bottom"/>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Carve-out Consolidated Statements of Operations </w:t>
            </w:r>
            <w:r>
              <w:rPr>
                <w:rFonts w:ascii="Times New Roman" w:cs="Times New Roman" w:eastAsia="Times New Roman" w:hAnsi="Times New Roman"/>
                <w:sz w:val="18"/>
                <w:szCs w:val="18"/>
                <w:color w:val="000000"/>
              </w:rPr>
              <w:t>(Restated)</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F-29</w:t>
            </w:r>
          </w:p>
        </w:tc>
      </w:tr>
      <w:tr>
        <w:trPr>
          <w:trHeight w:val="20"/>
        </w:trPr>
        <w:tc>
          <w:tcPr>
            <w:tcW w:w="20" w:type="dxa"/>
            <w:vAlign w:val="bottom"/>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Carve-out Consolidated Statements of Comprehensive Loss </w:t>
            </w:r>
            <w:r>
              <w:rPr>
                <w:rFonts w:ascii="Times New Roman" w:cs="Times New Roman" w:eastAsia="Times New Roman" w:hAnsi="Times New Roman"/>
                <w:sz w:val="18"/>
                <w:szCs w:val="18"/>
                <w:color w:val="000000"/>
              </w:rPr>
              <w:t>(Restated)</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F-30</w:t>
            </w:r>
          </w:p>
        </w:tc>
      </w:tr>
      <w:tr>
        <w:trPr>
          <w:trHeight w:val="20"/>
        </w:trPr>
        <w:tc>
          <w:tcPr>
            <w:tcW w:w="20" w:type="dxa"/>
            <w:vAlign w:val="bottom"/>
          </w:tcPr>
          <w:p>
            <w:pPr>
              <w:spacing w:after="0" w:line="20" w:lineRule="exact"/>
              <w:rPr>
                <w:sz w:val="1"/>
                <w:szCs w:val="1"/>
                <w:color w:val="auto"/>
              </w:rPr>
            </w:pPr>
          </w:p>
        </w:tc>
        <w:tc>
          <w:tcPr>
            <w:tcW w:w="364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Carve-out Consolidated Statements of Changes in Shareholders’ Deficit </w:t>
            </w:r>
            <w:r>
              <w:rPr>
                <w:rFonts w:ascii="Times New Roman" w:cs="Times New Roman" w:eastAsia="Times New Roman" w:hAnsi="Times New Roman"/>
                <w:sz w:val="18"/>
                <w:szCs w:val="18"/>
                <w:color w:val="000000"/>
              </w:rPr>
              <w:t>(Restated)</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F-31</w:t>
            </w:r>
          </w:p>
        </w:tc>
      </w:tr>
      <w:tr>
        <w:trPr>
          <w:trHeight w:val="196"/>
        </w:trPr>
        <w:tc>
          <w:tcPr>
            <w:tcW w:w="20" w:type="dxa"/>
            <w:vAlign w:val="bottom"/>
          </w:tcPr>
          <w:p>
            <w:pPr>
              <w:spacing w:after="0"/>
              <w:rPr>
                <w:sz w:val="17"/>
                <w:szCs w:val="17"/>
                <w:color w:val="auto"/>
              </w:rPr>
            </w:pPr>
          </w:p>
        </w:tc>
        <w:tc>
          <w:tcPr>
            <w:tcW w:w="518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Carve-out Consolidated Statements of Cash Flows </w:t>
            </w:r>
            <w:r>
              <w:rPr>
                <w:rFonts w:ascii="Times New Roman" w:cs="Times New Roman" w:eastAsia="Times New Roman" w:hAnsi="Times New Roman"/>
                <w:sz w:val="18"/>
                <w:szCs w:val="18"/>
                <w:color w:val="000000"/>
              </w:rPr>
              <w:t>(Restated)</w:t>
            </w:r>
          </w:p>
        </w:tc>
        <w:tc>
          <w:tcPr>
            <w:tcW w:w="5120" w:type="dxa"/>
            <w:vAlign w:val="bottom"/>
            <w:gridSpan w:val="1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F-32</w:t>
            </w:r>
          </w:p>
        </w:tc>
      </w:tr>
      <w:tr>
        <w:trPr>
          <w:trHeight w:val="20"/>
        </w:trPr>
        <w:tc>
          <w:tcPr>
            <w:tcW w:w="20" w:type="dxa"/>
            <w:vAlign w:val="bottom"/>
          </w:tcPr>
          <w:p>
            <w:pPr>
              <w:spacing w:after="0" w:line="20" w:lineRule="exact"/>
              <w:rPr>
                <w:sz w:val="1"/>
                <w:szCs w:val="1"/>
                <w:color w:val="auto"/>
              </w:rPr>
            </w:pPr>
          </w:p>
        </w:tc>
        <w:tc>
          <w:tcPr>
            <w:tcW w:w="364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the Carve-out Consolidated Financial Statements</w:t>
            </w:r>
          </w:p>
        </w:tc>
        <w:tc>
          <w:tcPr>
            <w:tcW w:w="6120" w:type="dxa"/>
            <w:vAlign w:val="bottom"/>
            <w:gridSpan w:val="1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F-33</w:t>
            </w:r>
          </w:p>
        </w:tc>
      </w:tr>
      <w:tr>
        <w:trPr>
          <w:trHeight w:val="45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00" w:type="dxa"/>
            <w:vAlign w:val="bottom"/>
            <w:gridSpan w:val="16"/>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ARMADA ACQUISITION CORP. I</w:t>
            </w:r>
          </w:p>
        </w:tc>
        <w:tc>
          <w:tcPr>
            <w:tcW w:w="9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00" w:type="dxa"/>
            <w:vAlign w:val="bottom"/>
            <w:gridSpan w:val="16"/>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Unaudited Condensed Financial Statements</w:t>
            </w:r>
          </w:p>
        </w:tc>
        <w:tc>
          <w:tcPr>
            <w:tcW w:w="9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40" w:type="dxa"/>
            <w:vAlign w:val="bottom"/>
            <w:gridSpan w:val="19"/>
          </w:tcPr>
          <w:p>
            <w:pPr>
              <w:jc w:val="center"/>
              <w:ind w:right="1980"/>
              <w:spacing w:after="0"/>
              <w:rPr>
                <w:sz w:val="20"/>
                <w:szCs w:val="20"/>
                <w:color w:val="auto"/>
              </w:rPr>
            </w:pPr>
            <w:r>
              <w:rPr>
                <w:rFonts w:ascii="Times New Roman" w:cs="Times New Roman" w:eastAsia="Times New Roman" w:hAnsi="Times New Roman"/>
                <w:sz w:val="18"/>
                <w:szCs w:val="18"/>
                <w:color w:val="auto"/>
                <w:w w:val="99"/>
              </w:rPr>
              <w:t>For the Three and Nine Month Periods Ended June 30, 2024</w:t>
            </w:r>
          </w:p>
        </w:tc>
        <w:tc>
          <w:tcPr>
            <w:tcW w:w="92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10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Balance Sheets as of June 30, 2024 and September 30,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F-62</w:t>
            </w:r>
          </w:p>
        </w:tc>
      </w:tr>
      <w:tr>
        <w:trPr>
          <w:trHeight w:val="20"/>
        </w:trPr>
        <w:tc>
          <w:tcPr>
            <w:tcW w:w="20" w:type="dxa"/>
            <w:vAlign w:val="bottom"/>
          </w:tcPr>
          <w:p>
            <w:pPr>
              <w:spacing w:after="0" w:line="20" w:lineRule="exact"/>
              <w:rPr>
                <w:sz w:val="1"/>
                <w:szCs w:val="1"/>
                <w:color w:val="auto"/>
              </w:rPr>
            </w:pPr>
          </w:p>
        </w:tc>
        <w:tc>
          <w:tcPr>
            <w:tcW w:w="3800" w:type="dxa"/>
            <w:vAlign w:val="bottom"/>
            <w:gridSpan w:val="7"/>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Statements of Operations for the three and nine months-ended June 30, 2024 and 2023</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F-63</w:t>
            </w:r>
          </w:p>
        </w:tc>
      </w:tr>
      <w:tr>
        <w:trPr>
          <w:trHeight w:val="20"/>
        </w:trPr>
        <w:tc>
          <w:tcPr>
            <w:tcW w:w="20" w:type="dxa"/>
            <w:vAlign w:val="bottom"/>
          </w:tcPr>
          <w:p>
            <w:pPr>
              <w:spacing w:after="0" w:line="20" w:lineRule="exact"/>
              <w:rPr>
                <w:sz w:val="1"/>
                <w:szCs w:val="1"/>
                <w:color w:val="auto"/>
              </w:rPr>
            </w:pPr>
          </w:p>
        </w:tc>
        <w:tc>
          <w:tcPr>
            <w:tcW w:w="3800" w:type="dxa"/>
            <w:vAlign w:val="bottom"/>
            <w:gridSpan w:val="7"/>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48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Condensed Statements of Changes in Stockholders’ Deficit for the three and nine months-ended June 30, 2024 and 2023</w:t>
            </w:r>
          </w:p>
        </w:tc>
        <w:tc>
          <w:tcPr>
            <w:tcW w:w="82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F-64</w:t>
            </w:r>
          </w:p>
        </w:tc>
      </w:tr>
      <w:tr>
        <w:trPr>
          <w:trHeight w:val="196"/>
        </w:trPr>
        <w:tc>
          <w:tcPr>
            <w:tcW w:w="20" w:type="dxa"/>
            <w:vAlign w:val="bottom"/>
          </w:tcPr>
          <w:p>
            <w:pPr>
              <w:spacing w:after="0"/>
              <w:rPr>
                <w:sz w:val="17"/>
                <w:szCs w:val="17"/>
                <w:color w:val="auto"/>
              </w:rPr>
            </w:pPr>
          </w:p>
        </w:tc>
        <w:tc>
          <w:tcPr>
            <w:tcW w:w="72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Condensed Statements of Cash Flows for the nine months ended June 30, 2024 and 2023</w:t>
            </w:r>
          </w:p>
        </w:tc>
        <w:tc>
          <w:tcPr>
            <w:tcW w:w="3100" w:type="dxa"/>
            <w:vAlign w:val="bottom"/>
            <w:gridSpan w:val="9"/>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F-65</w:t>
            </w: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F-66</w:t>
            </w:r>
          </w:p>
        </w:tc>
      </w:tr>
      <w:tr>
        <w:trPr>
          <w:trHeight w:val="434"/>
        </w:trPr>
        <w:tc>
          <w:tcPr>
            <w:tcW w:w="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500" w:type="dxa"/>
            <w:vAlign w:val="bottom"/>
            <w:gridSpan w:val="16"/>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Unaudited Condensed Financial Statements</w:t>
            </w:r>
          </w:p>
        </w:tc>
        <w:tc>
          <w:tcPr>
            <w:tcW w:w="9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40" w:type="dxa"/>
            <w:vAlign w:val="bottom"/>
            <w:gridSpan w:val="19"/>
          </w:tcPr>
          <w:p>
            <w:pPr>
              <w:jc w:val="center"/>
              <w:ind w:right="2000"/>
              <w:spacing w:after="0"/>
              <w:rPr>
                <w:sz w:val="20"/>
                <w:szCs w:val="20"/>
                <w:color w:val="auto"/>
              </w:rPr>
            </w:pPr>
            <w:r>
              <w:rPr>
                <w:rFonts w:ascii="Times New Roman" w:cs="Times New Roman" w:eastAsia="Times New Roman" w:hAnsi="Times New Roman"/>
                <w:sz w:val="18"/>
                <w:szCs w:val="18"/>
                <w:color w:val="auto"/>
                <w:w w:val="99"/>
              </w:rPr>
              <w:t>For the Three and Six Month Periods Ended March 31, 2024</w:t>
            </w:r>
          </w:p>
        </w:tc>
        <w:tc>
          <w:tcPr>
            <w:tcW w:w="92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10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Balance Sheets as of March 31, 2024 and September 30,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F-86</w:t>
            </w:r>
          </w:p>
        </w:tc>
      </w:tr>
      <w:tr>
        <w:trPr>
          <w:trHeight w:val="20"/>
        </w:trPr>
        <w:tc>
          <w:tcPr>
            <w:tcW w:w="20" w:type="dxa"/>
            <w:vAlign w:val="bottom"/>
          </w:tcPr>
          <w:p>
            <w:pPr>
              <w:spacing w:after="0" w:line="20" w:lineRule="exact"/>
              <w:rPr>
                <w:sz w:val="1"/>
                <w:szCs w:val="1"/>
                <w:color w:val="auto"/>
              </w:rPr>
            </w:pPr>
          </w:p>
        </w:tc>
        <w:tc>
          <w:tcPr>
            <w:tcW w:w="6100" w:type="dxa"/>
            <w:vAlign w:val="bottom"/>
            <w:gridSpan w:val="1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Statements of Operations for the three and six months-ended March 31, 2024 and 2023</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F-87</w:t>
            </w:r>
          </w:p>
        </w:tc>
      </w:tr>
      <w:tr>
        <w:trPr>
          <w:trHeight w:val="20"/>
        </w:trPr>
        <w:tc>
          <w:tcPr>
            <w:tcW w:w="20" w:type="dxa"/>
            <w:vAlign w:val="bottom"/>
          </w:tcPr>
          <w:p>
            <w:pPr>
              <w:spacing w:after="0" w:line="20" w:lineRule="exact"/>
              <w:rPr>
                <w:sz w:val="1"/>
                <w:szCs w:val="1"/>
                <w:color w:val="auto"/>
              </w:rPr>
            </w:pPr>
          </w:p>
        </w:tc>
        <w:tc>
          <w:tcPr>
            <w:tcW w:w="7240" w:type="dxa"/>
            <w:vAlign w:val="bottom"/>
            <w:gridSpan w:val="15"/>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52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Condensed Statements of Changes in Stockholders’ Deficit for the three and six months-ended March 31, 2024 and 2023</w:t>
            </w:r>
          </w:p>
        </w:tc>
        <w:tc>
          <w:tcPr>
            <w:tcW w:w="7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F-88</w:t>
            </w:r>
          </w:p>
        </w:tc>
      </w:tr>
      <w:tr>
        <w:trPr>
          <w:trHeight w:val="196"/>
        </w:trPr>
        <w:tc>
          <w:tcPr>
            <w:tcW w:w="20" w:type="dxa"/>
            <w:vAlign w:val="bottom"/>
          </w:tcPr>
          <w:p>
            <w:pPr>
              <w:spacing w:after="0"/>
              <w:rPr>
                <w:sz w:val="17"/>
                <w:szCs w:val="17"/>
                <w:color w:val="auto"/>
              </w:rPr>
            </w:pPr>
          </w:p>
        </w:tc>
        <w:tc>
          <w:tcPr>
            <w:tcW w:w="72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Condensed Statements of Cash Flows for the six months ended March 31, 2024 and 2023</w:t>
            </w:r>
          </w:p>
        </w:tc>
        <w:tc>
          <w:tcPr>
            <w:tcW w:w="3060" w:type="dxa"/>
            <w:vAlign w:val="bottom"/>
            <w:gridSpan w:val="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F-89</w:t>
            </w: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F-90</w:t>
            </w:r>
          </w:p>
        </w:tc>
      </w:tr>
      <w:tr>
        <w:trPr>
          <w:trHeight w:val="668"/>
        </w:trPr>
        <w:tc>
          <w:tcPr>
            <w:tcW w:w="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20" w:type="dxa"/>
            <w:vAlign w:val="bottom"/>
            <w:gridSpan w:val="13"/>
          </w:tcPr>
          <w:p>
            <w:pPr>
              <w:jc w:val="center"/>
              <w:ind w:right="4280"/>
              <w:spacing w:after="0"/>
              <w:rPr>
                <w:sz w:val="20"/>
                <w:szCs w:val="20"/>
                <w:color w:val="auto"/>
              </w:rPr>
            </w:pPr>
            <w:r>
              <w:rPr>
                <w:rFonts w:ascii="Times New Roman" w:cs="Times New Roman" w:eastAsia="Times New Roman" w:hAnsi="Times New Roman"/>
                <w:sz w:val="18"/>
                <w:szCs w:val="18"/>
                <w:color w:val="auto"/>
                <w:w w:val="95"/>
              </w:rPr>
              <w:t>F-1</w:t>
            </w:r>
          </w:p>
        </w:tc>
        <w:tc>
          <w:tcPr>
            <w:tcW w:w="9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3" w:name="page134"/>
    <w:bookmarkEnd w:id="13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the Three Month Periods Ended December 31,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Balance Sheets as of December 31, 2023 (Unaudited) and September 30, 2022</w:t>
            </w:r>
          </w:p>
        </w:tc>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7"/>
              </w:rPr>
              <w:t>F-107</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Operations for the three and nine months ended December 31, 2023 and 2022 (Unaudited)</w:t>
            </w: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F-108</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Changes in Stockholders’ Deficit for the three months ended December 31, 2023 and 2022 (Unaudited)</w:t>
            </w: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F-109</w:t>
            </w:r>
          </w:p>
        </w:tc>
      </w:tr>
      <w:tr>
        <w:trPr>
          <w:trHeight w:val="196"/>
        </w:trPr>
        <w:tc>
          <w:tcPr>
            <w:tcW w:w="20" w:type="dxa"/>
            <w:vAlign w:val="bottom"/>
          </w:tcPr>
          <w:p>
            <w:pPr>
              <w:spacing w:after="0"/>
              <w:rPr>
                <w:sz w:val="17"/>
                <w:szCs w:val="17"/>
                <w:color w:val="auto"/>
              </w:rPr>
            </w:pPr>
          </w:p>
        </w:tc>
        <w:tc>
          <w:tcPr>
            <w:tcW w:w="932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Cash Flows for the nine months ended December 31, 2023 and 2022 (Unaudited)</w:t>
            </w:r>
          </w:p>
        </w:tc>
        <w:tc>
          <w:tcPr>
            <w:tcW w:w="740" w:type="dxa"/>
            <w:vAlign w:val="bottom"/>
          </w:tcPr>
          <w:p>
            <w:pPr>
              <w:spacing w:after="0"/>
              <w:rPr>
                <w:sz w:val="17"/>
                <w:szCs w:val="17"/>
                <w:color w:val="auto"/>
              </w:rPr>
            </w:pP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F-110</w:t>
            </w:r>
          </w:p>
        </w:tc>
      </w:tr>
      <w:tr>
        <w:trPr>
          <w:trHeight w:val="196"/>
        </w:trPr>
        <w:tc>
          <w:tcPr>
            <w:tcW w:w="20" w:type="dxa"/>
            <w:vAlign w:val="bottom"/>
          </w:tcPr>
          <w:p>
            <w:pPr>
              <w:spacing w:after="0"/>
              <w:rPr>
                <w:sz w:val="17"/>
                <w:szCs w:val="17"/>
                <w:color w:val="auto"/>
              </w:rPr>
            </w:pPr>
          </w:p>
        </w:tc>
        <w:tc>
          <w:tcPr>
            <w:tcW w:w="772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2340" w:type="dxa"/>
            <w:vAlign w:val="bottom"/>
            <w:gridSpan w:val="3"/>
          </w:tcPr>
          <w:p>
            <w:pPr>
              <w:spacing w:after="0"/>
              <w:rPr>
                <w:sz w:val="17"/>
                <w:szCs w:val="17"/>
                <w:color w:val="auto"/>
              </w:rPr>
            </w:pP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F-111</w:t>
            </w:r>
          </w:p>
        </w:tc>
      </w:tr>
      <w:tr>
        <w:trPr>
          <w:trHeight w:val="434"/>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40" w:type="dxa"/>
            <w:vAlign w:val="bottom"/>
            <w:gridSpan w:val="5"/>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Financial Statements</w:t>
            </w:r>
          </w:p>
        </w:tc>
        <w:tc>
          <w:tcPr>
            <w:tcW w:w="11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900" w:type="dxa"/>
            <w:vAlign w:val="bottom"/>
            <w:gridSpan w:val="8"/>
          </w:tcPr>
          <w:p>
            <w:pPr>
              <w:jc w:val="center"/>
              <w:ind w:right="1060"/>
              <w:spacing w:after="0"/>
              <w:rPr>
                <w:sz w:val="20"/>
                <w:szCs w:val="20"/>
                <w:color w:val="auto"/>
              </w:rPr>
            </w:pPr>
            <w:r>
              <w:rPr>
                <w:rFonts w:ascii="Times New Roman" w:cs="Times New Roman" w:eastAsia="Times New Roman" w:hAnsi="Times New Roman"/>
                <w:sz w:val="18"/>
                <w:szCs w:val="18"/>
                <w:color w:val="auto"/>
                <w:w w:val="99"/>
              </w:rPr>
              <w:t>For the years ended September 30, 2023 and 2022</w:t>
            </w:r>
          </w:p>
        </w:tc>
        <w:tc>
          <w:tcPr>
            <w:tcW w:w="116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ID#688)</w:t>
            </w:r>
          </w:p>
        </w:tc>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7"/>
              </w:rPr>
              <w:t>F-128</w:t>
            </w:r>
          </w:p>
        </w:tc>
      </w:tr>
      <w:tr>
        <w:trPr>
          <w:trHeight w:val="196"/>
        </w:trPr>
        <w:tc>
          <w:tcPr>
            <w:tcW w:w="20" w:type="dxa"/>
            <w:vAlign w:val="bottom"/>
          </w:tcPr>
          <w:p>
            <w:pPr>
              <w:spacing w:after="0"/>
              <w:rPr>
                <w:sz w:val="17"/>
                <w:szCs w:val="17"/>
                <w:color w:val="auto"/>
              </w:rPr>
            </w:pPr>
          </w:p>
        </w:tc>
        <w:tc>
          <w:tcPr>
            <w:tcW w:w="11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Balance Sheets</w:t>
            </w:r>
          </w:p>
        </w:tc>
        <w:tc>
          <w:tcPr>
            <w:tcW w:w="3120" w:type="dxa"/>
            <w:vAlign w:val="bottom"/>
            <w:tcBorders>
              <w:top w:val="single" w:sz="8" w:color="0000FF"/>
            </w:tcBorders>
            <w:gridSpan w:val="6"/>
          </w:tcPr>
          <w:p>
            <w:pPr>
              <w:spacing w:after="0"/>
              <w:rPr>
                <w:sz w:val="17"/>
                <w:szCs w:val="17"/>
                <w:color w:val="auto"/>
              </w:rPr>
            </w:pPr>
          </w:p>
        </w:tc>
        <w:tc>
          <w:tcPr>
            <w:tcW w:w="5840" w:type="dxa"/>
            <w:vAlign w:val="bottom"/>
            <w:gridSpan w:val="5"/>
          </w:tcPr>
          <w:p>
            <w:pPr>
              <w:spacing w:after="0"/>
              <w:rPr>
                <w:sz w:val="17"/>
                <w:szCs w:val="17"/>
                <w:color w:val="auto"/>
              </w:rPr>
            </w:pP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F-129</w:t>
            </w:r>
          </w:p>
        </w:tc>
      </w:tr>
      <w:tr>
        <w:trPr>
          <w:trHeight w:val="196"/>
        </w:trPr>
        <w:tc>
          <w:tcPr>
            <w:tcW w:w="2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Statements of Operations</w:t>
            </w: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F-130</w:t>
            </w:r>
          </w:p>
        </w:tc>
      </w:tr>
      <w:tr>
        <w:trPr>
          <w:trHeight w:val="20"/>
        </w:trPr>
        <w:tc>
          <w:tcPr>
            <w:tcW w:w="2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00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Statements of Changes in Stockholders’ Equity (Deficit)</w:t>
            </w: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F-131</w:t>
            </w:r>
          </w:p>
        </w:tc>
      </w:tr>
      <w:tr>
        <w:trPr>
          <w:trHeight w:val="196"/>
        </w:trPr>
        <w:tc>
          <w:tcPr>
            <w:tcW w:w="20" w:type="dxa"/>
            <w:vAlign w:val="bottom"/>
          </w:tcPr>
          <w:p>
            <w:pPr>
              <w:spacing w:after="0"/>
              <w:rPr>
                <w:sz w:val="17"/>
                <w:szCs w:val="17"/>
                <w:color w:val="auto"/>
              </w:rPr>
            </w:pPr>
          </w:p>
        </w:tc>
        <w:tc>
          <w:tcPr>
            <w:tcW w:w="188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Statements of Cash Flows</w:t>
            </w:r>
          </w:p>
        </w:tc>
        <w:tc>
          <w:tcPr>
            <w:tcW w:w="2180" w:type="dxa"/>
            <w:vAlign w:val="bottom"/>
            <w:tcBorders>
              <w:top w:val="single" w:sz="8" w:color="0000FF"/>
            </w:tcBorders>
            <w:gridSpan w:val="3"/>
          </w:tcPr>
          <w:p>
            <w:pPr>
              <w:spacing w:after="0"/>
              <w:rPr>
                <w:sz w:val="17"/>
                <w:szCs w:val="17"/>
                <w:color w:val="auto"/>
              </w:rPr>
            </w:pPr>
          </w:p>
        </w:tc>
        <w:tc>
          <w:tcPr>
            <w:tcW w:w="6000" w:type="dxa"/>
            <w:vAlign w:val="bottom"/>
            <w:gridSpan w:val="6"/>
          </w:tcPr>
          <w:p>
            <w:pPr>
              <w:spacing w:after="0"/>
              <w:rPr>
                <w:sz w:val="17"/>
                <w:szCs w:val="17"/>
                <w:color w:val="auto"/>
              </w:rPr>
            </w:pP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F-132</w:t>
            </w:r>
          </w:p>
        </w:tc>
      </w:tr>
      <w:tr>
        <w:trPr>
          <w:trHeight w:val="196"/>
        </w:trPr>
        <w:tc>
          <w:tcPr>
            <w:tcW w:w="2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F-133</w:t>
            </w:r>
          </w:p>
        </w:tc>
      </w:tr>
      <w:tr>
        <w:trPr>
          <w:trHeight w:val="668"/>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4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F-2</w:t>
            </w:r>
          </w:p>
        </w:tc>
        <w:tc>
          <w:tcPr>
            <w:tcW w:w="11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Carve-out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3"/>
                <w:szCs w:val="13"/>
                <w:color w:val="auto"/>
              </w:rPr>
            </w:pPr>
          </w:p>
        </w:tc>
        <w:tc>
          <w:tcPr>
            <w:tcW w:w="20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2"/>
        </w:trPr>
        <w:tc>
          <w:tcPr>
            <w:tcW w:w="70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70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2"/>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r>
      <w:tr>
        <w:trPr>
          <w:trHeight w:val="209"/>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100" w:type="dxa"/>
            <w:vAlign w:val="bottom"/>
          </w:tcPr>
          <w:p>
            <w:pPr>
              <w:spacing w:after="0"/>
              <w:rPr>
                <w:sz w:val="18"/>
                <w:szCs w:val="18"/>
                <w:color w:val="auto"/>
              </w:rPr>
            </w:pPr>
          </w:p>
        </w:tc>
      </w:tr>
      <w:tr>
        <w:trPr>
          <w:trHeight w:val="216"/>
        </w:trPr>
        <w:tc>
          <w:tcPr>
            <w:tcW w:w="7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430,691</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502,423</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321,988</w:t>
            </w:r>
          </w:p>
        </w:tc>
        <w:tc>
          <w:tcPr>
            <w:tcW w:w="100" w:type="dxa"/>
            <w:vAlign w:val="bottom"/>
          </w:tcPr>
          <w:p>
            <w:pPr>
              <w:spacing w:after="0"/>
              <w:rPr>
                <w:sz w:val="18"/>
                <w:szCs w:val="18"/>
                <w:color w:val="auto"/>
              </w:rPr>
            </w:pPr>
          </w:p>
        </w:tc>
      </w:tr>
      <w:tr>
        <w:trPr>
          <w:trHeight w:val="209"/>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61,542</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79,593</w:t>
            </w:r>
          </w:p>
        </w:tc>
        <w:tc>
          <w:tcPr>
            <w:tcW w:w="100" w:type="dxa"/>
            <w:vAlign w:val="bottom"/>
          </w:tcPr>
          <w:p>
            <w:pPr>
              <w:spacing w:after="0"/>
              <w:rPr>
                <w:sz w:val="18"/>
                <w:szCs w:val="18"/>
                <w:color w:val="auto"/>
              </w:rPr>
            </w:pPr>
          </w:p>
        </w:tc>
      </w:tr>
      <w:tr>
        <w:trPr>
          <w:trHeight w:val="216"/>
        </w:trPr>
        <w:tc>
          <w:tcPr>
            <w:tcW w:w="7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3,396,489</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2,134,903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3,458,031</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2,214,496</w:t>
            </w:r>
          </w:p>
        </w:tc>
        <w:tc>
          <w:tcPr>
            <w:tcW w:w="100" w:type="dxa"/>
            <w:vAlign w:val="bottom"/>
          </w:tcPr>
          <w:p>
            <w:pPr>
              <w:spacing w:after="0"/>
              <w:rPr>
                <w:sz w:val="18"/>
                <w:szCs w:val="18"/>
                <w:color w:val="auto"/>
              </w:rPr>
            </w:pPr>
          </w:p>
        </w:tc>
      </w:tr>
      <w:tr>
        <w:trPr>
          <w:trHeight w:val="217"/>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3,960,454</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2,536,484</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4,055,537</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4,569,703</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Due to related party</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1,093,471</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777,576</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4,708,590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4,492,790</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Ordinary shares payable</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10,236,655</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Short term debt to related party</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860,778</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1,383,298</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Promissory loan note</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437,956</w:t>
            </w:r>
          </w:p>
        </w:tc>
        <w:tc>
          <w:tcPr>
            <w:tcW w:w="2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debt (current)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00" w:type="dxa"/>
            <w:vAlign w:val="bottom"/>
          </w:tcPr>
          <w:p>
            <w:pPr>
              <w:spacing w:after="0"/>
              <w:rPr>
                <w:sz w:val="18"/>
                <w:szCs w:val="18"/>
                <w:color w:val="auto"/>
              </w:rPr>
            </w:pPr>
          </w:p>
        </w:tc>
      </w:tr>
      <w:tr>
        <w:trPr>
          <w:trHeight w:val="210"/>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22,776,285</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56,821,368</w:t>
            </w:r>
          </w:p>
        </w:tc>
        <w:tc>
          <w:tcPr>
            <w:tcW w:w="100" w:type="dxa"/>
            <w:vAlign w:val="bottom"/>
            <w:shd w:val="clear" w:color="auto" w:fill="CFF0FC"/>
          </w:tcPr>
          <w:p>
            <w:pPr>
              <w:spacing w:after="0"/>
              <w:rPr>
                <w:sz w:val="18"/>
                <w:szCs w:val="18"/>
                <w:color w:val="auto"/>
              </w:rPr>
            </w:pPr>
          </w:p>
        </w:tc>
      </w:tr>
      <w:tr>
        <w:trPr>
          <w:trHeight w:val="209"/>
        </w:trPr>
        <w:tc>
          <w:tcPr>
            <w:tcW w:w="7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Convertible debt </w:t>
            </w:r>
            <w:r>
              <w:rPr>
                <w:rFonts w:ascii="Times New Roman" w:cs="Times New Roman" w:eastAsia="Times New Roman" w:hAnsi="Times New Roman"/>
                <w:sz w:val="18"/>
                <w:szCs w:val="18"/>
                <w:i w:val="1"/>
                <w:iCs w:val="1"/>
                <w:color w:val="auto"/>
              </w:rPr>
              <w:t>(includes related party balances of $6,291,581)</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38,737,594</w:t>
            </w:r>
          </w:p>
        </w:tc>
        <w:tc>
          <w:tcPr>
            <w:tcW w:w="2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Convertible promissory notes </w:t>
            </w:r>
            <w:r>
              <w:rPr>
                <w:rFonts w:ascii="Times New Roman" w:cs="Times New Roman" w:eastAsia="Times New Roman" w:hAnsi="Times New Roman"/>
                <w:sz w:val="18"/>
                <w:szCs w:val="18"/>
                <w:i w:val="1"/>
                <w:iCs w:val="1"/>
                <w:color w:val="auto"/>
              </w:rPr>
              <w:t>(includes related party balances of $1,565,007)</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5,395,702</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7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44,133,296</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66,909,581</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56,821,368</w:t>
            </w:r>
          </w:p>
        </w:tc>
        <w:tc>
          <w:tcPr>
            <w:tcW w:w="100" w:type="dxa"/>
            <w:vAlign w:val="bottom"/>
          </w:tcPr>
          <w:p>
            <w:pPr>
              <w:spacing w:after="0"/>
              <w:rPr>
                <w:sz w:val="18"/>
                <w:szCs w:val="18"/>
                <w:color w:val="auto"/>
              </w:rPr>
            </w:pPr>
          </w:p>
        </w:tc>
      </w:tr>
      <w:tr>
        <w:trPr>
          <w:trHeight w:val="216"/>
        </w:trPr>
        <w:tc>
          <w:tcPr>
            <w:tcW w:w="7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-3402330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-2836545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-2545080</wp:posOffset>
            </wp:positionV>
            <wp:extent cx="6858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-873760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-307975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-16510</wp:posOffset>
            </wp:positionV>
            <wp:extent cx="6858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wp:posOffset>
            </wp:positionV>
            <wp:extent cx="6858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interim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Carve-out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8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75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920" w:type="dxa"/>
            <w:vAlign w:val="bottom"/>
            <w:gridSpan w:val="2"/>
          </w:tcPr>
          <w:p>
            <w:pPr>
              <w:jc w:val="right"/>
              <w:ind w:right="595"/>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r>
      <w:tr>
        <w:trPr>
          <w:trHeight w:val="173"/>
        </w:trPr>
        <w:tc>
          <w:tcPr>
            <w:tcW w:w="756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920" w:type="dxa"/>
            <w:vAlign w:val="bottom"/>
            <w:gridSpan w:val="2"/>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198"/>
        </w:trPr>
        <w:tc>
          <w:tcPr>
            <w:tcW w:w="7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nominal value 932,997,081 issued and outstanding as</w:t>
            </w: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June 30, 2024 932,969,424 issued and outstanding as of December 31, 2023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127,313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127,310</w:t>
            </w:r>
          </w:p>
        </w:tc>
        <w:tc>
          <w:tcPr>
            <w:tcW w:w="140" w:type="dxa"/>
            <w:vAlign w:val="bottom"/>
          </w:tcPr>
          <w:p>
            <w:pPr>
              <w:spacing w:after="0"/>
              <w:rPr>
                <w:sz w:val="20"/>
                <w:szCs w:val="20"/>
                <w:color w:val="auto"/>
              </w:rPr>
            </w:pPr>
          </w:p>
        </w:tc>
      </w:tr>
      <w:tr>
        <w:trPr>
          <w:trHeight w:val="216"/>
        </w:trPr>
        <w:tc>
          <w:tcPr>
            <w:tcW w:w="7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Series stock series A, £0.0001 nominal value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176,274,941</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172,204,832</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 subscription receivable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(178,720)</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(178,720)</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(239,133,876)</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(226,291,430)</w:t>
            </w:r>
          </w:p>
        </w:tc>
        <w:tc>
          <w:tcPr>
            <w:tcW w:w="14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(42,653)</w:t>
            </w:r>
          </w:p>
        </w:tc>
        <w:tc>
          <w:tcPr>
            <w:tcW w:w="26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(150,744)</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(62,949,127)</w:t>
            </w:r>
          </w:p>
        </w:tc>
        <w:tc>
          <w:tcPr>
            <w:tcW w:w="26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(54,284,884)</w:t>
            </w:r>
          </w:p>
        </w:tc>
        <w:tc>
          <w:tcPr>
            <w:tcW w:w="140" w:type="dxa"/>
            <w:vAlign w:val="bottom"/>
          </w:tcPr>
          <w:p>
            <w:pPr>
              <w:spacing w:after="0"/>
              <w:rPr>
                <w:sz w:val="18"/>
                <w:szCs w:val="18"/>
                <w:color w:val="auto"/>
              </w:rPr>
            </w:pPr>
          </w:p>
        </w:tc>
      </w:tr>
      <w:tr>
        <w:trPr>
          <w:trHeight w:val="250"/>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3,960,454</w:t>
            </w:r>
          </w:p>
        </w:tc>
        <w:tc>
          <w:tcPr>
            <w:tcW w:w="26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2,536,484</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-1424940</wp:posOffset>
            </wp:positionV>
            <wp:extent cx="85725" cy="114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-1424940</wp:posOffset>
            </wp:positionV>
            <wp:extent cx="85725" cy="114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-319405</wp:posOffset>
            </wp:positionV>
            <wp:extent cx="85725" cy="114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-319405</wp:posOffset>
            </wp:positionV>
            <wp:extent cx="85725" cy="114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-173355</wp:posOffset>
            </wp:positionV>
            <wp:extent cx="85725" cy="114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-173355</wp:posOffset>
            </wp:positionV>
            <wp:extent cx="85725" cy="114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interim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Carve-out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90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780" w:type="dxa"/>
            <w:vAlign w:val="bottom"/>
            <w:gridSpan w:val="2"/>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780" w:type="dxa"/>
            <w:vAlign w:val="bottom"/>
            <w:gridSpan w:val="2"/>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90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780" w:type="dxa"/>
            <w:vAlign w:val="bottom"/>
            <w:gridSpan w:val="2"/>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73"/>
        </w:trPr>
        <w:tc>
          <w:tcPr>
            <w:tcW w:w="756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53,399</w:t>
            </w:r>
          </w:p>
        </w:tc>
        <w:tc>
          <w:tcPr>
            <w:tcW w:w="2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color w:val="auto"/>
              </w:rPr>
              <w:t xml:space="preserve">Sales and marketing expenses </w:t>
            </w:r>
            <w:r>
              <w:rPr>
                <w:rFonts w:ascii="Times New Roman" w:cs="Times New Roman" w:eastAsia="Times New Roman" w:hAnsi="Times New Roman"/>
                <w:sz w:val="18"/>
                <w:szCs w:val="18"/>
                <w:i w:val="1"/>
                <w:iCs w:val="1"/>
                <w:color w:val="auto"/>
              </w:rPr>
              <w:t>(includes related party transactions of</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1,370,214 and 1,361,168, refer to Note 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1,431,430</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560" w:type="dxa"/>
            <w:vAlign w:val="bottom"/>
            <w:shd w:val="clear" w:color="auto" w:fill="CFF0FC"/>
          </w:tcPr>
          <w:p>
            <w:pPr>
              <w:ind w:left="180"/>
              <w:spacing w:after="0" w:line="195" w:lineRule="exact"/>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18"/>
                <w:szCs w:val="18"/>
                <w:i w:val="1"/>
                <w:iCs w:val="1"/>
                <w:color w:val="auto"/>
              </w:rPr>
              <w:t>(includes related party transactions of</w:t>
            </w: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i w:val="1"/>
                <w:iCs w:val="1"/>
                <w:color w:val="auto"/>
              </w:rPr>
              <w:t>5,754,682 and 1,733,938, refer to Note 8)</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8,066,209</w:t>
            </w:r>
          </w:p>
        </w:tc>
        <w:tc>
          <w:tcPr>
            <w:tcW w:w="22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8,743,377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costs and expenses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84,500</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9,719,157</w:t>
            </w:r>
          </w:p>
        </w:tc>
        <w:tc>
          <w:tcPr>
            <w:tcW w:w="22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14,376,233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(9,665,758 )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(14,329,469 )</w:t>
            </w:r>
          </w:p>
        </w:tc>
        <w:tc>
          <w:tcPr>
            <w:tcW w:w="0" w:type="dxa"/>
            <w:vAlign w:val="bottom"/>
          </w:tcPr>
          <w:p>
            <w:pPr>
              <w:spacing w:after="0"/>
              <w:rPr>
                <w:sz w:val="1"/>
                <w:szCs w:val="1"/>
                <w:color w:val="auto"/>
              </w:rPr>
            </w:pPr>
          </w:p>
        </w:tc>
      </w:tr>
      <w:tr>
        <w:trPr>
          <w:trHeight w:val="210"/>
        </w:trPr>
        <w:tc>
          <w:tcPr>
            <w:tcW w:w="7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 / income</w:t>
            </w:r>
          </w:p>
        </w:tc>
        <w:tc>
          <w:tcPr>
            <w:tcW w:w="16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(3,009,002 )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(3,054,946 )</w:t>
            </w:r>
          </w:p>
        </w:tc>
        <w:tc>
          <w:tcPr>
            <w:tcW w:w="0" w:type="dxa"/>
            <w:vAlign w:val="bottom"/>
          </w:tcPr>
          <w:p>
            <w:pPr>
              <w:spacing w:after="0"/>
              <w:rPr>
                <w:sz w:val="1"/>
                <w:szCs w:val="1"/>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expense, net</w:t>
            </w: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(107,816 )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(3,116,818 )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(2,883,195 )</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(12,782,576 )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(17,212,664 )</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(59,870 )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(63,408 )</w:t>
            </w:r>
          </w:p>
        </w:tc>
        <w:tc>
          <w:tcPr>
            <w:tcW w:w="0" w:type="dxa"/>
            <w:vAlign w:val="bottom"/>
          </w:tcPr>
          <w:p>
            <w:pPr>
              <w:spacing w:after="0"/>
              <w:rPr>
                <w:sz w:val="1"/>
                <w:szCs w:val="1"/>
                <w:color w:val="auto"/>
              </w:rPr>
            </w:pP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(12,842,446</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(17,276,072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(0.01 )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0" w:type="dxa"/>
            <w:vAlign w:val="bottom"/>
          </w:tcPr>
          <w:p>
            <w:pPr>
              <w:spacing w:after="0"/>
              <w:rPr>
                <w:sz w:val="1"/>
                <w:szCs w:val="1"/>
                <w:color w:val="auto"/>
              </w:rPr>
            </w:pP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927,893,144</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922,013,028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-2685415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-2685415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-1579880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-1288415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-722630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-452120</wp:posOffset>
            </wp:positionV>
            <wp:extent cx="93980" cy="1797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-452120</wp:posOffset>
            </wp:positionV>
            <wp:extent cx="93980" cy="1797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interim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right="51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Condensed Interim Carve-out Consolidated Statements of Comprehensive Loss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9"/>
        </w:trPr>
        <w:tc>
          <w:tcPr>
            <w:tcW w:w="40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2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(12,842,446 )</w:t>
            </w:r>
          </w:p>
        </w:tc>
        <w:tc>
          <w:tcPr>
            <w:tcW w:w="1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(17,276,072 )</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32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108,091</w:t>
            </w:r>
          </w:p>
        </w:tc>
        <w:tc>
          <w:tcPr>
            <w:tcW w:w="32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280" w:type="dxa"/>
            <w:vAlign w:val="bottom"/>
          </w:tcPr>
          <w:p>
            <w:pPr>
              <w:spacing w:after="0"/>
              <w:rPr>
                <w:sz w:val="18"/>
                <w:szCs w:val="18"/>
                <w:color w:val="auto"/>
              </w:rPr>
            </w:pPr>
          </w:p>
        </w:tc>
        <w:tc>
          <w:tcPr>
            <w:tcW w:w="2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(12,734,355 )</w:t>
            </w: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(17,273,171 )</w:t>
            </w:r>
          </w:p>
        </w:tc>
        <w:tc>
          <w:tcPr>
            <w:tcW w:w="0" w:type="dxa"/>
            <w:vAlign w:val="bottom"/>
          </w:tcPr>
          <w:p>
            <w:pPr>
              <w:spacing w:after="0"/>
              <w:rPr>
                <w:sz w:val="1"/>
                <w:szCs w:val="1"/>
                <w:color w:val="auto"/>
              </w:rPr>
            </w:pPr>
          </w:p>
        </w:tc>
      </w:tr>
      <w:tr>
        <w:trPr>
          <w:trHeight w:val="648"/>
        </w:trPr>
        <w:tc>
          <w:tcPr>
            <w:tcW w:w="4080" w:type="dxa"/>
            <w:vAlign w:val="bottom"/>
          </w:tcPr>
          <w:p>
            <w:pPr>
              <w:spacing w:after="0"/>
              <w:rPr>
                <w:sz w:val="24"/>
                <w:szCs w:val="24"/>
                <w:color w:val="auto"/>
              </w:rPr>
            </w:pPr>
          </w:p>
        </w:tc>
        <w:tc>
          <w:tcPr>
            <w:tcW w:w="32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F-6</w:t>
            </w:r>
          </w:p>
        </w:tc>
        <w:tc>
          <w:tcPr>
            <w:tcW w:w="1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-1071245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-1071245</wp:posOffset>
            </wp:positionV>
            <wp:extent cx="939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Carve-out Consolidated Statements of Changes in Stockholders’ Deficit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82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14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Series A Shares</w:t>
            </w:r>
          </w:p>
        </w:tc>
        <w:tc>
          <w:tcPr>
            <w:tcW w:w="0" w:type="dxa"/>
            <w:vAlign w:val="bottom"/>
          </w:tcPr>
          <w:p>
            <w:pPr>
              <w:spacing w:after="0"/>
              <w:rPr>
                <w:sz w:val="1"/>
                <w:szCs w:val="1"/>
                <w:color w:val="auto"/>
              </w:rPr>
            </w:pPr>
          </w:p>
        </w:tc>
      </w:tr>
      <w:tr>
        <w:trPr>
          <w:trHeight w:val="128"/>
        </w:trPr>
        <w:tc>
          <w:tcPr>
            <w:tcW w:w="1820" w:type="dxa"/>
            <w:vAlign w:val="bottom"/>
          </w:tcPr>
          <w:p>
            <w:pPr>
              <w:spacing w:after="0"/>
              <w:rPr>
                <w:sz w:val="11"/>
                <w:szCs w:val="11"/>
                <w:color w:val="auto"/>
              </w:rPr>
            </w:pPr>
          </w:p>
        </w:tc>
        <w:tc>
          <w:tcPr>
            <w:tcW w:w="76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60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2"/>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at January 1,</w:t>
            </w:r>
          </w:p>
        </w:tc>
        <w:tc>
          <w:tcPr>
            <w:tcW w:w="7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8"/>
        </w:trPr>
        <w:tc>
          <w:tcPr>
            <w:tcW w:w="1820" w:type="dxa"/>
            <w:vAlign w:val="bottom"/>
            <w:vMerge w:val="continue"/>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927,806,159</w:t>
            </w:r>
          </w:p>
        </w:tc>
        <w:tc>
          <w:tcPr>
            <w:tcW w:w="86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126,677</w:t>
            </w:r>
          </w:p>
        </w:tc>
        <w:tc>
          <w:tcPr>
            <w:tcW w:w="24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28,039,51</w:t>
            </w:r>
          </w:p>
        </w:tc>
        <w:tc>
          <w:tcPr>
            <w:tcW w:w="24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3,868</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Common stock issued to</w:t>
            </w:r>
          </w:p>
        </w:tc>
        <w:tc>
          <w:tcPr>
            <w:tcW w:w="76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163,265</w:t>
            </w:r>
          </w:p>
        </w:tc>
        <w:tc>
          <w:tcPr>
            <w:tcW w:w="240" w:type="dxa"/>
            <w:vAlign w:val="bottom"/>
          </w:tcPr>
          <w:p>
            <w:pPr>
              <w:spacing w:after="0"/>
              <w:rPr>
                <w:sz w:val="11"/>
                <w:szCs w:val="11"/>
                <w:color w:val="auto"/>
              </w:rPr>
            </w:pPr>
          </w:p>
        </w:tc>
        <w:tc>
          <w:tcPr>
            <w:tcW w:w="62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3"/>
        </w:trPr>
        <w:tc>
          <w:tcPr>
            <w:tcW w:w="182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related</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parties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issued from</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the</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to</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related parties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Employee share-based</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8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gain</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at June 30,</w:t>
            </w:r>
          </w:p>
        </w:tc>
        <w:tc>
          <w:tcPr>
            <w:tcW w:w="7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932,969,424</w:t>
            </w:r>
          </w:p>
        </w:tc>
        <w:tc>
          <w:tcPr>
            <w:tcW w:w="24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127,310</w:t>
            </w:r>
          </w:p>
        </w:tc>
        <w:tc>
          <w:tcPr>
            <w:tcW w:w="24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28,039,51</w:t>
            </w:r>
          </w:p>
        </w:tc>
        <w:tc>
          <w:tcPr>
            <w:tcW w:w="24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3,868</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at January 1,</w:t>
            </w:r>
          </w:p>
        </w:tc>
        <w:tc>
          <w:tcPr>
            <w:tcW w:w="760" w:type="dxa"/>
            <w:vAlign w:val="bottom"/>
            <w:tcBorders>
              <w:top w:val="single" w:sz="8" w:color="auto"/>
              <w:bottom w:val="single" w:sz="8" w:color="auto"/>
            </w:tcBorders>
          </w:tcPr>
          <w:p>
            <w:pPr>
              <w:spacing w:after="0"/>
              <w:rPr>
                <w:sz w:val="12"/>
                <w:szCs w:val="12"/>
                <w:color w:val="auto"/>
              </w:rPr>
            </w:pPr>
          </w:p>
        </w:tc>
        <w:tc>
          <w:tcPr>
            <w:tcW w:w="240" w:type="dxa"/>
            <w:vAlign w:val="bottom"/>
            <w:vMerge w:val="restart"/>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40" w:type="dxa"/>
            <w:vAlign w:val="bottom"/>
            <w:vMerge w:val="restart"/>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vMerge w:val="restart"/>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20" w:type="dxa"/>
            <w:vAlign w:val="bottom"/>
            <w:vMerge w:val="continue"/>
          </w:tcPr>
          <w:p>
            <w:pPr>
              <w:spacing w:after="0"/>
              <w:rPr>
                <w:sz w:val="10"/>
                <w:szCs w:val="10"/>
                <w:color w:val="auto"/>
              </w:rPr>
            </w:pPr>
          </w:p>
        </w:tc>
        <w:tc>
          <w:tcPr>
            <w:tcW w:w="7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932,969,424</w:t>
            </w:r>
          </w:p>
        </w:tc>
        <w:tc>
          <w:tcPr>
            <w:tcW w:w="240" w:type="dxa"/>
            <w:vAlign w:val="bottom"/>
            <w:vMerge w:val="continue"/>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127,310</w:t>
            </w:r>
          </w:p>
        </w:tc>
        <w:tc>
          <w:tcPr>
            <w:tcW w:w="240" w:type="dxa"/>
            <w:vAlign w:val="bottom"/>
            <w:vMerge w:val="continue"/>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28,039,51</w:t>
            </w:r>
          </w:p>
        </w:tc>
        <w:tc>
          <w:tcPr>
            <w:tcW w:w="240" w:type="dxa"/>
            <w:vAlign w:val="bottom"/>
            <w:vMerge w:val="continue"/>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3,868</w:t>
            </w:r>
          </w:p>
        </w:tc>
        <w:tc>
          <w:tcPr>
            <w:tcW w:w="0" w:type="dxa"/>
            <w:vAlign w:val="bottom"/>
          </w:tcPr>
          <w:p>
            <w:pPr>
              <w:spacing w:after="0"/>
              <w:rPr>
                <w:sz w:val="1"/>
                <w:szCs w:val="1"/>
                <w:color w:val="auto"/>
              </w:rPr>
            </w:pPr>
          </w:p>
        </w:tc>
      </w:tr>
      <w:tr>
        <w:trPr>
          <w:trHeight w:val="173"/>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issued</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27,757</w:t>
            </w:r>
          </w:p>
        </w:tc>
        <w:tc>
          <w:tcPr>
            <w:tcW w:w="24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60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62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Warrants issued with loan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related parties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Employee share-based</w:t>
            </w: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20" w:type="dxa"/>
            <w:vAlign w:val="bottom"/>
          </w:tcPr>
          <w:p>
            <w:pPr>
              <w:ind w:left="100"/>
              <w:spacing w:after="0" w:line="133" w:lineRule="exact"/>
              <w:rPr>
                <w:sz w:val="20"/>
                <w:szCs w:val="20"/>
                <w:color w:val="auto"/>
              </w:rPr>
            </w:pPr>
            <w:r>
              <w:rPr>
                <w:rFonts w:ascii="Times New Roman" w:cs="Times New Roman" w:eastAsia="Times New Roman" w:hAnsi="Times New Roman"/>
                <w:sz w:val="14"/>
                <w:szCs w:val="14"/>
                <w:color w:val="auto"/>
              </w:rPr>
              <w:t>compensation</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5"/>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8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gain</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at June 30,</w:t>
            </w:r>
          </w:p>
        </w:tc>
        <w:tc>
          <w:tcPr>
            <w:tcW w:w="7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932,997,181</w:t>
            </w:r>
          </w:p>
        </w:tc>
        <w:tc>
          <w:tcPr>
            <w:tcW w:w="24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127,313</w:t>
            </w:r>
          </w:p>
        </w:tc>
        <w:tc>
          <w:tcPr>
            <w:tcW w:w="24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28,039,51</w:t>
            </w:r>
          </w:p>
        </w:tc>
        <w:tc>
          <w:tcPr>
            <w:tcW w:w="24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3,868</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2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18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4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4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48"/>
        </w:trPr>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capital</w:t>
            </w:r>
          </w:p>
        </w:tc>
        <w:tc>
          <w:tcPr>
            <w:tcW w:w="124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4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w:t>
            </w:r>
          </w:p>
        </w:tc>
        <w:tc>
          <w:tcPr>
            <w:tcW w:w="124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5"/>
                <w:szCs w:val="15"/>
                <w:color w:val="auto"/>
              </w:rPr>
            </w:pPr>
          </w:p>
        </w:tc>
        <w:tc>
          <w:tcPr>
            <w:tcW w:w="124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5"/>
                <w:szCs w:val="15"/>
                <w:color w:val="auto"/>
              </w:rPr>
            </w:pPr>
          </w:p>
        </w:tc>
        <w:tc>
          <w:tcPr>
            <w:tcW w:w="800" w:type="dxa"/>
            <w:vAlign w:val="bottom"/>
          </w:tcPr>
          <w:p>
            <w:pPr>
              <w:jc w:val="right"/>
              <w:ind w:right="287"/>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163,165,083</w:t>
            </w:r>
          </w:p>
        </w:tc>
        <w:tc>
          <w:tcPr>
            <w:tcW w:w="22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(195,555,332</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(81,179</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(32,519,603</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20"/>
        </w:trPr>
        <w:tc>
          <w:tcPr>
            <w:tcW w:w="9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vMerge w:val="restart"/>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vMerge w:val="restart"/>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vMerge w:val="restart"/>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199,954</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(613 )</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5"/>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115,190</w:t>
            </w:r>
          </w:p>
        </w:tc>
        <w:tc>
          <w:tcPr>
            <w:tcW w:w="220" w:type="dxa"/>
            <w:vAlign w:val="bottom"/>
          </w:tcPr>
          <w:p>
            <w:pPr>
              <w:spacing w:after="0"/>
              <w:rPr>
                <w:sz w:val="24"/>
                <w:szCs w:val="24"/>
                <w:color w:val="auto"/>
              </w:rPr>
            </w:pP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4,880,389</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4,880,389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(17,276,072 )</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(17,276,072 )</w:t>
            </w:r>
          </w:p>
        </w:tc>
        <w:tc>
          <w:tcPr>
            <w:tcW w:w="0" w:type="dxa"/>
            <w:vAlign w:val="bottom"/>
          </w:tcPr>
          <w:p>
            <w:pPr>
              <w:spacing w:after="0"/>
              <w:rPr>
                <w:sz w:val="1"/>
                <w:szCs w:val="1"/>
                <w:color w:val="auto"/>
              </w:rPr>
            </w:pPr>
          </w:p>
        </w:tc>
      </w:tr>
      <w:tr>
        <w:trPr>
          <w:trHeight w:val="239"/>
        </w:trPr>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bottom w:val="single" w:sz="8" w:color="auto"/>
            </w:tcBorders>
          </w:tcPr>
          <w:p>
            <w:pPr>
              <w:spacing w:after="0"/>
              <w:rPr>
                <w:sz w:val="5"/>
                <w:szCs w:val="5"/>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bottom w:val="single" w:sz="8" w:color="auto"/>
            </w:tcBorders>
          </w:tcPr>
          <w:p>
            <w:pPr>
              <w:spacing w:after="0"/>
              <w:rPr>
                <w:sz w:val="5"/>
                <w:szCs w:val="5"/>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800" w:type="dxa"/>
            <w:vAlign w:val="bottom"/>
            <w:tcBorders>
              <w:bottom w:val="single" w:sz="8" w:color="auto"/>
            </w:tcBorders>
          </w:tcPr>
          <w:p>
            <w:pPr>
              <w:spacing w:after="0"/>
              <w:rPr>
                <w:sz w:val="5"/>
                <w:szCs w:val="5"/>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168,360,003</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(212,831,404</w:t>
            </w:r>
          </w:p>
        </w:tc>
        <w:tc>
          <w:tcPr>
            <w:tcW w:w="220" w:type="dxa"/>
            <w:vAlign w:val="bottom"/>
            <w:vMerge w:val="continue"/>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220" w:type="dxa"/>
            <w:vAlign w:val="bottom"/>
            <w:vMerge w:val="continue"/>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(78,278</w:t>
            </w:r>
          </w:p>
        </w:tc>
        <w:tc>
          <w:tcPr>
            <w:tcW w:w="220" w:type="dxa"/>
            <w:vAlign w:val="bottom"/>
            <w:vMerge w:val="continue"/>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(44,597,221</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tcPr>
          <w:p>
            <w:pPr>
              <w:spacing w:after="0"/>
              <w:rPr>
                <w:sz w:val="9"/>
                <w:szCs w:val="9"/>
                <w:color w:val="auto"/>
              </w:rPr>
            </w:pPr>
          </w:p>
        </w:tc>
        <w:tc>
          <w:tcPr>
            <w:tcW w:w="12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96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bottom w:val="single" w:sz="8" w:color="auto"/>
            </w:tcBorders>
          </w:tcPr>
          <w:p>
            <w:pPr>
              <w:spacing w:after="0"/>
              <w:rPr>
                <w:sz w:val="12"/>
                <w:szCs w:val="1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172,204,832</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(226,291,430</w:t>
            </w:r>
          </w:p>
        </w:tc>
        <w:tc>
          <w:tcPr>
            <w:tcW w:w="220" w:type="dxa"/>
            <w:vAlign w:val="bottom"/>
            <w:vMerge w:val="continue"/>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220" w:type="dxa"/>
            <w:vAlign w:val="bottom"/>
            <w:vMerge w:val="continue"/>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(150,744)</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(54,284,884</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25,143</w:t>
            </w:r>
          </w:p>
        </w:tc>
        <w:tc>
          <w:tcPr>
            <w:tcW w:w="220" w:type="dxa"/>
            <w:vAlign w:val="bottom"/>
          </w:tcPr>
          <w:p>
            <w:pPr>
              <w:spacing w:after="0"/>
              <w:rPr>
                <w:sz w:val="16"/>
                <w:szCs w:val="16"/>
                <w:color w:val="auto"/>
              </w:rPr>
            </w:pPr>
          </w:p>
        </w:tc>
        <w:tc>
          <w:tcPr>
            <w:tcW w:w="102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6"/>
                <w:szCs w:val="16"/>
                <w:color w:val="auto"/>
              </w:rPr>
            </w:pPr>
          </w:p>
        </w:tc>
        <w:tc>
          <w:tcPr>
            <w:tcW w:w="102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6"/>
                <w:szCs w:val="16"/>
                <w:color w:val="auto"/>
              </w:rPr>
            </w:pPr>
          </w:p>
        </w:tc>
        <w:tc>
          <w:tcPr>
            <w:tcW w:w="102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220" w:type="dxa"/>
            <w:vAlign w:val="bottom"/>
          </w:tcPr>
          <w:p>
            <w:pPr>
              <w:spacing w:after="0"/>
              <w:rPr>
                <w:sz w:val="18"/>
                <w:szCs w:val="18"/>
                <w:color w:val="auto"/>
              </w:rPr>
            </w:pP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2,190,482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2,190,482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6"/>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1,852,702</w:t>
            </w:r>
          </w:p>
        </w:tc>
        <w:tc>
          <w:tcPr>
            <w:tcW w:w="220" w:type="dxa"/>
            <w:vAlign w:val="bottom"/>
          </w:tcPr>
          <w:p>
            <w:pPr>
              <w:spacing w:after="0"/>
              <w:rPr>
                <w:sz w:val="24"/>
                <w:szCs w:val="24"/>
                <w:color w:val="auto"/>
              </w:rPr>
            </w:pP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1,852,702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(12,842,446 )</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(12,842,446 )</w:t>
            </w:r>
          </w:p>
        </w:tc>
        <w:tc>
          <w:tcPr>
            <w:tcW w:w="0" w:type="dxa"/>
            <w:vAlign w:val="bottom"/>
          </w:tcPr>
          <w:p>
            <w:pPr>
              <w:spacing w:after="0"/>
              <w:rPr>
                <w:sz w:val="1"/>
                <w:szCs w:val="1"/>
                <w:color w:val="auto"/>
              </w:rPr>
            </w:pPr>
          </w:p>
        </w:tc>
      </w:tr>
      <w:tr>
        <w:trPr>
          <w:trHeight w:val="239"/>
        </w:trPr>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108,091</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9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2"/>
          </w:tcPr>
          <w:p>
            <w:pPr>
              <w:spacing w:after="0"/>
              <w:rPr>
                <w:sz w:val="7"/>
                <w:szCs w:val="7"/>
                <w:color w:val="auto"/>
              </w:rPr>
            </w:pPr>
          </w:p>
        </w:tc>
        <w:tc>
          <w:tcPr>
            <w:tcW w:w="1240" w:type="dxa"/>
            <w:vAlign w:val="bottom"/>
            <w:gridSpan w:val="2"/>
          </w:tcPr>
          <w:p>
            <w:pPr>
              <w:spacing w:after="0"/>
              <w:rPr>
                <w:sz w:val="7"/>
                <w:szCs w:val="7"/>
                <w:color w:val="auto"/>
              </w:rPr>
            </w:pPr>
          </w:p>
        </w:tc>
        <w:tc>
          <w:tcPr>
            <w:tcW w:w="1240" w:type="dxa"/>
            <w:vAlign w:val="bottom"/>
            <w:gridSpan w:val="2"/>
          </w:tcPr>
          <w:p>
            <w:pPr>
              <w:spacing w:after="0"/>
              <w:rPr>
                <w:sz w:val="7"/>
                <w:szCs w:val="7"/>
                <w:color w:val="auto"/>
              </w:rPr>
            </w:pPr>
          </w:p>
        </w:tc>
        <w:tc>
          <w:tcPr>
            <w:tcW w:w="8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176,274,941</w:t>
            </w:r>
          </w:p>
        </w:tc>
        <w:tc>
          <w:tcPr>
            <w:tcW w:w="22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(239,133,876</w:t>
            </w:r>
          </w:p>
        </w:tc>
        <w:tc>
          <w:tcPr>
            <w:tcW w:w="220" w:type="dxa"/>
            <w:vAlign w:val="bottom"/>
          </w:tcPr>
          <w:p>
            <w:pPr>
              <w:jc w:val="right"/>
              <w:ind w:right="88"/>
              <w:spacing w:after="0" w:line="153"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220" w:type="dxa"/>
            <w:vAlign w:val="bottom"/>
          </w:tcPr>
          <w:p>
            <w:pPr>
              <w:jc w:val="right"/>
              <w:ind w:right="88"/>
              <w:spacing w:after="0" w:line="153"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(42,653</w:t>
            </w:r>
          </w:p>
        </w:tc>
        <w:tc>
          <w:tcPr>
            <w:tcW w:w="220" w:type="dxa"/>
            <w:vAlign w:val="bottom"/>
          </w:tcPr>
          <w:p>
            <w:pPr>
              <w:jc w:val="right"/>
              <w:ind w:right="88"/>
              <w:spacing w:after="0" w:line="153"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(62,949,127</w:t>
            </w:r>
          </w:p>
        </w:tc>
        <w:tc>
          <w:tcPr>
            <w:tcW w:w="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14"/>
        </w:trPr>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-2862580</wp:posOffset>
            </wp:positionV>
            <wp:extent cx="7132320" cy="283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-2296795</wp:posOffset>
            </wp:positionV>
            <wp:extent cx="7132320" cy="1885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-1148080</wp:posOffset>
            </wp:positionV>
            <wp:extent cx="713232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-728345</wp:posOffset>
            </wp:positionV>
            <wp:extent cx="7132320" cy="1885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-3363595</wp:posOffset>
            </wp:positionV>
            <wp:extent cx="7132320" cy="2311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-1971040</wp:posOffset>
            </wp:positionV>
            <wp:extent cx="7132320" cy="6858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-401955</wp:posOffset>
            </wp:positionV>
            <wp:extent cx="7145020" cy="415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5020" cy="415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240"/>
            <w:col w:w="5760"/>
          </w:cols>
          <w:pgMar w:left="320" w:top="981" w:right="419" w:bottom="1440" w:gutter="0" w:footer="0" w:header="0"/>
          <w:type w:val="continuous"/>
        </w:sectPr>
      </w:pP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interim carve-out consolidated financial statements.</w:t>
      </w: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Consolidated Carve-out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196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196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73"/>
        </w:trPr>
        <w:tc>
          <w:tcPr>
            <w:tcW w:w="748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(12,842,446 )</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(17,276,072 )</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108,224</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based compensation – related parties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2,190,482</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1,291,429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 employees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1,852,702</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3,588,960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prepayment and other current assets</w:t>
            </w:r>
          </w:p>
        </w:tc>
        <w:tc>
          <w:tcPr>
            <w:tcW w:w="19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3,009,002</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3,054,946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prepayment and other current assets</w:t>
            </w:r>
          </w:p>
        </w:tc>
        <w:tc>
          <w:tcPr>
            <w:tcW w:w="19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(131,679 )</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(695,026 )</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accounts payable, accrued expenses and other payables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477,428</w:t>
            </w:r>
          </w:p>
        </w:tc>
        <w:tc>
          <w:tcPr>
            <w:tcW w:w="28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(263,348 )</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Increase/(Decrease) in other payables with related parties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315,895</w:t>
            </w:r>
          </w:p>
        </w:tc>
        <w:tc>
          <w:tcPr>
            <w:tcW w:w="280" w:type="dxa"/>
            <w:vAlign w:val="bottom"/>
            <w:shd w:val="clear" w:color="auto" w:fill="CFF0FC"/>
          </w:tcPr>
          <w:p>
            <w:pPr>
              <w:spacing w:after="0"/>
              <w:rPr>
                <w:sz w:val="18"/>
                <w:szCs w:val="18"/>
                <w:color w:val="auto"/>
              </w:rPr>
            </w:pPr>
          </w:p>
        </w:tc>
        <w:tc>
          <w:tcPr>
            <w:tcW w:w="180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(125,000 )</w:t>
            </w: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(4,898,451</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(8,818,307 )</w:t>
            </w:r>
          </w:p>
        </w:tc>
        <w:tc>
          <w:tcPr>
            <w:tcW w:w="0" w:type="dxa"/>
            <w:vAlign w:val="bottom"/>
          </w:tcPr>
          <w:p>
            <w:pPr>
              <w:spacing w:after="0"/>
              <w:rPr>
                <w:sz w:val="1"/>
                <w:szCs w:val="1"/>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of intangible asset</w:t>
            </w:r>
          </w:p>
        </w:tc>
        <w:tc>
          <w:tcPr>
            <w:tcW w:w="1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(1,360,525 )</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(104,604 )</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9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(3,850 )</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(8,060 )</w:t>
            </w: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(1,364,375</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(112,664 )</w:t>
            </w:r>
          </w:p>
        </w:tc>
        <w:tc>
          <w:tcPr>
            <w:tcW w:w="0" w:type="dxa"/>
            <w:vAlign w:val="bottom"/>
          </w:tcPr>
          <w:p>
            <w:pPr>
              <w:spacing w:after="0"/>
              <w:rPr>
                <w:sz w:val="1"/>
                <w:szCs w:val="1"/>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rights issuance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1,653,882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Call up capital received from related parties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222,306</w:t>
            </w:r>
          </w:p>
        </w:tc>
        <w:tc>
          <w:tcPr>
            <w:tcW w:w="2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to related parties</w:t>
            </w:r>
          </w:p>
        </w:tc>
        <w:tc>
          <w:tcPr>
            <w:tcW w:w="19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short term debt obligation from related parties</w:t>
            </w:r>
          </w:p>
        </w:tc>
        <w:tc>
          <w:tcPr>
            <w:tcW w:w="19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(250,000 )</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 from related party</w:t>
            </w:r>
          </w:p>
        </w:tc>
        <w:tc>
          <w:tcPr>
            <w:tcW w:w="19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4,178,008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762,505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Proceeds from convertible debt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4,301,855</w:t>
            </w:r>
          </w:p>
        </w:tc>
        <w:tc>
          <w:tcPr>
            <w:tcW w:w="280" w:type="dxa"/>
            <w:vAlign w:val="bottom"/>
            <w:tcBorders>
              <w:bottom w:val="single" w:sz="8" w:color="CFF0FC"/>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2,627,543</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 generated from financing activities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6,274,161</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9,171,912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38,522</w:t>
            </w:r>
          </w:p>
        </w:tc>
        <w:tc>
          <w:tcPr>
            <w:tcW w:w="280" w:type="dxa"/>
            <w:vAlign w:val="bottom"/>
            <w:tcBorders>
              <w:bottom w:val="single" w:sz="8" w:color="CFF0FC"/>
            </w:tcBorders>
          </w:tcPr>
          <w:p>
            <w:pPr>
              <w:spacing w:after="0"/>
              <w:rPr>
                <w:sz w:val="18"/>
                <w:szCs w:val="18"/>
                <w:color w:val="auto"/>
              </w:rPr>
            </w:pPr>
          </w:p>
        </w:tc>
        <w:tc>
          <w:tcPr>
            <w:tcW w:w="1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(159,230 )</w:t>
            </w:r>
          </w:p>
        </w:tc>
        <w:tc>
          <w:tcPr>
            <w:tcW w:w="0" w:type="dxa"/>
            <w:vAlign w:val="bottom"/>
          </w:tcPr>
          <w:p>
            <w:pPr>
              <w:spacing w:after="0"/>
              <w:rPr>
                <w:sz w:val="1"/>
                <w:szCs w:val="1"/>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49,857</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81,711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8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60,298</w:t>
            </w:r>
          </w:p>
        </w:tc>
        <w:tc>
          <w:tcPr>
            <w:tcW w:w="28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121,091</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payment for development of intangible asset</w:t>
            </w:r>
          </w:p>
        </w:tc>
        <w:tc>
          <w:tcPr>
            <w:tcW w:w="19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115,190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9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19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payable converted to principal</w:t>
            </w:r>
          </w:p>
        </w:tc>
        <w:tc>
          <w:tcPr>
            <w:tcW w:w="19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expenses under advanced subscription agreements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25,143</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132,453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5804535</wp:posOffset>
            </wp:positionH>
            <wp:positionV relativeFrom="paragraph">
              <wp:posOffset>-3372485</wp:posOffset>
            </wp:positionV>
            <wp:extent cx="119380" cy="1797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9380" cy="17970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-2806700</wp:posOffset>
            </wp:positionV>
            <wp:extent cx="119380" cy="1797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9380" cy="17970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-1542415</wp:posOffset>
            </wp:positionV>
            <wp:extent cx="939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-1259840</wp:posOffset>
            </wp:positionV>
            <wp:extent cx="939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-831215</wp:posOffset>
            </wp:positionV>
            <wp:extent cx="939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-831215</wp:posOffset>
            </wp:positionV>
            <wp:extent cx="939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interim carve-out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3"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w:t>
      </w:r>
    </w:p>
    <w:p>
      <w:pPr>
        <w:spacing w:after="0" w:line="16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3rd Floor, 80 New Bond Street, London, United Kingdom, W1S 1SB.</w:t>
      </w:r>
    </w:p>
    <w:p>
      <w:pPr>
        <w:spacing w:after="0" w:line="266"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Basis of preparation and consolidation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These condensed interim carve-out consolidated financial statements are for the six month period ended June 30, 2024 and are presented in United States Dollars ($) which is the functional currency of the parent company, Rezolve AI Limited. The accompanying unaudited condensed financial statements of the Company are presented in conformity with accounting principles generally accepted in the United States of America (“US GAAP”) and pursuant to the rules and regulations of the U.S. Securities and Exchange Commission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They have been prepared in accordance with Accounting Standards Codification (“ASC”)- 270 “Interim Reporting” and Article 10 of Regulation S-X for interim financial information. They do not include all of the information required in annual consolidated financial statements in accordance with accounting principles generally accepted in the United States of America (“US GAAP”). The accompanying unaudited condensed interim carve-out consolidated financial statements should be read in conjunction with the consolidated carve-out financial statements for the year ended December 31, 2023. However, selected explanatory notes are included to explain events and transactions that are significant to an understanding of the changes in the Company’s financial position and performance since the last annual financial statements. The interim results for the six months ended June 30, 2024 are not necessarily indicative of the results to be expected for the year ending December 31, 2024 or for any future interim periods.</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accounting policies used for the condensed interim consolidated carve-out financial statements for the six-month period ended June 30, 2024 are consistent with those used in the annual carve-out consolidated financial statements for the year ended December 31, 2023. There has been no material change to the Company’s significant accounting policies during the six months ended June 30, 2024.</w:t>
      </w:r>
    </w:p>
    <w:p>
      <w:pPr>
        <w:spacing w:after="0" w:line="17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The Demerger was completed on July 4, 2024 before the completion of the business combination with Armada on August 15, 2024, which was effected with Rezolve AI instead of Rezolve Limited. The listed company consists of Rezolve AI and its subsidiaries, which will legally not include Rezolve Shanghai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six months ending June 30, 2024 and 2023 have been recorded as “Business development expenses”, a component of General and Administrative expenses within the Company’s Consolidated Statement of Operations in accordance with Staff Accounting Bulletin Topic 1-B1, Costs Reflected in Historical Financial Statements ("SAB 1-B1"). Management asserts that this method used is reasonable.</w:t>
      </w:r>
    </w:p>
    <w:p>
      <w:pPr>
        <w:spacing w:after="0" w:line="29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which most significantly impact on the entity’s economic performance, and (2) the right to receive benefits or the obligation to absorb losses from the entity which could potentially be significant to the entity.</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does not have any VIEs to which we are the primary beneficiary.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All significant intercompany accounts and transactions have been eliminated in the consolidated financial statements. A list of subsidiary entities and the groups holding as at June 30, 2024, and December 31, 2023, are as follows: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9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12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 incorporation</w:t>
            </w:r>
          </w:p>
        </w:tc>
        <w:tc>
          <w:tcPr>
            <w:tcW w:w="10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Group shareholding (%)</w:t>
            </w:r>
          </w:p>
        </w:tc>
        <w:tc>
          <w:tcPr>
            <w:tcW w:w="120" w:type="dxa"/>
            <w:vAlign w:val="bottom"/>
          </w:tcPr>
          <w:p>
            <w:pPr>
              <w:spacing w:after="0"/>
              <w:rPr>
                <w:sz w:val="15"/>
                <w:szCs w:val="15"/>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Mobile Commerce Inc.</w:t>
            </w: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25, 2020</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Spain</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9, 2000</w:t>
            </w: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shd w:val="clear" w:color="auto" w:fill="CFF0FC"/>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(India) Private Limited</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2021</w:t>
            </w: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India</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Pr>
          <w:p>
            <w:pPr>
              <w:spacing w:after="0"/>
              <w:rPr>
                <w:sz w:val="20"/>
                <w:szCs w:val="20"/>
                <w:color w:val="auto"/>
              </w:rPr>
            </w:pPr>
          </w:p>
        </w:tc>
      </w:tr>
    </w:tbl>
    <w:p>
      <w:pPr>
        <w:spacing w:after="0" w:line="31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Use of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Management’s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w:t>
      </w:r>
    </w:p>
    <w:p>
      <w:pPr>
        <w:spacing w:after="0" w:line="29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Emerging Growth Company</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31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requirements that apply to non-emerging growth companies but any such election to opt out is irrevocable, provided that early adoption is permitted by the new or revised accounting standard. The Company has elected to not opt out of such extended transition period,</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 In accordance with ASU No. 2014-15, Disclosure of Uncertainties about an Entity’s Ability to Continue as a Going concern (Subtopic 205-40), the Company has evaluated whether there are conditions and events, considered in the aggregate, that raise substantial doubt about its ability to continue as a going concern within one year after the date that the condensed consolidated financial statements are issued.</w:t>
      </w:r>
    </w:p>
    <w:p>
      <w:pPr>
        <w:spacing w:after="0" w:line="183"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has historically funded its operations with cash flow from debt and equity capital raises agreements from investors. The Company's principal uses of cash have been working capital and funding operations.</w:t>
      </w:r>
    </w:p>
    <w:p>
      <w:pPr>
        <w:spacing w:after="0" w:line="16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As of June 30, 2024, the Company had an accumulated deficit of $239.1 million. For the six months ended June 30, 2024, the Company incurred a net loss of $12.8 million and net cash used in operating activities was $4.9 million. Cash and cash equivalents totaled $0.06 million as of June 30, 2024. The Company has a working capital deficit of $18.8 million as at June 30, 2024. The Company continues to incur losses while it develops technological services and targets customers. Our sources of cash for these activities rely on debt and equity funding. The ability to raise funding proved challenging beginning in the year ended December 31, 2022 which coincided with the increase in interest rates. Interest rates have started to decrease, however the ability to raise funding continues to be constrained.</w:t>
      </w:r>
    </w:p>
    <w:p>
      <w:pPr>
        <w:spacing w:after="0" w:line="187" w:lineRule="exact"/>
        <w:rPr>
          <w:sz w:val="20"/>
          <w:szCs w:val="20"/>
          <w:color w:val="auto"/>
        </w:rPr>
      </w:pPr>
    </w:p>
    <w:p>
      <w:pPr>
        <w:jc w:val="both"/>
        <w:ind w:right="40" w:firstLine="509"/>
        <w:spacing w:after="0" w:line="272" w:lineRule="auto"/>
        <w:rPr>
          <w:sz w:val="20"/>
          <w:szCs w:val="20"/>
          <w:color w:val="auto"/>
        </w:rPr>
      </w:pPr>
      <w:r>
        <w:rPr>
          <w:rFonts w:ascii="Times New Roman" w:cs="Times New Roman" w:eastAsia="Times New Roman" w:hAnsi="Times New Roman"/>
          <w:sz w:val="18"/>
          <w:szCs w:val="18"/>
          <w:color w:val="auto"/>
        </w:rPr>
        <w:t>In the six months ending June 30, 2024, the Company obtained two unsecured convertible loans (Note 5.4) as well as an unsecured promissory note (Note 5.5). Subsequent to the date of these condensed interim carve-out consolidated financial statements, the Company executed an amended to it’s senior secured convertible notes (5.3) whereby the maturity date was extended to August 14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2027.</w:t>
      </w:r>
    </w:p>
    <w:p>
      <w:pPr>
        <w:spacing w:after="0" w:line="9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thereto.</w:t>
      </w:r>
    </w:p>
    <w:p>
      <w:pPr>
        <w:spacing w:after="0" w:line="180"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limiting capital expenditures.</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(Note 5.4), were considered. Consequently, it has been concluded that significant doubt exists regarding the entity’s ability to continue as a going concern.</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tab/>
        <w:t>Recently issued accounting pronouncements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No. 2023-09, Improvements to Income Tax Disclosures (ASU 2023-09), 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There is a further requirement that public business entities will need to disclose a tabular reconciliation, using both percentages and reporting currency amounts. ASU 2023-09 is effective for fiscal years beginning after December 15, 2024. We are currently evaluating the impact of ASU 2023-09 on our consolidated financial statements and disclosures.</w:t>
      </w:r>
    </w:p>
    <w:p>
      <w:pPr>
        <w:spacing w:after="0" w:line="1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Improvements to Reportable Segment Disclosures (ASU 2023-07),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interim periods within fiscal years beginning after December 15, 2024 and is required to be applied on a retrospective basis. We are currently evaluating the impact of ASU 2023-07 on our consolidated financial statements and disclosures.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ASU 2023-06, “Disclosure Improvements: Codification Amendments in Response to the SEC’s Disclosure Update and Simplification Initiative” (“ASU 2023-06”). This ASU incorporates certain SEC disclosure requirements into the FASB Accounting Standards Codification (“ASC”). The amendments in the ASU are expected to clarify or improve disclosure and presentation requirements of a variety of ASC Topics, allow users to more easily compare entities subject to the SEC’s existing disclosures with those entities that were not previously subject to the requirements, and align the requirements in the ASC with the SEC’s regulations. The ASU has an unusual effective date and transition requirements since it is contingent on future SEC rule setting. If the SEC fails to enact required changes by June 30, 2027, this ASU is not effective for any entities. Early adoption is not permitted. The Company is currently evaluating the impact that the adoption of this standard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Recently adopted accounting pronouncements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two classes of issued shares, ordinary shares and series A preferred. 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June 30, 2024, and December 31, 2023, the Company’s Board of Directors had not declared any dividends for ordinary shares.</w:t>
      </w:r>
    </w:p>
    <w:p>
      <w:pPr>
        <w:spacing w:after="0" w:line="18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effect of dilutive ordinary share equivalents, as their effect would be antidilutive. Diluted loss per share is equal to the net loss per share as all potentially dilutive securities are anti-dilutive in the periods presented. For the periods ended June 30, 2024 and 2023 the Company incurred net losses and therefore no potential dilutive ordinary share were utilized in the calculation of losses per share.</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76"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7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5"/>
                <w:szCs w:val="15"/>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loans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5,423,768</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4,273,552</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 from related party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1,037,575</w:t>
            </w: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payable</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3,521,846</w:t>
            </w:r>
          </w:p>
        </w:tc>
        <w:tc>
          <w:tcPr>
            <w:tcW w:w="1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5,200,000</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28,039,517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28,039,517</w:t>
            </w:r>
          </w:p>
        </w:tc>
        <w:tc>
          <w:tcPr>
            <w:tcW w:w="120" w:type="dxa"/>
            <w:vAlign w:val="bottom"/>
          </w:tcPr>
          <w:p>
            <w:pPr>
              <w:spacing w:after="0"/>
              <w:rPr>
                <w:sz w:val="18"/>
                <w:szCs w:val="18"/>
                <w:color w:val="auto"/>
              </w:rPr>
            </w:pPr>
          </w:p>
        </w:tc>
      </w:tr>
      <w:tr>
        <w:trPr>
          <w:trHeight w:val="250"/>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42,325,131</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38,690,644</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loans and shares payable and the treasury stock method for calculating the dilutive effect of the warrants and share options. The preferred shares are convertible at the rate of one preferred share into one common share in the event of an initial public offering.</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02124"/>
              </w:rPr>
              <w:t>Employee Shares</w:t>
            </w:r>
          </w:p>
        </w:tc>
        <w:tc>
          <w:tcPr>
            <w:tcW w:w="10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02124"/>
              </w:rPr>
              <w:t>Employee Shares</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02124"/>
              </w:rPr>
              <w:t>Requiring Additional</w:t>
            </w:r>
          </w:p>
        </w:tc>
        <w:tc>
          <w:tcPr>
            <w:tcW w:w="1340" w:type="dxa"/>
            <w:vAlign w:val="bottom"/>
            <w:gridSpan w:val="2"/>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02124"/>
              </w:rPr>
              <w:t>at Par Value</w:t>
            </w: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02124"/>
              </w:rPr>
              <w:t>Paid in Capital</w:t>
            </w: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02124"/>
              </w:rPr>
              <w:t xml:space="preserve">£ </w:t>
            </w:r>
            <w:r>
              <w:rPr>
                <w:rFonts w:ascii="Times New Roman" w:cs="Times New Roman" w:eastAsia="Times New Roman" w:hAnsi="Times New Roman"/>
                <w:sz w:val="14"/>
                <w:szCs w:val="14"/>
                <w:b w:val="1"/>
                <w:bCs w:val="1"/>
                <w:color w:val="000000"/>
              </w:rPr>
              <w:t>0.0001</w:t>
            </w: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02124"/>
                <w:w w:val="99"/>
              </w:rPr>
              <w:t xml:space="preserve">£ </w:t>
            </w:r>
            <w:r>
              <w:rPr>
                <w:rFonts w:ascii="Times New Roman" w:cs="Times New Roman" w:eastAsia="Times New Roman" w:hAnsi="Times New Roman"/>
                <w:sz w:val="14"/>
                <w:szCs w:val="14"/>
                <w:b w:val="1"/>
                <w:bCs w:val="1"/>
                <w:color w:val="000000"/>
                <w:w w:val="99"/>
              </w:rPr>
              <w:t>0.016</w:t>
            </w:r>
          </w:p>
        </w:tc>
        <w:tc>
          <w:tcPr>
            <w:tcW w:w="1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at January 1, 2023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Issued during the period ended June 30,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June 30,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during the period ended June 30, 2024</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June 30, 2024</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0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-16510</wp:posOffset>
            </wp:positionV>
            <wp:extent cx="6858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-16510</wp:posOffset>
            </wp:positionV>
            <wp:extent cx="6858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-16510</wp:posOffset>
            </wp:positionV>
            <wp:extent cx="6858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spacing w:after="0" w:line="20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83"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June 30, 2024, the Company estimates the total share-based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payment expense to have been recognized immediately for the grant of 58,315,800 employee shares to be $13,995,792. This estimate uses a fair value per employee share of $ based on the last equity funding of the Company at $.24 per Ordinary share and an exercise price of £0.0001 for each employee share.</w:t>
      </w:r>
    </w:p>
    <w:p>
      <w:pPr>
        <w:spacing w:after="0" w:line="162"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Restatement of error in previously filed condensed interim carve-out consolidated financial statements: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8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On August 30, 2021, the Company executed a binding term sheet to acquire ANY from the Radio Group GmbH. In accordance with the binding term sheet, the Company issued 14,427,185 ordinary shares valued at $1.03 per share. The ordinary shares were issued on February 11, 2022 at which point all of the outstanding shares of ANY were transferred from the Radio Group to the Company. On December 28, 2022 the legal ownership of ANY reverted back to the sellers of ANY, the consideration shares were reclassified as deferred shares. On April 13,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18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has therefore restated its comparative condensed interim carve-out consolidated financial statements for the six months ending June 30, 2023 by restating the comparative financial statements in these condensed interim carve-out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following presents a reconciliation of the impacted financial statement line items as filed to the restated amounts as of and for the six months then ended. The previously reported amounts reflect those included in the third and fourth amended registration statements as of and for the six months ended June 30, 2023 filed with the SEC on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decrease in net loss of $7.3 million, a decrease in total assets of $0.3 million and total liabilities and shareholders equity of $0.3 million.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2"/>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7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1440" w:type="dxa"/>
            <w:vAlign w:val="bottom"/>
          </w:tcPr>
          <w:p>
            <w:pPr>
              <w:spacing w:after="0"/>
              <w:rPr>
                <w:sz w:val="15"/>
                <w:szCs w:val="15"/>
                <w:color w:val="auto"/>
              </w:rPr>
            </w:pP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860" w:type="dxa"/>
            <w:vAlign w:val="bottom"/>
            <w:gridSpan w:val="2"/>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4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122,364</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(1,275 )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121,089</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75,353</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(67,032 )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100" w:type="dxa"/>
            <w:vAlign w:val="bottom"/>
          </w:tcPr>
          <w:p>
            <w:pPr>
              <w:spacing w:after="0"/>
              <w:rPr>
                <w:sz w:val="18"/>
                <w:szCs w:val="18"/>
                <w:color w:val="auto"/>
              </w:rPr>
            </w:pPr>
          </w:p>
        </w:tc>
      </w:tr>
      <w:tr>
        <w:trPr>
          <w:trHeight w:val="236"/>
        </w:trPr>
        <w:tc>
          <w:tcPr>
            <w:tcW w:w="4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44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738,274</w:t>
            </w:r>
          </w:p>
        </w:tc>
        <w:tc>
          <w:tcPr>
            <w:tcW w:w="240" w:type="dxa"/>
            <w:vAlign w:val="bottom"/>
            <w:tcBorders>
              <w:bottom w:val="single" w:sz="8" w:color="CFF0FC"/>
            </w:tcBorders>
            <w:shd w:val="clear" w:color="auto" w:fill="CFF0FC"/>
          </w:tcPr>
          <w:p>
            <w:pPr>
              <w:spacing w:after="0"/>
              <w:rPr>
                <w:sz w:val="20"/>
                <w:szCs w:val="20"/>
                <w:color w:val="auto"/>
              </w:rPr>
            </w:pPr>
          </w:p>
        </w:tc>
        <w:tc>
          <w:tcPr>
            <w:tcW w:w="1860" w:type="dxa"/>
            <w:vAlign w:val="bottom"/>
            <w:tcBorders>
              <w:bottom w:val="single" w:sz="8" w:color="CFF0FC"/>
            </w:tcBorders>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(161,304 )</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3"/>
        </w:trPr>
        <w:tc>
          <w:tcPr>
            <w:tcW w:w="43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30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935,991</w:t>
            </w:r>
          </w:p>
        </w:tc>
        <w:tc>
          <w:tcPr>
            <w:tcW w:w="240" w:type="dxa"/>
            <w:vAlign w:val="bottom"/>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(229,611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706,380</w:t>
            </w:r>
          </w:p>
        </w:tc>
        <w:tc>
          <w:tcPr>
            <w:tcW w:w="100" w:type="dxa"/>
            <w:vAlign w:val="bottom"/>
          </w:tcPr>
          <w:p>
            <w:pPr>
              <w:spacing w:after="0"/>
              <w:rPr>
                <w:sz w:val="17"/>
                <w:szCs w:val="17"/>
                <w:color w:val="auto"/>
              </w:rPr>
            </w:pPr>
          </w:p>
        </w:tc>
      </w:tr>
      <w:tr>
        <w:trPr>
          <w:trHeight w:val="209"/>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4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119,591</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(24,263 )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95,328</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589,524</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(18,225 )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571,299</w:t>
            </w:r>
          </w:p>
        </w:tc>
        <w:tc>
          <w:tcPr>
            <w:tcW w:w="100" w:type="dxa"/>
            <w:vAlign w:val="bottom"/>
            <w:shd w:val="clear" w:color="auto" w:fill="CFF0FC"/>
          </w:tcPr>
          <w:p>
            <w:pPr>
              <w:spacing w:after="0"/>
              <w:rPr>
                <w:sz w:val="18"/>
                <w:szCs w:val="18"/>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1640" w:type="dxa"/>
            <w:vAlign w:val="bottom"/>
            <w:tcBorders>
              <w:bottom w:val="single" w:sz="8" w:color="auto"/>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60" w:type="dxa"/>
            <w:vAlign w:val="bottom"/>
            <w:tcBorders>
              <w:bottom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3"/>
        </w:trPr>
        <w:tc>
          <w:tcPr>
            <w:tcW w:w="43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4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709,115</w:t>
            </w:r>
          </w:p>
        </w:tc>
        <w:tc>
          <w:tcPr>
            <w:tcW w:w="240" w:type="dxa"/>
            <w:vAlign w:val="bottom"/>
          </w:tcPr>
          <w:p>
            <w:pPr>
              <w:spacing w:after="0"/>
              <w:rPr>
                <w:sz w:val="17"/>
                <w:szCs w:val="17"/>
                <w:color w:val="auto"/>
              </w:rPr>
            </w:pPr>
          </w:p>
        </w:tc>
        <w:tc>
          <w:tcPr>
            <w:tcW w:w="1860" w:type="dxa"/>
            <w:vAlign w:val="bottom"/>
            <w:gridSpan w:val="2"/>
          </w:tcPr>
          <w:p>
            <w:pPr>
              <w:jc w:val="right"/>
              <w:ind w:right="81"/>
              <w:spacing w:after="0" w:line="203" w:lineRule="exact"/>
              <w:rPr>
                <w:sz w:val="20"/>
                <w:szCs w:val="20"/>
                <w:color w:val="auto"/>
              </w:rPr>
            </w:pPr>
            <w:r>
              <w:rPr>
                <w:rFonts w:ascii="Times New Roman" w:cs="Times New Roman" w:eastAsia="Times New Roman" w:hAnsi="Times New Roman"/>
                <w:sz w:val="18"/>
                <w:szCs w:val="18"/>
                <w:b w:val="1"/>
                <w:bCs w:val="1"/>
                <w:color w:val="auto"/>
              </w:rPr>
              <w:t>(42,488 )</w:t>
            </w:r>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666,627</w:t>
            </w:r>
          </w:p>
        </w:tc>
        <w:tc>
          <w:tcPr>
            <w:tcW w:w="100" w:type="dxa"/>
            <w:vAlign w:val="bottom"/>
          </w:tcPr>
          <w:p>
            <w:pPr>
              <w:spacing w:after="0"/>
              <w:rPr>
                <w:sz w:val="17"/>
                <w:szCs w:val="17"/>
                <w:color w:val="auto"/>
              </w:rPr>
            </w:pPr>
          </w:p>
        </w:tc>
      </w:tr>
      <w:tr>
        <w:trPr>
          <w:trHeight w:val="20"/>
        </w:trPr>
        <w:tc>
          <w:tcPr>
            <w:tcW w:w="4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1,645,106</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(272,099 )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1,373,007</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40" w:type="dxa"/>
            <w:vAlign w:val="bottom"/>
            <w:tcBorders>
              <w:top w:val="single" w:sz="8" w:color="CFF0FC"/>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4,050,668</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(74,773 )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3,975,895</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Due to related party</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895,170</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(795,050 )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100,120</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2,875,038</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(348,254 )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2,526,784</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Ordinary shares payable</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1,786,335</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1,786,335</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 term debt</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762,505</w:t>
            </w:r>
          </w:p>
        </w:tc>
        <w:tc>
          <w:tcPr>
            <w:tcW w:w="240" w:type="dxa"/>
            <w:vAlign w:val="bottom"/>
          </w:tcPr>
          <w:p>
            <w:pPr>
              <w:spacing w:after="0"/>
              <w:rPr>
                <w:sz w:val="18"/>
                <w:szCs w:val="18"/>
                <w:color w:val="auto"/>
              </w:rPr>
            </w:pPr>
          </w:p>
        </w:tc>
        <w:tc>
          <w:tcPr>
            <w:tcW w:w="18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762,505</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 term debt to related party</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5,661,193</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5,661,193</w:t>
            </w:r>
          </w:p>
        </w:tc>
        <w:tc>
          <w:tcPr>
            <w:tcW w:w="100" w:type="dxa"/>
            <w:vAlign w:val="bottom"/>
            <w:shd w:val="clear" w:color="auto" w:fill="CFF0FC"/>
          </w:tcPr>
          <w:p>
            <w:pPr>
              <w:spacing w:after="0"/>
              <w:rPr>
                <w:sz w:val="18"/>
                <w:szCs w:val="18"/>
                <w:color w:val="auto"/>
              </w:rPr>
            </w:pP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4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16,030,909</w:t>
            </w:r>
          </w:p>
        </w:tc>
        <w:tc>
          <w:tcPr>
            <w:tcW w:w="24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(1,218,077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14,812,832</w:t>
            </w:r>
          </w:p>
        </w:tc>
        <w:tc>
          <w:tcPr>
            <w:tcW w:w="100" w:type="dxa"/>
            <w:vAlign w:val="bottom"/>
          </w:tcPr>
          <w:p>
            <w:pPr>
              <w:spacing w:after="0"/>
              <w:rPr>
                <w:sz w:val="18"/>
                <w:szCs w:val="18"/>
                <w:color w:val="auto"/>
              </w:rPr>
            </w:pPr>
          </w:p>
        </w:tc>
      </w:tr>
      <w:tr>
        <w:trPr>
          <w:trHeight w:val="209"/>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debt</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30,968,733</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(1,053,869 )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29,914,864</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1,242,533</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1,242,533</w:t>
            </w:r>
          </w:p>
        </w:tc>
        <w:tc>
          <w:tcPr>
            <w:tcW w:w="100" w:type="dxa"/>
            <w:vAlign w:val="bottom"/>
            <w:shd w:val="clear" w:color="auto" w:fill="CFF0FC"/>
          </w:tcPr>
          <w:p>
            <w:pPr>
              <w:spacing w:after="0"/>
              <w:rPr>
                <w:sz w:val="18"/>
                <w:szCs w:val="18"/>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4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32,211,266</w:t>
            </w:r>
          </w:p>
        </w:tc>
        <w:tc>
          <w:tcPr>
            <w:tcW w:w="24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(1,053,869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31,157,397</w:t>
            </w:r>
          </w:p>
        </w:tc>
        <w:tc>
          <w:tcPr>
            <w:tcW w:w="100" w:type="dxa"/>
            <w:vAlign w:val="bottom"/>
          </w:tcPr>
          <w:p>
            <w:pPr>
              <w:spacing w:after="0"/>
              <w:rPr>
                <w:sz w:val="19"/>
                <w:szCs w:val="19"/>
                <w:color w:val="auto"/>
              </w:rPr>
            </w:pPr>
          </w:p>
        </w:tc>
      </w:tr>
      <w:tr>
        <w:trPr>
          <w:trHeight w:val="21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48,242,175</w:t>
            </w: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(2,271,946)</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45,970,229</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Ordinary shares</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127,310</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127,310</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shares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xml:space="preserve">(1,993 </w:t>
            </w:r>
            <w:r>
              <w:rPr>
                <w:rFonts w:ascii="Times New Roman" w:cs="Times New Roman" w:eastAsia="Times New Roman" w:hAnsi="Times New Roman"/>
                <w:sz w:val="18"/>
                <w:szCs w:val="18"/>
                <w:b w:val="1"/>
                <w:bCs w:val="1"/>
                <w:color w:val="auto"/>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Series A shares</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168,358,010</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168,360,003</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 subscription receivable</w:t>
            </w:r>
          </w:p>
        </w:tc>
        <w:tc>
          <w:tcPr>
            <w:tcW w:w="33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(178,720 </w:t>
            </w:r>
            <w:r>
              <w:rPr>
                <w:rFonts w:ascii="Times New Roman" w:cs="Times New Roman" w:eastAsia="Times New Roman" w:hAnsi="Times New Roman"/>
                <w:sz w:val="18"/>
                <w:szCs w:val="18"/>
                <w:b w:val="1"/>
                <w:bCs w:val="1"/>
                <w:color w:val="auto"/>
              </w:rPr>
              <w:t>)</w:t>
            </w: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(178,720 </w:t>
            </w:r>
            <w:r>
              <w:rPr>
                <w:rFonts w:ascii="Times New Roman" w:cs="Times New Roman" w:eastAsia="Times New Roman" w:hAnsi="Times New Roman"/>
                <w:sz w:val="18"/>
                <w:szCs w:val="18"/>
                <w:b w:val="1"/>
                <w:bCs w:val="1"/>
                <w:color w:val="auto"/>
              </w:rPr>
              <w:t>)</w:t>
            </w:r>
          </w:p>
        </w:tc>
      </w:tr>
      <w:tr>
        <w:trPr>
          <w:trHeight w:val="216"/>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(213,740,307 </w:t>
            </w: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908,901</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(212,831,406 </w:t>
            </w:r>
            <w:r>
              <w:rPr>
                <w:rFonts w:ascii="Times New Roman" w:cs="Times New Roman" w:eastAsia="Times New Roman" w:hAnsi="Times New Roman"/>
                <w:sz w:val="18"/>
                <w:szCs w:val="18"/>
                <w:b w:val="1"/>
                <w:bCs w:val="1"/>
                <w:color w:val="auto"/>
              </w:rPr>
              <w:t>)</w:t>
            </w: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(1,169,223 </w:t>
            </w: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1,090,946</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(78,277 </w:t>
            </w:r>
            <w:r>
              <w:rPr>
                <w:rFonts w:ascii="Times New Roman" w:cs="Times New Roman" w:eastAsia="Times New Roman" w:hAnsi="Times New Roman"/>
                <w:sz w:val="18"/>
                <w:szCs w:val="18"/>
                <w:b w:val="1"/>
                <w:bCs w:val="1"/>
                <w:color w:val="auto"/>
              </w:rPr>
              <w:t>)</w:t>
            </w:r>
          </w:p>
        </w:tc>
      </w:tr>
      <w:tr>
        <w:trPr>
          <w:trHeight w:val="20"/>
        </w:trPr>
        <w:tc>
          <w:tcPr>
            <w:tcW w:w="43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44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(46,597,069 )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1,999,847</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(44,597,222 )</w:t>
            </w:r>
          </w:p>
        </w:tc>
      </w:tr>
      <w:tr>
        <w:trPr>
          <w:trHeight w:val="20"/>
        </w:trPr>
        <w:tc>
          <w:tcPr>
            <w:tcW w:w="4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4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1,645,106</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(272,099 )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1,373,007</w:t>
            </w:r>
          </w:p>
        </w:tc>
        <w:tc>
          <w:tcPr>
            <w:tcW w:w="100" w:type="dxa"/>
            <w:vAlign w:val="bottom"/>
            <w:shd w:val="clear" w:color="auto" w:fill="CFF0FC"/>
          </w:tcPr>
          <w:p>
            <w:pPr>
              <w:spacing w:after="0"/>
              <w:rPr>
                <w:sz w:val="18"/>
                <w:szCs w:val="18"/>
                <w:color w:val="auto"/>
              </w:rPr>
            </w:pPr>
          </w:p>
        </w:tc>
      </w:tr>
      <w:tr>
        <w:trPr>
          <w:trHeight w:val="27"/>
        </w:trPr>
        <w:tc>
          <w:tcPr>
            <w:tcW w:w="430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648"/>
        </w:trPr>
        <w:tc>
          <w:tcPr>
            <w:tcW w:w="4300" w:type="dxa"/>
            <w:vAlign w:val="bottom"/>
          </w:tcPr>
          <w:p>
            <w:pPr>
              <w:spacing w:after="0"/>
              <w:rPr>
                <w:sz w:val="24"/>
                <w:szCs w:val="24"/>
                <w:color w:val="auto"/>
              </w:rPr>
            </w:pPr>
          </w:p>
        </w:tc>
        <w:tc>
          <w:tcPr>
            <w:tcW w:w="3320" w:type="dxa"/>
            <w:vAlign w:val="bottom"/>
            <w:gridSpan w:val="3"/>
          </w:tcPr>
          <w:p>
            <w:pPr>
              <w:jc w:val="right"/>
              <w:ind w:right="1820"/>
              <w:spacing w:after="0"/>
              <w:rPr>
                <w:sz w:val="20"/>
                <w:szCs w:val="20"/>
                <w:color w:val="auto"/>
              </w:rPr>
            </w:pPr>
            <w:r>
              <w:rPr>
                <w:rFonts w:ascii="Times New Roman" w:cs="Times New Roman" w:eastAsia="Times New Roman" w:hAnsi="Times New Roman"/>
                <w:sz w:val="18"/>
                <w:szCs w:val="18"/>
                <w:color w:val="auto"/>
              </w:rPr>
              <w:t>F-15</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-5168265</wp:posOffset>
            </wp:positionV>
            <wp:extent cx="774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-5172710</wp:posOffset>
            </wp:positionV>
            <wp:extent cx="93980" cy="1797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-5172710</wp:posOffset>
            </wp:positionV>
            <wp:extent cx="93980" cy="1797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-4594225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-4598035</wp:posOffset>
            </wp:positionV>
            <wp:extent cx="102870" cy="1797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-4598035</wp:posOffset>
            </wp:positionV>
            <wp:extent cx="93980" cy="1797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-4293870</wp:posOffset>
            </wp:positionV>
            <wp:extent cx="7747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-4293870</wp:posOffset>
            </wp:positionV>
            <wp:extent cx="6858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-4293870</wp:posOffset>
            </wp:positionV>
            <wp:extent cx="6858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-3192145</wp:posOffset>
            </wp:positionV>
            <wp:extent cx="102870" cy="1797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-3192145</wp:posOffset>
            </wp:positionV>
            <wp:extent cx="93980" cy="1797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-3192145</wp:posOffset>
            </wp:positionV>
            <wp:extent cx="93980" cy="1797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-2626360</wp:posOffset>
            </wp:positionV>
            <wp:extent cx="102870" cy="1885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-2626360</wp:posOffset>
            </wp:positionV>
            <wp:extent cx="93980" cy="1885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-2626360</wp:posOffset>
            </wp:positionV>
            <wp:extent cx="93980" cy="1885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-1216660</wp:posOffset>
            </wp:positionV>
            <wp:extent cx="774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-1216660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-925195</wp:posOffset>
            </wp:positionV>
            <wp:extent cx="7747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-925195</wp:posOffset>
            </wp:positionV>
            <wp:extent cx="6858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financial statements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4,604,332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(4,557,568 )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46,764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2,334,088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(2,317,977 )</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Sales and marketing expenses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5,509,407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(799,233 )</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4,710,174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11,112,591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(2,369,214 )</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8,743,377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operating expenses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6,397,167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(5,612,167)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64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Depreciation and amortization expenses</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580" w:type="dxa"/>
            <w:vAlign w:val="bottom"/>
            <w:tcBorders>
              <w:right w:val="single" w:sz="8" w:color="CFF0FC"/>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379,900</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560" w:type="dxa"/>
            <w:vAlign w:val="bottom"/>
            <w:tcBorders>
              <w:right w:val="single" w:sz="8" w:color="CFF0FC"/>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(258,329)</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60" w:type="dxa"/>
            <w:vAlign w:val="bottom"/>
            <w:tcBorders>
              <w:right w:val="single" w:sz="8" w:color="CFF0FC"/>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121,571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Impairment of goodwill</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1,080,110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(1,080,110 )</w:t>
            </w:r>
          </w:p>
        </w:tc>
        <w:tc>
          <w:tcPr>
            <w:tcW w:w="120" w:type="dxa"/>
            <w:vAlign w:val="bottom"/>
            <w:shd w:val="clear" w:color="auto" w:fill="CFF0FC"/>
          </w:tcPr>
          <w:p>
            <w:pPr>
              <w:spacing w:after="0"/>
              <w:rPr>
                <w:sz w:val="14"/>
                <w:szCs w:val="14"/>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26,813,263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(12,437,030 )</w:t>
            </w:r>
          </w:p>
        </w:tc>
        <w:tc>
          <w:tcPr>
            <w:tcW w:w="12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14,376,233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Operating loss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(22,208,931 )</w:t>
            </w: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7,879,462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(14,329,469 )</w:t>
            </w:r>
          </w:p>
        </w:tc>
        <w:tc>
          <w:tcPr>
            <w:tcW w:w="0" w:type="dxa"/>
            <w:vAlign w:val="bottom"/>
          </w:tcPr>
          <w:p>
            <w:pPr>
              <w:spacing w:after="0"/>
              <w:rPr>
                <w:sz w:val="1"/>
                <w:szCs w:val="1"/>
                <w:color w:val="auto"/>
              </w:rPr>
            </w:pPr>
          </w:p>
        </w:tc>
      </w:tr>
      <w:tr>
        <w:trPr>
          <w:trHeight w:val="142"/>
        </w:trPr>
        <w:tc>
          <w:tcPr>
            <w:tcW w:w="564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Other expenses</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(4,106,733)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1,051,787</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(3,054,946)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non-operating income (expense), net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269,510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(97,759 )</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other expenses, net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(3,837,223 )</w:t>
            </w: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954,028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(2,883,195 )</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Loss before taxes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(26,046,154 )</w:t>
            </w:r>
          </w:p>
        </w:tc>
        <w:tc>
          <w:tcPr>
            <w:tcW w:w="120" w:type="dxa"/>
            <w:vAlign w:val="bottom"/>
          </w:tcPr>
          <w:p>
            <w:pPr>
              <w:spacing w:after="0"/>
              <w:rPr>
                <w:sz w:val="12"/>
                <w:szCs w:val="12"/>
                <w:color w:val="auto"/>
              </w:rPr>
            </w:pPr>
          </w:p>
        </w:tc>
        <w:tc>
          <w:tcPr>
            <w:tcW w:w="1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8,833,490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(17,212,664 )</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recovery (expense)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1,477,389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(1,540,797 )</w:t>
            </w: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35"/>
              <w:spacing w:after="0" w:line="149" w:lineRule="exact"/>
              <w:rPr>
                <w:sz w:val="20"/>
                <w:szCs w:val="20"/>
                <w:color w:val="auto"/>
              </w:rPr>
            </w:pPr>
            <w:r>
              <w:rPr>
                <w:rFonts w:ascii="Times New Roman" w:cs="Times New Roman" w:eastAsia="Times New Roman" w:hAnsi="Times New Roman"/>
                <w:sz w:val="14"/>
                <w:szCs w:val="14"/>
                <w:color w:val="auto"/>
              </w:rPr>
              <w:t>(63,408 )</w:t>
            </w: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Net loss for the year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(24,568,765 )</w:t>
            </w: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7,292,693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(17,276,072 )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loss per share – Basic and diluted</w:t>
            </w:r>
          </w:p>
        </w:tc>
        <w:tc>
          <w:tcPr>
            <w:tcW w:w="2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(0.03)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(0.01 )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FF0FC"/>
          </w:tcPr>
          <w:p>
            <w:pPr>
              <w:jc w:val="right"/>
              <w:ind w:right="35"/>
              <w:spacing w:after="0" w:line="142" w:lineRule="exact"/>
              <w:rPr>
                <w:sz w:val="20"/>
                <w:szCs w:val="20"/>
                <w:color w:val="auto"/>
              </w:rPr>
            </w:pPr>
            <w:r>
              <w:rPr>
                <w:rFonts w:ascii="Times New Roman" w:cs="Times New Roman" w:eastAsia="Times New Roman" w:hAnsi="Times New Roman"/>
                <w:sz w:val="14"/>
                <w:szCs w:val="14"/>
                <w:color w:val="auto"/>
              </w:rPr>
              <w:t>(0.02 )</w:t>
            </w:r>
          </w:p>
        </w:tc>
        <w:tc>
          <w:tcPr>
            <w:tcW w:w="0" w:type="dxa"/>
            <w:vAlign w:val="bottom"/>
          </w:tcPr>
          <w:p>
            <w:pPr>
              <w:spacing w:after="0"/>
              <w:rPr>
                <w:sz w:val="1"/>
                <w:szCs w:val="1"/>
                <w:color w:val="auto"/>
              </w:rPr>
            </w:pPr>
          </w:p>
        </w:tc>
      </w:tr>
      <w:tr>
        <w:trPr>
          <w:trHeight w:val="188"/>
        </w:trPr>
        <w:tc>
          <w:tcPr>
            <w:tcW w:w="5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Weighted average number of shares – Basic and diluted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922,013,028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922,013,028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statement of cash flows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20" w:type="dxa"/>
            <w:vAlign w:val="bottom"/>
          </w:tcPr>
          <w:p>
            <w:pPr>
              <w:spacing w:after="0"/>
              <w:rPr>
                <w:sz w:val="15"/>
                <w:szCs w:val="15"/>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1560" w:type="dxa"/>
            <w:vAlign w:val="bottom"/>
            <w:gridSpan w:val="2"/>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580" w:type="dxa"/>
            <w:vAlign w:val="bottom"/>
            <w:tcBorders>
              <w:top w:val="single" w:sz="8" w:color="auto"/>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560" w:type="dxa"/>
            <w:vAlign w:val="bottom"/>
            <w:tcBorders>
              <w:top w:val="single" w:sz="8" w:color="auto"/>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460" w:type="dxa"/>
            <w:vAlign w:val="bottom"/>
            <w:tcBorders>
              <w:top w:val="single" w:sz="8" w:color="auto"/>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(24,568,765 )</w:t>
            </w: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7,292,693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(17,276,072 )</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to reconcile net loss to net cash (used in)</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379,900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(258,329 )</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121,571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foreign exchange (gain)/loss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63,284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264,099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327,383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 based compensation issued to related parties for consultancy</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0" w:type="dxa"/>
            <w:vAlign w:val="bottom"/>
            <w:gridSpan w:val="2"/>
            <w:vMerge w:val="restart"/>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5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1,291,429</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1,291,429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60" w:type="dxa"/>
            <w:vAlign w:val="bottom"/>
            <w:tcBorders>
              <w:right w:val="single" w:sz="8" w:color="CFF0FC"/>
            </w:tcBorders>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Employee share based compensation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4,880,389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(1,291,429)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3,588,960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prepayments and other current assets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customer list intangible asset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5,612,167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(5,612,167)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35"/>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1,080,110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(1,080,110)</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35"/>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tax benefit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(1,459,336 )</w:t>
            </w: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1,459,336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35"/>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4,134,431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(1,079,485 )</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3,054,946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Decrease/(increase) in accounts receivable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(605 )</w:t>
            </w: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1,139</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in prepayment and other current 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236,410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(931,436 )</w:t>
            </w:r>
          </w:p>
        </w:tc>
        <w:tc>
          <w:tcPr>
            <w:tcW w:w="120" w:type="dxa"/>
            <w:vAlign w:val="bottom"/>
          </w:tcPr>
          <w:p>
            <w:pPr>
              <w:spacing w:after="0"/>
              <w:rPr>
                <w:sz w:val="12"/>
                <w:szCs w:val="12"/>
                <w:color w:val="auto"/>
              </w:rPr>
            </w:pPr>
          </w:p>
        </w:tc>
        <w:tc>
          <w:tcPr>
            <w:tcW w:w="1560" w:type="dxa"/>
            <w:vAlign w:val="bottom"/>
            <w:gridSpan w:val="2"/>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(695,026 )</w:t>
            </w: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 receivable with related parties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(320,702 )</w:t>
            </w: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320,702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35"/>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 accounts payable, accrued expenses and other payables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(825,679 )</w:t>
            </w: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562,331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(263,348 )</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(decrease) in payables to related parties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670,050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(795,050 )</w:t>
            </w: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(125,000 )</w:t>
            </w:r>
          </w:p>
        </w:tc>
        <w:tc>
          <w:tcPr>
            <w:tcW w:w="0" w:type="dxa"/>
            <w:vAlign w:val="bottom"/>
          </w:tcPr>
          <w:p>
            <w:pPr>
              <w:spacing w:after="0"/>
              <w:rPr>
                <w:sz w:val="1"/>
                <w:szCs w:val="1"/>
                <w:color w:val="auto"/>
              </w:rPr>
            </w:pPr>
          </w:p>
        </w:tc>
      </w:tr>
      <w:tr>
        <w:trPr>
          <w:trHeight w:val="155"/>
        </w:trPr>
        <w:tc>
          <w:tcPr>
            <w:tcW w:w="56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(8,962,030</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143,723</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(8,818,307</w:t>
            </w:r>
          </w:p>
        </w:tc>
        <w:tc>
          <w:tcPr>
            <w:tcW w:w="100" w:type="dxa"/>
            <w:vAlign w:val="bottom"/>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(104,604 )</w:t>
            </w:r>
          </w:p>
        </w:tc>
        <w:tc>
          <w:tcPr>
            <w:tcW w:w="120" w:type="dxa"/>
            <w:vAlign w:val="bottom"/>
          </w:tcPr>
          <w:p>
            <w:pPr>
              <w:spacing w:after="0"/>
              <w:rPr>
                <w:sz w:val="12"/>
                <w:szCs w:val="12"/>
                <w:color w:val="auto"/>
              </w:rPr>
            </w:pPr>
          </w:p>
        </w:tc>
        <w:tc>
          <w:tcPr>
            <w:tcW w:w="1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560" w:type="dxa"/>
            <w:vAlign w:val="bottom"/>
            <w:gridSpan w:val="2"/>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(104,604 )</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Development of intangible assets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(8,060 )</w:t>
            </w: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(8,060 )</w:t>
            </w:r>
          </w:p>
        </w:tc>
        <w:tc>
          <w:tcPr>
            <w:tcW w:w="0" w:type="dxa"/>
            <w:vAlign w:val="bottom"/>
          </w:tcPr>
          <w:p>
            <w:pPr>
              <w:spacing w:after="0"/>
              <w:rPr>
                <w:sz w:val="1"/>
                <w:szCs w:val="1"/>
                <w:color w:val="auto"/>
              </w:rPr>
            </w:pPr>
          </w:p>
        </w:tc>
      </w:tr>
      <w:tr>
        <w:trPr>
          <w:trHeight w:val="155"/>
        </w:trPr>
        <w:tc>
          <w:tcPr>
            <w:tcW w:w="56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(112,664</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(112,664</w:t>
            </w:r>
          </w:p>
        </w:tc>
        <w:tc>
          <w:tcPr>
            <w:tcW w:w="100" w:type="dxa"/>
            <w:vAlign w:val="bottom"/>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rights issuance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1,653,882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1,653,882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to related parties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199,974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 of short term debt obligation from related parties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(250,000 )</w:t>
            </w:r>
          </w:p>
        </w:tc>
        <w:tc>
          <w:tcPr>
            <w:tcW w:w="120" w:type="dxa"/>
            <w:vAlign w:val="bottom"/>
          </w:tcPr>
          <w:p>
            <w:pPr>
              <w:spacing w:after="0"/>
              <w:rPr>
                <w:sz w:val="12"/>
                <w:szCs w:val="12"/>
                <w:color w:val="auto"/>
              </w:rPr>
            </w:pPr>
          </w:p>
        </w:tc>
        <w:tc>
          <w:tcPr>
            <w:tcW w:w="1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560" w:type="dxa"/>
            <w:vAlign w:val="bottom"/>
            <w:gridSpan w:val="2"/>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(250,000 )</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short-term debt from related party</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4,178,008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4,178,008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short-term debt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762,505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762,505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64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convertible debt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2,627,543</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76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CFF0FC"/>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2,627,543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64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rPr>
              <w:t>Net cash flow generated from financing activities</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9,171,912</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560" w:type="dxa"/>
            <w:vAlign w:val="bottom"/>
            <w:tcBorders>
              <w:top w:val="single" w:sz="8" w:color="auto"/>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4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9,171,912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Effect of exchange rate changes on cash</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(16,563 )</w:t>
            </w: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(142,667 )</w:t>
            </w: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(159,230 )</w:t>
            </w:r>
          </w:p>
        </w:tc>
        <w:tc>
          <w:tcPr>
            <w:tcW w:w="0" w:type="dxa"/>
            <w:vAlign w:val="bottom"/>
          </w:tcPr>
          <w:p>
            <w:pPr>
              <w:spacing w:after="0"/>
              <w:rPr>
                <w:sz w:val="1"/>
                <w:szCs w:val="1"/>
                <w:color w:val="auto"/>
              </w:rPr>
            </w:pPr>
          </w:p>
        </w:tc>
      </w:tr>
      <w:tr>
        <w:trPr>
          <w:trHeight w:val="142"/>
        </w:trPr>
        <w:tc>
          <w:tcPr>
            <w:tcW w:w="564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change in cash</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80,655</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1,056</w:t>
            </w: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81,711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41,709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(2,329 )</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39,380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122,364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(1,273 )</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121,091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-5709285</wp:posOffset>
            </wp:positionV>
            <wp:extent cx="76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-5709285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-5709285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-5040630</wp:posOffset>
            </wp:positionV>
            <wp:extent cx="768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-5043805</wp:posOffset>
            </wp:positionV>
            <wp:extent cx="68580" cy="114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-5043805</wp:posOffset>
            </wp:positionV>
            <wp:extent cx="68580" cy="114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-4838065</wp:posOffset>
            </wp:positionV>
            <wp:extent cx="76835" cy="114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-4838065</wp:posOffset>
            </wp:positionV>
            <wp:extent cx="68580" cy="114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-4838065</wp:posOffset>
            </wp:positionV>
            <wp:extent cx="68580" cy="114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-4443730</wp:posOffset>
            </wp:positionV>
            <wp:extent cx="76835" cy="114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-4443730</wp:posOffset>
            </wp:positionV>
            <wp:extent cx="68580" cy="114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-4443730</wp:posOffset>
            </wp:positionV>
            <wp:extent cx="68580" cy="114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-1727200</wp:posOffset>
            </wp:positionV>
            <wp:extent cx="102870" cy="1454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-1727200</wp:posOffset>
            </wp:positionV>
            <wp:extent cx="93980" cy="1454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-1727200</wp:posOffset>
            </wp:positionV>
            <wp:extent cx="111125" cy="1454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-1324610</wp:posOffset>
            </wp:positionV>
            <wp:extent cx="102870" cy="1454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-1324610</wp:posOffset>
            </wp:positionV>
            <wp:extent cx="93980" cy="1454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-1324610</wp:posOffset>
            </wp:positionV>
            <wp:extent cx="111125" cy="1454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-534670</wp:posOffset>
            </wp:positionV>
            <wp:extent cx="77470" cy="114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-535940</wp:posOffset>
            </wp:positionV>
            <wp:extent cx="93980" cy="1365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-535940</wp:posOffset>
            </wp:positionV>
            <wp:extent cx="111125" cy="1365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1125" cy="13652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-320040</wp:posOffset>
            </wp:positionV>
            <wp:extent cx="77470" cy="114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-320040</wp:posOffset>
            </wp:positionV>
            <wp:extent cx="68580" cy="114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-320040</wp:posOffset>
            </wp:positionV>
            <wp:extent cx="85725" cy="114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5725" cy="11430"/>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31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Fair value measurement and concentration of credit risk</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8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Level 1—Observable inputs are quoted prices (unadjusted) in active markets for identical assets or liabilities that the Company has the ability to access at the measurement date.</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Level 3—Unobservable inputs in which little or no market data exists, therefore requiring an entity to develop its own assumptions, such as valuations derived from valuation techniques in which one or more significant inputs or significant value drivers are unobservable. In some circumstances, the inputs used to measure fair value might be categorized within different levels of the fair value hierarchy. are unobservable inputs for the asset or liability.</w:t>
      </w:r>
    </w:p>
    <w:p>
      <w:pPr>
        <w:spacing w:after="0" w:line="1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5"/>
                <w:szCs w:val="15"/>
                <w:color w:val="auto"/>
              </w:rPr>
            </w:pPr>
          </w:p>
        </w:tc>
        <w:tc>
          <w:tcPr>
            <w:tcW w:w="10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4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1,383,298</w:t>
            </w:r>
          </w:p>
        </w:tc>
        <w:tc>
          <w:tcPr>
            <w:tcW w:w="100" w:type="dxa"/>
            <w:vAlign w:val="bottom"/>
            <w:shd w:val="clear" w:color="auto" w:fill="CFF0FC"/>
          </w:tcPr>
          <w:p>
            <w:pPr>
              <w:spacing w:after="0"/>
              <w:rPr>
                <w:sz w:val="18"/>
                <w:szCs w:val="18"/>
                <w:color w:val="auto"/>
              </w:rPr>
            </w:pP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520" w:hanging="512"/>
        <w:spacing w:after="0"/>
        <w:tabs>
          <w:tab w:leader="none" w:pos="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common shares payable was valued using a discounted cash flow method using a risk adjusted discount rate of 10.8%.</w:t>
      </w:r>
    </w:p>
    <w:p>
      <w:pPr>
        <w:spacing w:after="0" w:line="22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equivalents, accounts receivables, accounts payable and accrued expenses approximated their fair values due to their short maturities.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Accounts receivable is potentially subject to credit risk concentration. The Company has not experienced any material losses related to concentrations during the years presented. The Company however has a concentration risk related to its contract with its only customer such that as at June 30, 2024 and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6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As at June 30, 2024 and December 31, 2023, the following vendors represented more than 10% of total accounts payable.</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3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June 23, 2024</w:t>
            </w:r>
          </w:p>
        </w:tc>
        <w:tc>
          <w:tcPr>
            <w:tcW w:w="2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5"/>
                <w:szCs w:val="15"/>
                <w:color w:val="auto"/>
              </w:rPr>
            </w:pPr>
          </w:p>
        </w:tc>
      </w:tr>
      <w:tr>
        <w:trPr>
          <w:trHeight w:val="209"/>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KPMG LLP</w:t>
            </w:r>
          </w:p>
        </w:tc>
        <w:tc>
          <w:tcPr>
            <w:tcW w:w="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11 %</w:t>
            </w:r>
          </w:p>
        </w:tc>
        <w:tc>
          <w:tcPr>
            <w:tcW w:w="1820" w:type="dxa"/>
            <w:vAlign w:val="bottom"/>
            <w:gridSpan w:val="2"/>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15 %</w:t>
            </w:r>
          </w:p>
        </w:tc>
        <w:tc>
          <w:tcPr>
            <w:tcW w:w="1820" w:type="dxa"/>
            <w:vAlign w:val="bottom"/>
            <w:gridSpan w:val="2"/>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14 %</w:t>
            </w:r>
          </w:p>
        </w:tc>
      </w:tr>
      <w:tr>
        <w:trPr>
          <w:trHeight w:val="23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Amazon Web Services</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14 %</w:t>
            </w:r>
          </w:p>
        </w:tc>
        <w:tc>
          <w:tcPr>
            <w:tcW w:w="1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is in Spain. Based upon the Company’s level of operations for the period ended June 30, 2024, a sensitivity analysis shows that a 10% appreciation or depreciation in the EUR against the dollar would have increased or decreased, respectively, the Company’s revenue for the periods ended June 30, 2024 and 2023 by approximately $ 5,339 and $ 4,676 respectively.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56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207,829</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130,309</w:t>
            </w: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68,788</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Input tax credit receivable</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150,681</w:t>
            </w: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120" w:type="dxa"/>
            <w:vAlign w:val="bottom"/>
            <w:tcBorders>
              <w:bottom w:val="single" w:sz="8" w:color="CFF0FC"/>
            </w:tcBorders>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3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430,691</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54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56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5"/>
                <w:szCs w:val="15"/>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1,014,094</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development intangible asset</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3,218,169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12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4,232,263</w:t>
            </w: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Less - Accumulated amortization</w:t>
            </w:r>
          </w:p>
        </w:tc>
        <w:tc>
          <w:tcPr>
            <w:tcW w:w="2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(835,774 )</w:t>
            </w:r>
          </w:p>
        </w:tc>
        <w:tc>
          <w:tcPr>
            <w:tcW w:w="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(736,834 )</w:t>
            </w: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3,396,489</w:t>
            </w: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top w:val="single" w:sz="8" w:color="auto"/>
              <w:bottom w:val="single" w:sz="8" w:color="auto"/>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-1464945</wp:posOffset>
            </wp:positionV>
            <wp:extent cx="10287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-1447800</wp:posOffset>
            </wp:positionV>
            <wp:extent cx="10287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-1610995</wp:posOffset>
            </wp:positionV>
            <wp:extent cx="1028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-1464945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-1447800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-1610995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-453390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-453390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in each of the six months ended June 30, 2024 and June 30, 2023 was $ $98,940.</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24"/>
                <w:szCs w:val="24"/>
                <w:color w:val="auto"/>
              </w:rPr>
            </w:pPr>
          </w:p>
        </w:tc>
        <w:tc>
          <w:tcPr>
            <w:tcW w:w="18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68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2"/>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1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from Related parties (5.1)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860,778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party (5.2)</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(5.3)</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loan note (5.5)</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437,956</w:t>
            </w:r>
          </w:p>
        </w:tc>
        <w:tc>
          <w:tcPr>
            <w:tcW w:w="2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debt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1,298,734</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37,446,343</w:t>
            </w: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Convertible promissory notes (5.4)</w:t>
            </w:r>
          </w:p>
        </w:tc>
        <w:tc>
          <w:tcPr>
            <w:tcW w:w="16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5,395,702</w:t>
            </w:r>
          </w:p>
        </w:tc>
        <w:tc>
          <w:tcPr>
            <w:tcW w:w="220" w:type="dxa"/>
            <w:vAlign w:val="bottom"/>
          </w:tcPr>
          <w:p>
            <w:pPr>
              <w:spacing w:after="0"/>
              <w:rPr>
                <w:sz w:val="17"/>
                <w:szCs w:val="17"/>
                <w:color w:val="auto"/>
              </w:rPr>
            </w:pPr>
          </w:p>
        </w:tc>
        <w:tc>
          <w:tcPr>
            <w:tcW w:w="180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loans (5.3)</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38,737,594</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44,133,296</w:t>
            </w:r>
          </w:p>
        </w:tc>
        <w:tc>
          <w:tcPr>
            <w:tcW w:w="2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-711200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-711200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details of the Company’s debt are follows:</w:t>
      </w:r>
    </w:p>
    <w:p>
      <w:pPr>
        <w:spacing w:after="0" w:line="3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color w:val="auto"/>
        </w:rPr>
        <w:t>Short-term debt from Related parties: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Unsecured interest free loan taken from related party (DBLP Sea Cow Ltd) of $860,778 consists of a $447,067 loan repayable on demand. Additionally, DBLP Sea Cow Ltd is owed $413,711 for amounts to be re-imbursed for expenses incurred on behalf of Rezolve at June 30, 2024 (December 31, 2023, $191,405).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€2,000,000. Each loan bore a borrowing fee of $660,000 and €660,000, respectively, which has been recorded in interest expense in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The loans were due to mature on July 31, 2023 or at the option of the investor, can be converted into ordinary shares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accrued borrowing fees at a conversion rate of 0.50 to the Company’s share price at listing after completing any reorganization. The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not repaid by the maturity date and therefore the Company was in default of the two unsecured convertible loans and the loans remained repayable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at December 31, 2023 for a total of $5,587,343 including their accrued borrowing fee. On January 26, 2024, the two unsecured convertible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added to the Company’s senior secured convertible notes (note 5.3). The loan principal and accrued borrowing fees were rounded to a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$8,000,000. The key terms of the loan amendment include that of the senior secured convertible notes, as noted below:</w:t>
      </w:r>
    </w:p>
    <w:p>
      <w:pPr>
        <w:spacing w:after="0" w:line="99" w:lineRule="exact"/>
        <w:rPr>
          <w:sz w:val="20"/>
          <w:szCs w:val="20"/>
          <w:color w:val="auto"/>
        </w:rPr>
      </w:pPr>
    </w:p>
    <w:p>
      <w:pPr>
        <w:ind w:left="520" w:right="480" w:hanging="512"/>
        <w:spacing w:after="0" w:line="282" w:lineRule="auto"/>
        <w:tabs>
          <w:tab w:leader="none" w:pos="5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jc w:val="both"/>
        <w:ind w:left="520" w:right="300" w:hanging="512"/>
        <w:spacing w:after="0" w:line="266" w:lineRule="auto"/>
        <w:tabs>
          <w:tab w:leader="none" w:pos="5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221" w:lineRule="exact"/>
        <w:rPr>
          <w:sz w:val="20"/>
          <w:szCs w:val="20"/>
          <w:color w:val="auto"/>
        </w:rPr>
      </w:pPr>
    </w:p>
    <w:p>
      <w:pPr>
        <w:ind w:left="520" w:right="20" w:hanging="508"/>
        <w:spacing w:after="0" w:line="261"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color w:val="auto"/>
        </w:rPr>
        <w:t>A Short term convertible debt to a related party of $132,269 was also added to the Company’s senior secured convertible note. The loan includes principal of $125,000 and $11,943 of interest. The loan was originally entered into March 2, 2023 and bore interest at 7.5% per annum. Upon adding to the Company's senior secured convertible note on January 26, 2024, the note now bears the same terms and conditions as Igor Lychagov's loan discussed above in note 5.2.</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19" w:lineRule="exact"/>
        <w:rPr>
          <w:sz w:val="20"/>
          <w:szCs w:val="20"/>
          <w:color w:val="auto"/>
        </w:rPr>
      </w:pPr>
    </w:p>
    <w:p>
      <w:pPr>
        <w:ind w:left="520" w:right="1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closed on August 15, 2024.</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These notes were due to mature on December 16, 2023, and are redeemable by the noteholder on the occurrence of:</w:t>
      </w:r>
    </w:p>
    <w:p>
      <w:pPr>
        <w:spacing w:after="0" w:line="68" w:lineRule="exact"/>
        <w:rPr>
          <w:sz w:val="20"/>
          <w:szCs w:val="20"/>
          <w:color w:val="auto"/>
        </w:rPr>
      </w:pPr>
    </w:p>
    <w:p>
      <w:pPr>
        <w:ind w:left="520" w:hanging="512"/>
        <w:spacing w:after="0"/>
        <w:tabs>
          <w:tab w:leader="none" w:pos="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17" w:lineRule="exact"/>
        <w:rPr>
          <w:rFonts w:ascii="Times New Roman" w:cs="Times New Roman" w:eastAsia="Times New Roman" w:hAnsi="Times New Roman"/>
          <w:sz w:val="18"/>
          <w:szCs w:val="18"/>
          <w:color w:val="auto"/>
        </w:rPr>
      </w:pPr>
    </w:p>
    <w:p>
      <w:pPr>
        <w:ind w:left="520" w:right="80" w:hanging="512"/>
        <w:spacing w:after="0" w:line="266" w:lineRule="auto"/>
        <w:tabs>
          <w:tab w:leader="none" w:pos="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17" w:lineRule="exact"/>
        <w:rPr>
          <w:sz w:val="20"/>
          <w:szCs w:val="20"/>
          <w:color w:val="auto"/>
        </w:rPr>
      </w:pPr>
    </w:p>
    <w:p>
      <w:pPr>
        <w:ind w:left="520" w:hanging="512"/>
        <w:spacing w:after="0"/>
        <w:tabs>
          <w:tab w:leader="none" w:pos="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These warrants have been accounted for as a discount to the convertible debt. The Company also agreed to provide as collateral all buildings, fittings, fixtures and intellectual property.</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17" w:lineRule="exact"/>
        <w:rPr>
          <w:sz w:val="20"/>
          <w:szCs w:val="20"/>
          <w:color w:val="auto"/>
        </w:rPr>
      </w:pPr>
    </w:p>
    <w:p>
      <w:pPr>
        <w:ind w:left="520" w:hanging="512"/>
        <w:spacing w:after="0"/>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$2,750,000 of loan notes to be advanced,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315" w:lineRule="exact"/>
        <w:rPr>
          <w:sz w:val="20"/>
          <w:szCs w:val="20"/>
          <w:color w:val="auto"/>
        </w:rPr>
      </w:pPr>
    </w:p>
    <w:p>
      <w:pPr>
        <w:ind w:left="520" w:right="520" w:hanging="512"/>
        <w:spacing w:after="0" w:line="282"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jc w:val="both"/>
        <w:ind w:left="520" w:right="340" w:hanging="512"/>
        <w:spacing w:after="0" w:line="266"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w:t>
      </w:r>
    </w:p>
    <w:p>
      <w:pPr>
        <w:spacing w:after="0" w:line="54" w:lineRule="exact"/>
        <w:rPr>
          <w:sz w:val="20"/>
          <w:szCs w:val="20"/>
          <w:color w:val="auto"/>
        </w:rPr>
      </w:pPr>
    </w:p>
    <w:p>
      <w:pPr>
        <w:ind w:left="1020" w:right="520" w:hanging="503"/>
        <w:spacing w:after="0" w:line="266"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one or more of Apeiron Investment Group Ltd, Bradley Wickens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 is the Company’s current intent to settle the principal amount and accrued interest of its outstanding convertible debt in the Company’s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troubled debt restructuring since May 23, 2023. No gain has been recognized.</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 of the convertible debt does not include the $8,500,000 of notes issuable upon completion of the Demerger ("the Demerger notes"). These are contingent upon completion of the Demerger and will only be included in the carrying amount of the convertible debt upon completion of the Demerger. On June 4, 2024 the Demerger was completed and the Demerger notes will be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83"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Upon execution of the senior secured convertible note on August 16, 2024, and extension to the maturity date to at least August 16, 2027, the Company classified the Convertible debt as non-current as at June 30, 2024 under the guidance in ASC 470-10-45-14.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6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 w:type="dxa"/>
            <w:vAlign w:val="bottom"/>
          </w:tcPr>
          <w:p>
            <w:pPr>
              <w:spacing w:after="0"/>
              <w:rPr>
                <w:sz w:val="15"/>
                <w:szCs w:val="15"/>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1700" w:type="dxa"/>
            <w:vAlign w:val="bottom"/>
          </w:tcPr>
          <w:p>
            <w:pPr>
              <w:spacing w:after="0"/>
              <w:rPr>
                <w:sz w:val="18"/>
                <w:szCs w:val="18"/>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1700" w:type="dxa"/>
            <w:vAlign w:val="bottom"/>
          </w:tcPr>
          <w:p>
            <w:pPr>
              <w:spacing w:after="0"/>
              <w:rPr>
                <w:sz w:val="17"/>
                <w:szCs w:val="17"/>
                <w:color w:val="auto"/>
              </w:rPr>
            </w:pPr>
          </w:p>
        </w:tc>
        <w:tc>
          <w:tcPr>
            <w:tcW w:w="4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Convertible debt under troubled debt</w:t>
            </w:r>
          </w:p>
        </w:tc>
        <w:tc>
          <w:tcPr>
            <w:tcW w:w="16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38,737,594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31,220,528</w:t>
            </w:r>
          </w:p>
        </w:tc>
        <w:tc>
          <w:tcPr>
            <w:tcW w:w="120" w:type="dxa"/>
            <w:vAlign w:val="bottom"/>
          </w:tcPr>
          <w:p>
            <w:pPr>
              <w:spacing w:after="0"/>
              <w:rPr>
                <w:sz w:val="17"/>
                <w:szCs w:val="17"/>
                <w:color w:val="auto"/>
              </w:rPr>
            </w:pPr>
          </w:p>
        </w:tc>
      </w:tr>
      <w:tr>
        <w:trPr>
          <w:trHeight w:val="221"/>
        </w:trPr>
        <w:tc>
          <w:tcPr>
            <w:tcW w:w="1700" w:type="dxa"/>
            <w:vAlign w:val="bottom"/>
          </w:tcPr>
          <w:p>
            <w:pPr>
              <w:spacing w:after="0"/>
              <w:rPr>
                <w:sz w:val="19"/>
                <w:szCs w:val="19"/>
                <w:color w:val="auto"/>
              </w:rPr>
            </w:pPr>
          </w:p>
        </w:tc>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w:t>
            </w:r>
          </w:p>
        </w:tc>
        <w:tc>
          <w:tcPr>
            <w:tcW w:w="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1700" w:type="dxa"/>
            <w:vAlign w:val="bottom"/>
          </w:tcPr>
          <w:p>
            <w:pPr>
              <w:spacing w:after="0"/>
              <w:rPr>
                <w:sz w:val="18"/>
                <w:szCs w:val="18"/>
                <w:color w:val="auto"/>
              </w:rPr>
            </w:pPr>
          </w:p>
        </w:tc>
        <w:tc>
          <w:tcPr>
            <w:tcW w:w="4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38,737,594</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561"/>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color w:val="auto"/>
              </w:rPr>
              <w:t>Convertible promissory notes:</w:t>
            </w: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1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2,508,685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70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loan note</w:t>
            </w:r>
          </w:p>
        </w:tc>
        <w:tc>
          <w:tcPr>
            <w:tcW w:w="60" w:type="dxa"/>
            <w:vAlign w:val="bottom"/>
            <w:shd w:val="clear" w:color="auto" w:fill="CFF0FC"/>
          </w:tcPr>
          <w:p>
            <w:pPr>
              <w:spacing w:after="0"/>
              <w:rPr>
                <w:sz w:val="18"/>
                <w:szCs w:val="18"/>
                <w:color w:val="auto"/>
              </w:rPr>
            </w:pPr>
          </w:p>
        </w:tc>
        <w:tc>
          <w:tcPr>
            <w:tcW w:w="1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2,887,017</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1700" w:type="dxa"/>
            <w:vAlign w:val="bottom"/>
          </w:tcPr>
          <w:p>
            <w:pPr>
              <w:spacing w:after="0"/>
              <w:rPr>
                <w:sz w:val="18"/>
                <w:szCs w:val="18"/>
                <w:color w:val="auto"/>
              </w:rPr>
            </w:pPr>
          </w:p>
        </w:tc>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convertible promissory notes</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5,395,702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740" w:type="dxa"/>
            <w:vAlign w:val="bottom"/>
            <w:tcBorders>
              <w:top w:val="single" w:sz="8" w:color="auto"/>
              <w:bottom w:val="single" w:sz="8" w:color="auto"/>
            </w:tcBorders>
            <w:gridSpan w:val="2"/>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-1139825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-1139825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-166370</wp:posOffset>
            </wp:positionV>
            <wp:extent cx="93980" cy="1797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77" w:lineRule="exact"/>
        <w:rPr>
          <w:sz w:val="20"/>
          <w:szCs w:val="20"/>
          <w:color w:val="auto"/>
        </w:rPr>
      </w:pPr>
    </w:p>
    <w:p>
      <w:pPr>
        <w:jc w:val="both"/>
        <w:ind w:right="440" w:firstLine="509"/>
        <w:spacing w:after="0" w:line="234" w:lineRule="auto"/>
        <w:rPr>
          <w:sz w:val="20"/>
          <w:szCs w:val="20"/>
          <w:color w:val="auto"/>
        </w:rPr>
      </w:pPr>
      <w:r>
        <w:rPr>
          <w:rFonts w:ascii="Times New Roman" w:cs="Times New Roman" w:eastAsia="Times New Roman" w:hAnsi="Times New Roman"/>
          <w:sz w:val="18"/>
          <w:szCs w:val="18"/>
          <w:color w:val="auto"/>
        </w:rPr>
        <w:t>On February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2024, the Company obtained an unsecured loan of $2,000,000 from YA II PN, LTD (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9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29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color w:val="auto"/>
        </w:rPr>
        <w:t>Promissory note:</w:t>
      </w:r>
    </w:p>
    <w:p>
      <w:pPr>
        <w:spacing w:after="0" w:line="128" w:lineRule="exact"/>
        <w:rPr>
          <w:sz w:val="20"/>
          <w:szCs w:val="20"/>
          <w:color w:val="auto"/>
        </w:rPr>
      </w:pPr>
    </w:p>
    <w:p>
      <w:pPr>
        <w:jc w:val="both"/>
        <w:ind w:right="220" w:firstLine="509"/>
        <w:spacing w:after="0" w:line="234" w:lineRule="auto"/>
        <w:rPr>
          <w:sz w:val="20"/>
          <w:szCs w:val="20"/>
          <w:color w:val="auto"/>
        </w:rPr>
      </w:pPr>
      <w:r>
        <w:rPr>
          <w:rFonts w:ascii="Times New Roman" w:cs="Times New Roman" w:eastAsia="Times New Roman" w:hAnsi="Times New Roman"/>
          <w:sz w:val="18"/>
          <w:szCs w:val="18"/>
          <w:color w:val="auto"/>
        </w:rPr>
        <w:t>On April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current and long-term liabilities</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24"/>
                <w:szCs w:val="24"/>
                <w:color w:val="auto"/>
              </w:rPr>
            </w:pP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680" w:type="dxa"/>
            <w:vAlign w:val="bottom"/>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2"/>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payable (6.1)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10,236,655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 (6.2)</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1,383,298</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20" w:type="dxa"/>
            <w:vAlign w:val="bottom"/>
            <w:shd w:val="clear" w:color="auto" w:fill="CFF0FC"/>
          </w:tcPr>
          <w:p>
            <w:pPr>
              <w:spacing w:after="0"/>
              <w:rPr>
                <w:sz w:val="18"/>
                <w:szCs w:val="18"/>
                <w:color w:val="auto"/>
              </w:rPr>
            </w:pPr>
          </w:p>
        </w:tc>
      </w:tr>
    </w:tbl>
    <w:p>
      <w:pPr>
        <w:spacing w:after="0" w:line="221" w:lineRule="exact"/>
        <w:rPr>
          <w:sz w:val="20"/>
          <w:szCs w:val="20"/>
          <w:color w:val="auto"/>
        </w:rPr>
      </w:pPr>
    </w:p>
    <w:p>
      <w:pPr>
        <w:ind w:left="520" w:right="40" w:hanging="508"/>
        <w:spacing w:after="0" w:line="254"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5.3). The Company expects prior to the close of the business combination to complete a reorganization under the Demerger, such that the existing shares transferred from Rezolve Limited to Rezolve AI Limited would result in a transfer of shares of approximately 6.13 ordinary shares of Rezolve Limited for one share of Rezolve AI Limited. In connection with the funding received through advanced subscription agreements as of June 30, 2023, the number of ordinary shares to be issued as part of the Rights Issue post re-organization is fixed at 1,115,217 and will not fluctuate with the Company’s pre-close equity value of the Company or that of Armada Acquisition Corp I. The Company may received additional funding under advanced subscription agreements which would increase the number of Ordinary shares to issue post-reorganization.</w:t>
      </w:r>
    </w:p>
    <w:p>
      <w:pPr>
        <w:spacing w:after="0" w:line="188" w:lineRule="exact"/>
        <w:rPr>
          <w:sz w:val="20"/>
          <w:szCs w:val="20"/>
          <w:color w:val="auto"/>
        </w:rPr>
      </w:pPr>
    </w:p>
    <w:p>
      <w:pPr>
        <w:ind w:left="520" w:hanging="508"/>
        <w:spacing w:after="0" w:line="245"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color w:val="auto"/>
        </w:rPr>
        <w:t>On October 7th, 2021, the Group acquired Jaymax International Service Inc. (“Jaymax”) (later renamed to “Rezolve Taiwan Limited”). As part of the acquisition of Jaymax, the Company agreed to issue $1,400,000 in Rezolve common stock to Jaymax’s former owner for completion of a 3-year noncompete period which began on the October 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2021. The share-based payment is to be settled by a fixed dollar amount of shares and therefore represents a liability in accordance with ASC 480. The liability was been measured at fair value using a discounted cash-flow model using the Company’s cost of capital of 10.8%.</w:t>
      </w:r>
    </w:p>
    <w:p>
      <w:pPr>
        <w:spacing w:after="0" w:line="304" w:lineRule="exact"/>
        <w:rPr>
          <w:sz w:val="20"/>
          <w:szCs w:val="20"/>
          <w:color w:val="auto"/>
        </w:rPr>
      </w:pPr>
    </w:p>
    <w:p>
      <w:pPr>
        <w:ind w:left="380" w:hanging="372"/>
        <w:spacing w:after="0"/>
        <w:tabs>
          <w:tab w:leader="none" w:pos="3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Non-operating (income)/ expenses, net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73"/>
        </w:trPr>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340" w:type="dxa"/>
            <w:vAlign w:val="bottom"/>
            <w:gridSpan w:val="2"/>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20" w:type="dxa"/>
            <w:vAlign w:val="bottom"/>
            <w:tcBorders>
              <w:bottom w:val="single" w:sz="8" w:color="auto"/>
            </w:tcBorders>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2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108,224</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327,383</w:t>
            </w:r>
          </w:p>
        </w:tc>
      </w:tr>
      <w:tr>
        <w:trPr>
          <w:trHeight w:val="216"/>
        </w:trPr>
        <w:tc>
          <w:tcPr>
            <w:tcW w:w="170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(496,448 )</w:t>
            </w:r>
          </w:p>
        </w:tc>
      </w:tr>
      <w:tr>
        <w:trPr>
          <w:trHeight w:val="216"/>
        </w:trPr>
        <w:tc>
          <w:tcPr>
            <w:tcW w:w="1700" w:type="dxa"/>
            <w:vAlign w:val="bottom"/>
          </w:tcPr>
          <w:p>
            <w:pPr>
              <w:spacing w:after="0"/>
              <w:rPr>
                <w:sz w:val="18"/>
                <w:szCs w:val="18"/>
                <w:color w:val="auto"/>
              </w:rPr>
            </w:pPr>
          </w:p>
        </w:tc>
        <w:tc>
          <w:tcPr>
            <w:tcW w:w="2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340" w:type="dxa"/>
            <w:vAlign w:val="bottom"/>
            <w:gridSpan w:val="2"/>
            <w:shd w:val="clear" w:color="auto" w:fill="CFF0FC"/>
          </w:tcPr>
          <w:p>
            <w:pPr>
              <w:spacing w:after="0"/>
              <w:rPr>
                <w:sz w:val="18"/>
                <w:szCs w:val="18"/>
                <w:color w:val="auto"/>
              </w:rPr>
            </w:pP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(408 )</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(2,686)</w:t>
            </w:r>
          </w:p>
        </w:tc>
      </w:tr>
      <w:tr>
        <w:trPr>
          <w:trHeight w:val="216"/>
        </w:trPr>
        <w:tc>
          <w:tcPr>
            <w:tcW w:w="1700" w:type="dxa"/>
            <w:vAlign w:val="bottom"/>
          </w:tcPr>
          <w:p>
            <w:pPr>
              <w:spacing w:after="0"/>
              <w:rPr>
                <w:sz w:val="18"/>
                <w:szCs w:val="18"/>
                <w:color w:val="auto"/>
              </w:rPr>
            </w:pPr>
          </w:p>
        </w:tc>
        <w:tc>
          <w:tcPr>
            <w:tcW w:w="21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40" w:type="dxa"/>
            <w:vAlign w:val="bottom"/>
            <w:tcBorders>
              <w:top w:val="single" w:sz="8" w:color="CFF0FC"/>
            </w:tcBorders>
            <w:gridSpan w:val="2"/>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107,816</w:t>
            </w:r>
          </w:p>
        </w:tc>
        <w:tc>
          <w:tcPr>
            <w:tcW w:w="260" w:type="dxa"/>
            <w:vAlign w:val="bottom"/>
            <w:tcBorders>
              <w:top w:val="single" w:sz="8" w:color="CFF0FC"/>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(171,751 )</w:t>
            </w:r>
          </w:p>
        </w:tc>
      </w:tr>
      <w:tr>
        <w:trPr>
          <w:trHeight w:val="567"/>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Related party disclosures</w:t>
            </w:r>
          </w:p>
        </w:tc>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3"/>
        </w:trPr>
        <w:tc>
          <w:tcPr>
            <w:tcW w:w="80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Key managerial personnel (KMP) and Members of their immediate families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64"/>
        </w:trPr>
        <w:tc>
          <w:tcPr>
            <w:tcW w:w="17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9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512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Chief executive officer, products, technology and digital services</w:t>
            </w: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Chief technical officer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Chief commercial officer</w:t>
            </w:r>
          </w:p>
        </w:tc>
        <w:tc>
          <w:tcPr>
            <w:tcW w:w="9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Chief executive officer, Rezolve China</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Non-executive deputy chairman</w:t>
            </w:r>
          </w:p>
        </w:tc>
        <w:tc>
          <w:tcPr>
            <w:tcW w:w="9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Non-executive director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Non-executive director</w:t>
            </w:r>
          </w:p>
        </w:tc>
        <w:tc>
          <w:tcPr>
            <w:tcW w:w="9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Derek Smith</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Non-executive director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Susan Wagner</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Member</w:t>
            </w:r>
          </w:p>
        </w:tc>
        <w:tc>
          <w:tcPr>
            <w:tcW w:w="9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-2390775</wp:posOffset>
            </wp:positionV>
            <wp:extent cx="10287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p>
      <w:pPr>
        <w:ind w:left="520" w:right="400" w:hanging="512"/>
        <w:spacing w:after="0" w:line="282"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approved for a planned liquidation through the Demerger (Refer to Note 2.1 – Basis of presentation).</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and outstanding balances with related parties were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period</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15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5"/>
                <w:szCs w:val="15"/>
                <w:color w:val="auto"/>
              </w:rPr>
            </w:pPr>
          </w:p>
        </w:tc>
        <w:tc>
          <w:tcPr>
            <w:tcW w:w="16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 Capital Issued at nominal value</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198"/>
        </w:trPr>
        <w:tc>
          <w:tcPr>
            <w:tcW w:w="4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Igor Lychagov (number of Ordinary shares issued in 2023</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- 163,265)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repaid</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Ltd.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taken</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4,000,000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 Limited</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Arthur Yao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w:t>
            </w:r>
          </w:p>
        </w:tc>
        <w:tc>
          <w:tcPr>
            <w:tcW w:w="220" w:type="dxa"/>
            <w:vAlign w:val="bottom"/>
          </w:tcPr>
          <w:p>
            <w:pPr>
              <w:spacing w:after="0"/>
              <w:rPr>
                <w:sz w:val="18"/>
                <w:szCs w:val="18"/>
                <w:color w:val="auto"/>
              </w:rPr>
            </w:pP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Adam Wagner</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220" w:type="dxa"/>
            <w:vAlign w:val="bottom"/>
          </w:tcPr>
          <w:p>
            <w:pPr>
              <w:spacing w:after="0"/>
              <w:rPr>
                <w:sz w:val="18"/>
                <w:szCs w:val="18"/>
                <w:color w:val="auto"/>
              </w:rPr>
            </w:pP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220" w:type="dxa"/>
            <w:vAlign w:val="bottom"/>
          </w:tcPr>
          <w:p>
            <w:pPr>
              <w:spacing w:after="0"/>
              <w:rPr>
                <w:sz w:val="18"/>
                <w:szCs w:val="18"/>
                <w:color w:val="auto"/>
              </w:rPr>
            </w:pP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79,250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Reimbursement of expenses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79,180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Managerial remuneration</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Key Management Personnel</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151,799</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147,702</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113,849</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110,776</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139,149</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135,393</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195,075</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115,682</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 Ltd</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673,282</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673,282</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345,896</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345,896</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Consulting fees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189,749</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184,627</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remuneration</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184,627</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200,129</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46,157</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49,212</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46,157</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49,212</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46,157</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49,212</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Business development expenses</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Rezolve China (2)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570,917</w:t>
            </w:r>
          </w:p>
        </w:tc>
      </w:tr>
    </w:tbl>
    <w:p>
      <w:pPr>
        <w:spacing w:after="0" w:line="179" w:lineRule="exact"/>
        <w:rPr>
          <w:sz w:val="20"/>
          <w:szCs w:val="20"/>
          <w:color w:val="auto"/>
        </w:rPr>
      </w:pPr>
    </w:p>
    <w:p>
      <w:pPr>
        <w:ind w:left="520" w:hanging="512"/>
        <w:spacing w:after="0" w:line="261" w:lineRule="auto"/>
        <w:tabs>
          <w:tab w:leader="none" w:pos="5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ind w:left="520" w:hanging="512"/>
        <w:spacing w:after="0"/>
        <w:tabs>
          <w:tab w:leader="none" w:pos="5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subsidiary Rezolve China. Please refer to the basis of presentation discussed in note 2.1.</w:t>
      </w:r>
    </w:p>
    <w:p>
      <w:pPr>
        <w:spacing w:after="0" w:line="20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765" w:right="7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5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3"/>
                <w:szCs w:val="13"/>
                <w:color w:val="auto"/>
              </w:rPr>
            </w:pPr>
          </w:p>
        </w:tc>
        <w:tc>
          <w:tcPr>
            <w:tcW w:w="16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4380" w:type="dxa"/>
            <w:vAlign w:val="bottom"/>
          </w:tcPr>
          <w:p>
            <w:pPr>
              <w:spacing w:after="0"/>
              <w:rPr>
                <w:sz w:val="15"/>
                <w:szCs w:val="15"/>
                <w:color w:val="auto"/>
              </w:rPr>
            </w:pPr>
          </w:p>
        </w:tc>
        <w:tc>
          <w:tcPr>
            <w:tcW w:w="158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2"/>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Unsecured Loans payable</w:t>
            </w:r>
          </w:p>
        </w:tc>
        <w:tc>
          <w:tcPr>
            <w:tcW w:w="15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447,067</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447,067</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Trade and other payables</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334,725</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147,485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Arthur Yao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151,105</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61,495</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31,248</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58,320</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126,223</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127,325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 Subscription Receivables</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111,845</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111,845</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7,999</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 (note 5.2)</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136,943</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Igor Lychagov (note 5.3)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6,028,177</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5,587,343</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Limited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1,260,417</w:t>
            </w:r>
          </w:p>
        </w:tc>
        <w:tc>
          <w:tcPr>
            <w:tcW w:w="240" w:type="dxa"/>
            <w:vAlign w:val="bottom"/>
          </w:tcPr>
          <w:p>
            <w:pPr>
              <w:spacing w:after="0"/>
              <w:rPr>
                <w:sz w:val="18"/>
                <w:szCs w:val="18"/>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94,531</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Adam Wagner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31,510</w:t>
            </w:r>
          </w:p>
        </w:tc>
        <w:tc>
          <w:tcPr>
            <w:tcW w:w="240" w:type="dxa"/>
            <w:vAlign w:val="bottom"/>
          </w:tcPr>
          <w:p>
            <w:pPr>
              <w:spacing w:after="0"/>
              <w:rPr>
                <w:sz w:val="18"/>
                <w:szCs w:val="18"/>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64,029</w:t>
            </w:r>
          </w:p>
        </w:tc>
        <w:tc>
          <w:tcPr>
            <w:tcW w:w="240" w:type="dxa"/>
            <w:vAlign w:val="bottom"/>
          </w:tcPr>
          <w:p>
            <w:pPr>
              <w:spacing w:after="0"/>
              <w:rPr>
                <w:sz w:val="18"/>
                <w:szCs w:val="18"/>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27,641</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79,910</w:t>
            </w:r>
          </w:p>
        </w:tc>
        <w:tc>
          <w:tcPr>
            <w:tcW w:w="240" w:type="dxa"/>
            <w:vAlign w:val="bottom"/>
          </w:tcPr>
          <w:p>
            <w:pPr>
              <w:spacing w:after="0"/>
              <w:rPr>
                <w:sz w:val="20"/>
                <w:szCs w:val="20"/>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bl>
    <w:p>
      <w:pPr>
        <w:spacing w:after="0" w:line="310" w:lineRule="exact"/>
        <w:rPr>
          <w:sz w:val="20"/>
          <w:szCs w:val="20"/>
          <w:color w:val="auto"/>
        </w:rPr>
      </w:pPr>
    </w:p>
    <w:p>
      <w:pPr>
        <w:ind w:left="520" w:hanging="512"/>
        <w:spacing w:after="0"/>
        <w:tabs>
          <w:tab w:leader="none" w:pos="5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Provision for income taxes in the six months ended June 30, 2024 and 2023 was not material. The effective tax rate was 0.5% and 0.4% for the six months ended June 30, 2024 and 2023, respectively. The effective tax rates differ significantly from the statutory tax rate of 25%, primarily due to the Company’s valuation allowance movement in each period presented.</w:t>
      </w:r>
    </w:p>
    <w:p>
      <w:pPr>
        <w:spacing w:after="0" w:line="280" w:lineRule="exact"/>
        <w:rPr>
          <w:sz w:val="20"/>
          <w:szCs w:val="20"/>
          <w:color w:val="auto"/>
        </w:rPr>
      </w:pPr>
    </w:p>
    <w:p>
      <w:pPr>
        <w:ind w:left="520" w:hanging="512"/>
        <w:spacing w:after="0"/>
        <w:tabs>
          <w:tab w:leader="none" w:pos="5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the condensed interim carve-out financial statements as of June 30, 2024, we have evaluated the following subsequent events through October 1, 2024 which is the date such financial statements are available to be issued:</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Close of business combination with Armada Acquisition Corp I. (“Armada”)</w:t>
      </w:r>
    </w:p>
    <w:p>
      <w:pPr>
        <w:spacing w:after="0" w:line="2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Amendment restatement and conversions to the Yorkville Note</w:t>
      </w:r>
    </w:p>
    <w:p>
      <w:pPr>
        <w:spacing w:after="0" w:line="2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w:t>
      </w:r>
      <w:r>
        <w:rPr>
          <w:rFonts w:ascii="Times New Roman" w:cs="Times New Roman" w:eastAsia="Times New Roman" w:hAnsi="Times New Roman"/>
          <w:sz w:val="18"/>
          <w:szCs w:val="18"/>
          <w:b w:val="1"/>
          <w:bCs w:val="1"/>
          <w:i w:val="1"/>
          <w:iCs w:val="1"/>
          <w:color w:val="auto"/>
        </w:rPr>
        <w:t>First YA Note</w:t>
      </w:r>
      <w:r>
        <w:rPr>
          <w:rFonts w:ascii="Times New Roman" w:cs="Times New Roman" w:eastAsia="Times New Roman" w:hAnsi="Times New Roman"/>
          <w:sz w:val="18"/>
          <w:szCs w:val="18"/>
          <w:color w:val="auto"/>
        </w:rPr>
        <w:t>") funded upon execution of the Second A&amp;R YA Agreement, the second tranche in an original principal amount of Two Million Five Hundred Thousand Dollars ($2,500,000) funded upon filing of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 The first two tranches, each equal to $2,500,000 (the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were funded as part of a promissory note, dated September 9, 2024.</w:t>
      </w:r>
    </w:p>
    <w:p>
      <w:pPr>
        <w:spacing w:after="0" w:line="180" w:lineRule="exact"/>
        <w:rPr>
          <w:sz w:val="20"/>
          <w:szCs w:val="20"/>
          <w:color w:val="auto"/>
        </w:rPr>
      </w:pPr>
    </w:p>
    <w:p>
      <w:pPr>
        <w:ind w:firstLine="653"/>
        <w:spacing w:after="0" w:line="255" w:lineRule="auto"/>
        <w:rPr>
          <w:sz w:val="20"/>
          <w:szCs w:val="20"/>
          <w:color w:val="auto"/>
        </w:rPr>
      </w:pPr>
      <w:r>
        <w:rPr>
          <w:rFonts w:ascii="Times New Roman" w:cs="Times New Roman" w:eastAsia="Times New Roman" w:hAnsi="Times New Roman"/>
          <w:sz w:val="18"/>
          <w:szCs w:val="18"/>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xml:space="preserve">”), and together with the </w:t>
      </w:r>
      <w:r>
        <w:rPr>
          <w:rFonts w:ascii="Times New Roman" w:cs="Times New Roman" w:eastAsia="Times New Roman" w:hAnsi="Times New Roman"/>
          <w:sz w:val="18"/>
          <w:szCs w:val="18"/>
          <w:b w:val="1"/>
          <w:bCs w:val="1"/>
          <w:i w:val="1"/>
          <w:iCs w:val="1"/>
          <w:color w:val="auto"/>
        </w:rPr>
        <w:t>First YA Note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8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As of December 30, 2024, the Company satisfied all of the the principal and interest outstanding under the YA Notes. In connection therewith, the Company issued an aggregate of 5,724,154 Ordinary Shares (including in payment of a fee to YA). As of the date hereof, no amount remains outstanding under the YA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of Senior Secured Convertible Notes</w:t>
      </w:r>
    </w:p>
    <w:p>
      <w:pPr>
        <w:spacing w:after="0" w:line="200" w:lineRule="exact"/>
        <w:rPr>
          <w:sz w:val="20"/>
          <w:szCs w:val="20"/>
          <w:color w:val="auto"/>
        </w:rPr>
      </w:pPr>
    </w:p>
    <w:p>
      <w:pPr>
        <w:spacing w:after="0" w:line="243"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Senior Secured Convertible Notes converted all of their $8,000,000 outstanding Convertible Notes at a conversion price of $7 per ordinary share.</w:t>
      </w:r>
    </w:p>
    <w:p>
      <w:pPr>
        <w:spacing w:after="0" w:line="16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On December 17, the Company, Apeiron Investment Group Ltd. and Bradley Wickens, the beneficial holders of the majority of Senior Secured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$41,000,000 million of outstanding Senior Secured Convertible Notes was revised to equal $2 per ordinary share.</w:t>
      </w:r>
    </w:p>
    <w:p>
      <w:pPr>
        <w:spacing w:after="0" w:line="399"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Pursuant to the Agreement, Apeiron Investment Group and Bradley Wickens will also procure that the registered nominees holding approximately $41,000,000 million of outstanding Convertible Notes (on behalf of Apeiron Investment Group Ltd. and Bradley Wickens) will exercise their option to convert all such outstanding Convertible Notes, at a conversion price of $2 per ordinary share. Following such conversions, there will be approximately $0.4 million of Senior Secured Convertible Notes outstanding under the Loan Note Instrument.</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58" w:name="page159"/>
    <w:bookmarkEnd w:id="158"/>
    <w:p>
      <w:pPr>
        <w:ind w:right="2540" w:firstLine="2510"/>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Stockholders of Rezolve AI Limited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carve-out consolidated balance sheets of Rezolve AI Limited and Subsidiaries (the Company) as of December 31, 2023 (restated) and 2022 (restated), and the related carve-out consolidated statements of operations, comprehensive loss, stockholders’ deficit and cash flows for each of the years in the two year period ended December 31, 2023 (restated), and the related notes (collectively referred to as the carve-out consolidated financial statements). In our opinion, the carve-out consolidated financial statements present fairly, in all material respects, the financial position of the Company as December 31, 2023 (restated) and 2022 (restated), and the results of its operations and its cash flows for each of the years in the two – year period ended December 31, 2023 (restated), in conformity with accounting principles generally accepted in the United States of America.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the 2023 and 2022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2, the accompanying 2023 and 2022 carve-out consolidated financial statements have been restated.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have been prepared assuming that the Company will continue as a going concern. As discussed in Note 2 to the carve-out consolidated financial statements, the Company has incurred losses since inception, has negative cash flows from operations, and has negative working capital, that raise substantial doubt about its ability to continue as a going concern. Management’s plans in regard to these matters are also described in Note 2. The carve-out consolidated financial statements do not include any adjustments that might result from the outcome of this uncertainty.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carve-out consolidated financial statements are the responsibility of the Company’s management. Our responsibility is to express an opinion on the Company’s carve-out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carve-out consolidated financial statements, whether due to error or fraud, and performing procedures that respond to those risks. Such procedures included examining, on a test basis, evidence regarding the amounts and disclosures in the carve-out consolidated financial statements. Our audits also included evaluating the accounting principles used</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and significant estimates made by management, as well as evaluating the overall presentation of the carve-out consolidated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2024, except for Notes 2.20, 13 and 14, as to which the date is June 11, 2023, except Note 17 as to which the date is January 10,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Carve-out Consolidated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3"/>
                <w:szCs w:val="13"/>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5"/>
                <w:szCs w:val="15"/>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299,013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Loans receivable (net of credit loss provision of $785,000 and nil as at</w:t>
            </w:r>
          </w:p>
        </w:tc>
        <w:tc>
          <w:tcPr>
            <w:tcW w:w="140" w:type="dxa"/>
            <w:vAlign w:val="bottom"/>
          </w:tcPr>
          <w:p>
            <w:pPr>
              <w:spacing w:after="0"/>
              <w:rPr>
                <w:sz w:val="17"/>
                <w:szCs w:val="17"/>
                <w:color w:val="auto"/>
              </w:rPr>
            </w:pPr>
          </w:p>
        </w:tc>
        <w:tc>
          <w:tcPr>
            <w:tcW w:w="17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598,414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14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321,988</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1,087,495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79,593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2,134,903</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2,214,496</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561,444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2,536,484</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4,569,703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3,728,974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to related party (refer to note 14)</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777,576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4,492,790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2,640,384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Ordinary shares payable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Short term convertible debt to related party (refer to note 14)</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 term debt to related party (refer to note 2.20 and note 14)</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Convertible debt (current)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56,821,368</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7,688,216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Convertible debt (long-term)</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25,302,709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payment liability (long-term)</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26,480,326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56,821,368</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34,168,542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Shareholders’ deficit</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Ordinary shares, £0.0001 nominal value 932,969,424 shares issued and outstanding</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 of December 31, 2023 927,806,159 shares issued and outstanding as of</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2022 991,285,244 and 986,121,959 shares authorized as of</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127,310</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Series A shares, £0.0001 nominal value 28,039,517 shares issued, authorized and</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outstanding as of December 31, 2023 and 2022</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172,204,832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163,165,083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 subscription receivable (1)</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(178,720 )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(178,720 )</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(226,291,430 )</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(195,555,332 )</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(150,744 )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(81,179 )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(54,284,884 )</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(32,519,603 )</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2,536,484</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-4817110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-4817110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-4251325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-4251325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-2562225</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-1996440</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Includes related party balances of $(119,844) as at December 31, 2023 and 2022, refer to note 14.</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Carve-out Consolidated Statement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 of revenue (refer to note 2.11)</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745,040</w:t>
            </w:r>
          </w:p>
        </w:tc>
        <w:tc>
          <w:tcPr>
            <w:tcW w:w="100" w:type="dxa"/>
            <w:vAlign w:val="bottom"/>
            <w:shd w:val="clear" w:color="auto" w:fill="CFF0FC"/>
          </w:tcPr>
          <w:p>
            <w:pPr>
              <w:spacing w:after="0"/>
              <w:rPr>
                <w:sz w:val="18"/>
                <w:szCs w:val="18"/>
                <w:color w:val="auto"/>
              </w:rPr>
            </w:pPr>
          </w:p>
        </w:tc>
      </w:tr>
      <w:tr>
        <w:trPr>
          <w:trHeight w:val="196"/>
        </w:trPr>
        <w:tc>
          <w:tcPr>
            <w:tcW w:w="772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 xml:space="preserve">Sales and marketing expenses </w:t>
            </w:r>
            <w:r>
              <w:rPr>
                <w:rFonts w:ascii="Times New Roman" w:cs="Times New Roman" w:eastAsia="Times New Roman" w:hAnsi="Times New Roman"/>
                <w:sz w:val="18"/>
                <w:szCs w:val="18"/>
                <w:i w:val="1"/>
                <w:iCs w:val="1"/>
                <w:color w:val="auto"/>
              </w:rPr>
              <w:t>(Including related party transactions of</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2,072,224 and 869,777 refer to Note 14)</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4,338,557</w:t>
            </w:r>
          </w:p>
        </w:tc>
        <w:tc>
          <w:tcPr>
            <w:tcW w:w="100" w:type="dxa"/>
            <w:vAlign w:val="bottom"/>
          </w:tcPr>
          <w:p>
            <w:pPr>
              <w:spacing w:after="0"/>
              <w:rPr>
                <w:sz w:val="20"/>
                <w:szCs w:val="20"/>
                <w:color w:val="auto"/>
              </w:rPr>
            </w:pPr>
          </w:p>
        </w:tc>
      </w:tr>
      <w:tr>
        <w:trPr>
          <w:trHeight w:val="196"/>
        </w:trPr>
        <w:tc>
          <w:tcPr>
            <w:tcW w:w="7720" w:type="dxa"/>
            <w:vAlign w:val="bottom"/>
            <w:shd w:val="clear" w:color="auto" w:fill="CFF0FC"/>
          </w:tcPr>
          <w:p>
            <w:pPr>
              <w:ind w:left="160"/>
              <w:spacing w:after="0" w:line="195" w:lineRule="exact"/>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18"/>
                <w:szCs w:val="18"/>
                <w:i w:val="1"/>
                <w:iCs w:val="1"/>
                <w:color w:val="auto"/>
              </w:rPr>
              <w:t>(Including related party transactions of</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i w:val="1"/>
                <w:iCs w:val="1"/>
                <w:color w:val="auto"/>
              </w:rPr>
              <w:t>3,831,291 and 41,231,704, refer to Note 14)</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86,640,500</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4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Impairment of goodwill</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FF0FC"/>
          </w:tcPr>
          <w:p>
            <w:pPr>
              <w:spacing w:after="0"/>
              <w:rPr>
                <w:sz w:val="18"/>
                <w:szCs w:val="18"/>
                <w:color w:val="auto"/>
              </w:rPr>
            </w:pP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107,161,306</w:t>
            </w:r>
          </w:p>
        </w:tc>
        <w:tc>
          <w:tcPr>
            <w:tcW w:w="100" w:type="dxa"/>
            <w:vAlign w:val="bottom"/>
            <w:tcBorders>
              <w:top w:val="single" w:sz="8" w:color="CFF0FC"/>
            </w:tcBorders>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(26,006,274 )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(107,046,147 )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(4,791,782 )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(3,884,695 )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256,659</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(4,666,416 )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(3,628,036 )</w:t>
            </w: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(30,672,690 )</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(110,674,183 )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(63,408 )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(38,765 )</w:t>
            </w: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(30,736,098 )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(110,712,948 )</w:t>
            </w:r>
          </w:p>
        </w:tc>
      </w:tr>
      <w:tr>
        <w:trPr>
          <w:trHeight w:val="20"/>
        </w:trPr>
        <w:tc>
          <w:tcPr>
            <w:tcW w:w="7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(0.12 )</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927,204,508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913,109,577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-2959735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-2959735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-1579880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-1288415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-722630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-439420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Comprehensive Loss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(30,736,098 )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(110,712,948 )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(69,565 )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(87,941 )</w:t>
            </w: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(30,805,663 )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(110,800,889 )</w:t>
            </w: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2" w:name="page163"/>
    <w:bookmarkEnd w:id="162"/>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REZOLVE AI LIMITED AND SUBSIDIARIES Carve-out Consolidated Statements of Changes in Shareholders’ Deficit</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320" w:type="dxa"/>
            <w:vAlign w:val="bottom"/>
          </w:tcPr>
          <w:p>
            <w:pPr>
              <w:spacing w:after="0"/>
              <w:rPr>
                <w:sz w:val="13"/>
                <w:szCs w:val="13"/>
                <w:color w:val="auto"/>
              </w:rPr>
            </w:pPr>
          </w:p>
        </w:tc>
        <w:tc>
          <w:tcPr>
            <w:tcW w:w="1940" w:type="dxa"/>
            <w:vAlign w:val="bottom"/>
            <w:gridSpan w:val="4"/>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480" w:type="dxa"/>
            <w:vAlign w:val="bottom"/>
            <w:gridSpan w:val="3"/>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Series A shares</w:t>
            </w:r>
          </w:p>
        </w:tc>
        <w:tc>
          <w:tcPr>
            <w:tcW w:w="0" w:type="dxa"/>
            <w:vAlign w:val="bottom"/>
          </w:tcPr>
          <w:p>
            <w:pPr>
              <w:spacing w:after="0"/>
              <w:rPr>
                <w:sz w:val="1"/>
                <w:szCs w:val="1"/>
                <w:color w:val="auto"/>
              </w:rPr>
            </w:pPr>
          </w:p>
        </w:tc>
      </w:tr>
      <w:tr>
        <w:trPr>
          <w:trHeight w:val="128"/>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as at January 1, 2022</w:t>
            </w:r>
          </w:p>
        </w:tc>
        <w:tc>
          <w:tcPr>
            <w:tcW w:w="980" w:type="dxa"/>
            <w:vAlign w:val="bottom"/>
            <w:tcBorders>
              <w:top w:val="single" w:sz="8" w:color="auto"/>
            </w:tcBorders>
            <w:gridSpan w:val="2"/>
          </w:tcPr>
          <w:p>
            <w:pPr>
              <w:jc w:val="right"/>
              <w:ind w:right="4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7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10"/>
        </w:trPr>
        <w:tc>
          <w:tcPr>
            <w:tcW w:w="2320" w:type="dxa"/>
            <w:vAlign w:val="bottom"/>
            <w:vMerge w:val="continue"/>
          </w:tcPr>
          <w:p>
            <w:pPr>
              <w:spacing w:after="0"/>
              <w:rPr>
                <w:sz w:val="9"/>
                <w:szCs w:val="9"/>
                <w:color w:val="auto"/>
              </w:rPr>
            </w:pPr>
          </w:p>
        </w:tc>
        <w:tc>
          <w:tcPr>
            <w:tcW w:w="7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891,818,882</w:t>
            </w:r>
          </w:p>
        </w:tc>
        <w:tc>
          <w:tcPr>
            <w:tcW w:w="200" w:type="dxa"/>
            <w:vAlign w:val="bottom"/>
          </w:tcPr>
          <w:p>
            <w:pPr>
              <w:spacing w:after="0"/>
              <w:rPr>
                <w:sz w:val="9"/>
                <w:szCs w:val="9"/>
                <w:color w:val="auto"/>
              </w:rPr>
            </w:pPr>
          </w:p>
        </w:tc>
        <w:tc>
          <w:tcPr>
            <w:tcW w:w="7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122,427</w:t>
            </w:r>
          </w:p>
        </w:tc>
        <w:tc>
          <w:tcPr>
            <w:tcW w:w="220" w:type="dxa"/>
            <w:vAlign w:val="bottom"/>
          </w:tcPr>
          <w:p>
            <w:pPr>
              <w:spacing w:after="0"/>
              <w:rPr>
                <w:sz w:val="9"/>
                <w:szCs w:val="9"/>
                <w:color w:val="auto"/>
              </w:rPr>
            </w:pPr>
          </w:p>
        </w:tc>
        <w:tc>
          <w:tcPr>
            <w:tcW w:w="7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28,039,517</w:t>
            </w:r>
          </w:p>
        </w:tc>
        <w:tc>
          <w:tcPr>
            <w:tcW w:w="220" w:type="dxa"/>
            <w:vAlign w:val="bottom"/>
          </w:tcPr>
          <w:p>
            <w:pPr>
              <w:spacing w:after="0"/>
              <w:rPr>
                <w:sz w:val="9"/>
                <w:szCs w:val="9"/>
                <w:color w:val="auto"/>
              </w:rPr>
            </w:pPr>
          </w:p>
        </w:tc>
        <w:tc>
          <w:tcPr>
            <w:tcW w:w="5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3,868</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2,040,816</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166</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for ANY</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(note 2.20) (as restated)</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14,427,185</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1,993</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consultant (note 11)</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5,000,000</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677</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against</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exercise of warrants (note 9)</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1,700,000</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related parties (note 11)</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27,246,461</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3,215</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Employee share-based</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compensation (note 11)</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ANY shares reverted (note 2.20)</w:t>
            </w: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(14,427,185 )</w:t>
            </w:r>
          </w:p>
        </w:tc>
        <w:tc>
          <w:tcPr>
            <w:tcW w:w="9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(1,993 )</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Net Loss (as restated)</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8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32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5"/>
        </w:trPr>
        <w:tc>
          <w:tcPr>
            <w:tcW w:w="23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auto"/>
              </w:rPr>
              <w:t>(loss) (as restated)</w:t>
            </w:r>
          </w:p>
        </w:tc>
        <w:tc>
          <w:tcPr>
            <w:tcW w:w="78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2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Balance as at December 31, 2022</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927,806,159</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126,677</w:t>
            </w: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28,039,517</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0" w:type="dxa"/>
            <w:vAlign w:val="bottom"/>
          </w:tcPr>
          <w:p>
            <w:pPr>
              <w:spacing w:after="0"/>
              <w:rPr>
                <w:sz w:val="1"/>
                <w:szCs w:val="1"/>
                <w:color w:val="auto"/>
              </w:rPr>
            </w:pPr>
          </w:p>
        </w:tc>
      </w:tr>
      <w:tr>
        <w:trPr>
          <w:trHeight w:val="128"/>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Ordinary shares issued to related</w:t>
            </w: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3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parties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163,265</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from</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exercise of share-options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5,000,000</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of services</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related</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parties</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Employee share-based compensation</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Net loss</w:t>
            </w:r>
          </w:p>
        </w:tc>
        <w:tc>
          <w:tcPr>
            <w:tcW w:w="9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Foreign currency translation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vMerge w:val="restart"/>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vMerge w:val="restart"/>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7"/>
        </w:trPr>
        <w:tc>
          <w:tcPr>
            <w:tcW w:w="23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78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2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Balance as at December 31, 2023</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932,969,424</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127,310</w:t>
            </w: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28,039,517</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0" w:type="dxa"/>
            <w:vAlign w:val="bottom"/>
          </w:tcPr>
          <w:p>
            <w:pPr>
              <w:spacing w:after="0"/>
              <w:rPr>
                <w:sz w:val="1"/>
                <w:szCs w:val="1"/>
                <w:color w:val="auto"/>
              </w:rPr>
            </w:pPr>
          </w:p>
        </w:tc>
      </w:tr>
      <w:tr>
        <w:trPr>
          <w:trHeight w:val="117"/>
        </w:trPr>
        <w:tc>
          <w:tcPr>
            <w:tcW w:w="23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-2853690</wp:posOffset>
            </wp:positionV>
            <wp:extent cx="7132320" cy="8572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-2682240</wp:posOffset>
            </wp:positionV>
            <wp:extent cx="7132320" cy="1714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-2339340</wp:posOffset>
            </wp:positionV>
            <wp:extent cx="7132320" cy="1714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7132320" cy="1714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7132320" cy="1714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1714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714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1714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572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968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162"/>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60" w:type="dxa"/>
            <w:vAlign w:val="bottom"/>
            <w:gridSpan w:val="2"/>
          </w:tcPr>
          <w:p>
            <w:pPr>
              <w:jc w:val="center"/>
              <w:ind w:right="18"/>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0" w:type="dxa"/>
            <w:vAlign w:val="bottom"/>
            <w:gridSpan w:val="2"/>
          </w:tcPr>
          <w:p>
            <w:pPr>
              <w:jc w:val="right"/>
              <w:ind w:right="202"/>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0" w:type="dxa"/>
            <w:vAlign w:val="bottom"/>
            <w:gridSpan w:val="2"/>
          </w:tcPr>
          <w:p>
            <w:pPr>
              <w:jc w:val="center"/>
              <w:ind w:right="162"/>
              <w:spacing w:after="0" w:line="135" w:lineRule="exact"/>
              <w:rPr>
                <w:sz w:val="20"/>
                <w:szCs w:val="20"/>
                <w:color w:val="auto"/>
              </w:rPr>
            </w:pPr>
            <w:r>
              <w:rPr>
                <w:rFonts w:ascii="Times New Roman" w:cs="Times New Roman" w:eastAsia="Times New Roman" w:hAnsi="Times New Roman"/>
                <w:sz w:val="13"/>
                <w:szCs w:val="13"/>
                <w:b w:val="1"/>
                <w:bCs w:val="1"/>
                <w:color w:val="auto"/>
                <w:w w:val="96"/>
              </w:rPr>
              <w:t>subscription</w:t>
            </w: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1060" w:type="dxa"/>
            <w:vAlign w:val="bottom"/>
            <w:gridSpan w:val="2"/>
          </w:tcPr>
          <w:p>
            <w:pPr>
              <w:jc w:val="center"/>
              <w:ind w:right="18"/>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r>
      <w:tr>
        <w:trPr>
          <w:trHeight w:val="155"/>
        </w:trPr>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000" w:type="dxa"/>
            <w:vAlign w:val="bottom"/>
            <w:gridSpan w:val="2"/>
          </w:tcPr>
          <w:p>
            <w:pPr>
              <w:jc w:val="right"/>
              <w:ind w:right="382"/>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0" w:type="dxa"/>
            <w:vAlign w:val="bottom"/>
            <w:gridSpan w:val="2"/>
          </w:tcPr>
          <w:p>
            <w:pPr>
              <w:jc w:val="center"/>
              <w:ind w:right="162"/>
              <w:spacing w:after="0"/>
              <w:rPr>
                <w:sz w:val="20"/>
                <w:szCs w:val="20"/>
                <w:color w:val="auto"/>
              </w:rPr>
            </w:pPr>
            <w:r>
              <w:rPr>
                <w:rFonts w:ascii="Times New Roman" w:cs="Times New Roman" w:eastAsia="Times New Roman" w:hAnsi="Times New Roman"/>
                <w:sz w:val="13"/>
                <w:szCs w:val="13"/>
                <w:b w:val="1"/>
                <w:bCs w:val="1"/>
                <w:color w:val="auto"/>
                <w:w w:val="95"/>
              </w:rPr>
              <w:t>receivable</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r>
      <w:tr>
        <w:trPr>
          <w:trHeight w:val="110"/>
        </w:trPr>
        <w:tc>
          <w:tcPr>
            <w:tcW w:w="7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83,692,381</w:t>
            </w:r>
          </w:p>
        </w:tc>
        <w:tc>
          <w:tcPr>
            <w:tcW w:w="220" w:type="dxa"/>
            <w:vAlign w:val="bottom"/>
          </w:tcPr>
          <w:p>
            <w:pPr>
              <w:spacing w:after="0"/>
              <w:rPr>
                <w:sz w:val="9"/>
                <w:szCs w:val="9"/>
                <w:color w:val="auto"/>
              </w:rPr>
            </w:pPr>
          </w:p>
        </w:tc>
        <w:tc>
          <w:tcPr>
            <w:tcW w:w="7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(84,842,384</w:t>
            </w:r>
          </w:p>
        </w:tc>
        <w:tc>
          <w:tcPr>
            <w:tcW w:w="220" w:type="dxa"/>
            <w:vAlign w:val="bottom"/>
          </w:tcPr>
          <w:p>
            <w:pPr>
              <w:jc w:val="right"/>
              <w:ind w:right="102"/>
              <w:spacing w:after="0" w:line="110" w:lineRule="exact"/>
              <w:rPr>
                <w:sz w:val="20"/>
                <w:szCs w:val="20"/>
                <w:color w:val="auto"/>
              </w:rPr>
            </w:pPr>
            <w:r>
              <w:rPr>
                <w:rFonts w:ascii="Times New Roman" w:cs="Times New Roman" w:eastAsia="Times New Roman" w:hAnsi="Times New Roman"/>
                <w:sz w:val="12"/>
                <w:szCs w:val="12"/>
                <w:b w:val="1"/>
                <w:bCs w:val="1"/>
                <w:color w:val="auto"/>
                <w:w w:val="98"/>
              </w:rPr>
              <w:t>)</w:t>
            </w:r>
          </w:p>
        </w:tc>
        <w:tc>
          <w:tcPr>
            <w:tcW w:w="7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(175,505</w:t>
            </w:r>
          </w:p>
        </w:tc>
        <w:tc>
          <w:tcPr>
            <w:tcW w:w="220" w:type="dxa"/>
            <w:vAlign w:val="bottom"/>
          </w:tcPr>
          <w:p>
            <w:pPr>
              <w:jc w:val="right"/>
              <w:ind w:right="102"/>
              <w:spacing w:after="0" w:line="110" w:lineRule="exact"/>
              <w:rPr>
                <w:sz w:val="20"/>
                <w:szCs w:val="20"/>
                <w:color w:val="auto"/>
              </w:rPr>
            </w:pPr>
            <w:r>
              <w:rPr>
                <w:rFonts w:ascii="Times New Roman" w:cs="Times New Roman" w:eastAsia="Times New Roman" w:hAnsi="Times New Roman"/>
                <w:sz w:val="12"/>
                <w:szCs w:val="12"/>
                <w:b w:val="1"/>
                <w:bCs w:val="1"/>
                <w:color w:val="auto"/>
                <w:w w:val="98"/>
              </w:rPr>
              <w:t>)</w:t>
            </w:r>
          </w:p>
        </w:tc>
        <w:tc>
          <w:tcPr>
            <w:tcW w:w="9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6,762</w:t>
            </w:r>
          </w:p>
        </w:tc>
        <w:tc>
          <w:tcPr>
            <w:tcW w:w="220" w:type="dxa"/>
            <w:vAlign w:val="bottom"/>
          </w:tcPr>
          <w:p>
            <w:pPr>
              <w:spacing w:after="0"/>
              <w:rPr>
                <w:sz w:val="9"/>
                <w:szCs w:val="9"/>
                <w:color w:val="auto"/>
              </w:rPr>
            </w:pPr>
          </w:p>
        </w:tc>
        <w:tc>
          <w:tcPr>
            <w:tcW w:w="10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(1,192,451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64"/>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2,499,754</w:t>
            </w:r>
          </w:p>
        </w:tc>
        <w:tc>
          <w:tcPr>
            <w:tcW w:w="220" w:type="dxa"/>
            <w:vAlign w:val="bottom"/>
          </w:tcPr>
          <w:p>
            <w:pPr>
              <w:spacing w:after="0"/>
              <w:rPr>
                <w:sz w:val="14"/>
                <w:szCs w:val="14"/>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2,499,920</w:t>
            </w:r>
          </w:p>
        </w:tc>
        <w:tc>
          <w:tcPr>
            <w:tcW w:w="40" w:type="dxa"/>
            <w:vAlign w:val="bottom"/>
          </w:tcPr>
          <w:p>
            <w:pPr>
              <w:spacing w:after="0"/>
              <w:rPr>
                <w:sz w:val="14"/>
                <w:szCs w:val="14"/>
                <w:color w:val="auto"/>
              </w:rPr>
            </w:pP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14,858,007</w:t>
            </w:r>
          </w:p>
        </w:tc>
        <w:tc>
          <w:tcPr>
            <w:tcW w:w="220" w:type="dxa"/>
            <w:vAlign w:val="bottom"/>
          </w:tcPr>
          <w:p>
            <w:pPr>
              <w:spacing w:after="0"/>
              <w:rPr>
                <w:sz w:val="23"/>
                <w:szCs w:val="23"/>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14,860,000</w:t>
            </w:r>
          </w:p>
        </w:tc>
        <w:tc>
          <w:tcPr>
            <w:tcW w:w="40" w:type="dxa"/>
            <w:vAlign w:val="bottom"/>
          </w:tcPr>
          <w:p>
            <w:pPr>
              <w:spacing w:after="0"/>
              <w:rPr>
                <w:sz w:val="23"/>
                <w:szCs w:val="23"/>
                <w:color w:val="auto"/>
              </w:rPr>
            </w:pP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18,417,139</w:t>
            </w:r>
          </w:p>
        </w:tc>
        <w:tc>
          <w:tcPr>
            <w:tcW w:w="220" w:type="dxa"/>
            <w:vAlign w:val="bottom"/>
          </w:tcPr>
          <w:p>
            <w:pPr>
              <w:spacing w:after="0"/>
              <w:rPr>
                <w:sz w:val="23"/>
                <w:szCs w:val="23"/>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18,417,816</w:t>
            </w:r>
          </w:p>
        </w:tc>
        <w:tc>
          <w:tcPr>
            <w:tcW w:w="40" w:type="dxa"/>
            <w:vAlign w:val="bottom"/>
          </w:tcPr>
          <w:p>
            <w:pPr>
              <w:spacing w:after="0"/>
              <w:rPr>
                <w:sz w:val="23"/>
                <w:szCs w:val="23"/>
                <w:color w:val="auto"/>
              </w:rPr>
            </w:pP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2,082,308</w:t>
            </w:r>
          </w:p>
        </w:tc>
        <w:tc>
          <w:tcPr>
            <w:tcW w:w="220" w:type="dxa"/>
            <w:vAlign w:val="bottom"/>
          </w:tcPr>
          <w:p>
            <w:pPr>
              <w:spacing w:after="0"/>
              <w:rPr>
                <w:sz w:val="23"/>
                <w:szCs w:val="23"/>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2,082,500</w:t>
            </w:r>
          </w:p>
        </w:tc>
        <w:tc>
          <w:tcPr>
            <w:tcW w:w="40" w:type="dxa"/>
            <w:vAlign w:val="bottom"/>
          </w:tcPr>
          <w:p>
            <w:pPr>
              <w:spacing w:after="0"/>
              <w:rPr>
                <w:sz w:val="23"/>
                <w:szCs w:val="23"/>
                <w:color w:val="auto"/>
              </w:rPr>
            </w:pP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39,498,486</w:t>
            </w:r>
          </w:p>
        </w:tc>
        <w:tc>
          <w:tcPr>
            <w:tcW w:w="220" w:type="dxa"/>
            <w:vAlign w:val="bottom"/>
          </w:tcPr>
          <w:p>
            <w:pPr>
              <w:spacing w:after="0"/>
              <w:rPr>
                <w:sz w:val="23"/>
                <w:szCs w:val="23"/>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(3,215 )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39,498,486</w:t>
            </w:r>
          </w:p>
        </w:tc>
        <w:tc>
          <w:tcPr>
            <w:tcW w:w="40" w:type="dxa"/>
            <w:vAlign w:val="bottom"/>
          </w:tcPr>
          <w:p>
            <w:pPr>
              <w:spacing w:after="0"/>
              <w:rPr>
                <w:sz w:val="23"/>
                <w:szCs w:val="23"/>
                <w:color w:val="auto"/>
              </w:rPr>
            </w:pPr>
          </w:p>
        </w:tc>
      </w:tr>
      <w:tr>
        <w:trPr>
          <w:trHeight w:val="241"/>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2,115,015</w:t>
            </w:r>
          </w:p>
        </w:tc>
        <w:tc>
          <w:tcPr>
            <w:tcW w:w="220" w:type="dxa"/>
            <w:vAlign w:val="bottom"/>
          </w:tcPr>
          <w:p>
            <w:pPr>
              <w:spacing w:after="0"/>
              <w:rPr>
                <w:sz w:val="20"/>
                <w:szCs w:val="20"/>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2,115,015</w:t>
            </w:r>
          </w:p>
        </w:tc>
        <w:tc>
          <w:tcPr>
            <w:tcW w:w="40" w:type="dxa"/>
            <w:vAlign w:val="bottom"/>
          </w:tcPr>
          <w:p>
            <w:pPr>
              <w:spacing w:after="0"/>
              <w:rPr>
                <w:sz w:val="20"/>
                <w:szCs w:val="20"/>
                <w:color w:val="auto"/>
              </w:rPr>
            </w:pPr>
          </w:p>
        </w:tc>
      </w:tr>
      <w:tr>
        <w:trPr>
          <w:trHeight w:val="135"/>
        </w:trPr>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1,993</w:t>
            </w:r>
          </w:p>
        </w:tc>
        <w:tc>
          <w:tcPr>
            <w:tcW w:w="220" w:type="dxa"/>
            <w:vAlign w:val="bottom"/>
          </w:tcPr>
          <w:p>
            <w:pPr>
              <w:spacing w:after="0"/>
              <w:rPr>
                <w:sz w:val="11"/>
                <w:szCs w:val="11"/>
                <w:color w:val="auto"/>
              </w:rPr>
            </w:pPr>
          </w:p>
        </w:tc>
        <w:tc>
          <w:tcPr>
            <w:tcW w:w="1000" w:type="dxa"/>
            <w:vAlign w:val="bottom"/>
            <w:gridSpan w:val="2"/>
          </w:tcPr>
          <w:p>
            <w:pPr>
              <w:jc w:val="right"/>
              <w:ind w:right="182"/>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(110,712,94</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4"/>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8 )</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(110,712,948 )</w:t>
            </w:r>
          </w:p>
        </w:tc>
      </w:tr>
      <w:tr>
        <w:trPr>
          <w:trHeight w:val="246"/>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(87,941 )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(87,941 )</w:t>
            </w:r>
          </w:p>
        </w:tc>
      </w:tr>
      <w:tr>
        <w:trPr>
          <w:trHeight w:val="108"/>
        </w:trPr>
        <w:tc>
          <w:tcPr>
            <w:tcW w:w="7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163,165,08</w:t>
            </w:r>
          </w:p>
        </w:tc>
        <w:tc>
          <w:tcPr>
            <w:tcW w:w="220" w:type="dxa"/>
            <w:vAlign w:val="bottom"/>
          </w:tcPr>
          <w:p>
            <w:pPr>
              <w:spacing w:after="0"/>
              <w:rPr>
                <w:sz w:val="9"/>
                <w:szCs w:val="9"/>
                <w:color w:val="auto"/>
              </w:rPr>
            </w:pPr>
          </w:p>
        </w:tc>
        <w:tc>
          <w:tcPr>
            <w:tcW w:w="78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(195,555,33</w:t>
            </w:r>
          </w:p>
        </w:tc>
        <w:tc>
          <w:tcPr>
            <w:tcW w:w="2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66"/>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20" w:type="dxa"/>
            <w:vAlign w:val="bottom"/>
          </w:tcPr>
          <w:p>
            <w:pPr>
              <w:spacing w:after="0"/>
              <w:rPr>
                <w:sz w:val="14"/>
                <w:szCs w:val="14"/>
                <w:color w:val="auto"/>
              </w:rPr>
            </w:pP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2 )</w:t>
            </w: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(178,720 )</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(81,179 )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(32,519,603 )</w:t>
            </w: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199,954</w:t>
            </w:r>
          </w:p>
        </w:tc>
        <w:tc>
          <w:tcPr>
            <w:tcW w:w="220" w:type="dxa"/>
            <w:vAlign w:val="bottom"/>
          </w:tcPr>
          <w:p>
            <w:pPr>
              <w:spacing w:after="0"/>
              <w:rPr>
                <w:sz w:val="23"/>
                <w:szCs w:val="23"/>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199,974</w:t>
            </w:r>
          </w:p>
        </w:tc>
        <w:tc>
          <w:tcPr>
            <w:tcW w:w="40" w:type="dxa"/>
            <w:vAlign w:val="bottom"/>
          </w:tcPr>
          <w:p>
            <w:pPr>
              <w:spacing w:after="0"/>
              <w:rPr>
                <w:sz w:val="23"/>
                <w:szCs w:val="23"/>
                <w:color w:val="auto"/>
              </w:rPr>
            </w:pPr>
          </w:p>
        </w:tc>
      </w:tr>
      <w:tr>
        <w:trPr>
          <w:trHeight w:val="270"/>
        </w:trPr>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(613 )</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115,190</w:t>
            </w:r>
          </w:p>
        </w:tc>
        <w:tc>
          <w:tcPr>
            <w:tcW w:w="220" w:type="dxa"/>
            <w:vAlign w:val="bottom"/>
          </w:tcPr>
          <w:p>
            <w:pPr>
              <w:spacing w:after="0"/>
              <w:rPr>
                <w:sz w:val="23"/>
                <w:szCs w:val="23"/>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115,190</w:t>
            </w:r>
          </w:p>
        </w:tc>
        <w:tc>
          <w:tcPr>
            <w:tcW w:w="40" w:type="dxa"/>
            <w:vAlign w:val="bottom"/>
          </w:tcPr>
          <w:p>
            <w:pPr>
              <w:spacing w:after="0"/>
              <w:rPr>
                <w:sz w:val="23"/>
                <w:szCs w:val="23"/>
                <w:color w:val="auto"/>
              </w:rPr>
            </w:pPr>
          </w:p>
        </w:tc>
      </w:tr>
      <w:tr>
        <w:trPr>
          <w:trHeight w:val="241"/>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3,646,017</w:t>
            </w:r>
          </w:p>
        </w:tc>
        <w:tc>
          <w:tcPr>
            <w:tcW w:w="220" w:type="dxa"/>
            <w:vAlign w:val="bottom"/>
          </w:tcPr>
          <w:p>
            <w:pPr>
              <w:spacing w:after="0"/>
              <w:rPr>
                <w:sz w:val="20"/>
                <w:szCs w:val="20"/>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3,646,017</w:t>
            </w:r>
          </w:p>
        </w:tc>
        <w:tc>
          <w:tcPr>
            <w:tcW w:w="40" w:type="dxa"/>
            <w:vAlign w:val="bottom"/>
          </w:tcPr>
          <w:p>
            <w:pPr>
              <w:spacing w:after="0"/>
              <w:rPr>
                <w:sz w:val="20"/>
                <w:szCs w:val="20"/>
                <w:color w:val="auto"/>
              </w:rPr>
            </w:pPr>
          </w:p>
        </w:tc>
      </w:tr>
      <w:tr>
        <w:trPr>
          <w:trHeight w:val="135"/>
        </w:trPr>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220" w:type="dxa"/>
            <w:vAlign w:val="bottom"/>
          </w:tcPr>
          <w:p>
            <w:pPr>
              <w:spacing w:after="0"/>
              <w:rPr>
                <w:sz w:val="11"/>
                <w:szCs w:val="11"/>
                <w:color w:val="auto"/>
              </w:rPr>
            </w:pPr>
          </w:p>
        </w:tc>
        <w:tc>
          <w:tcPr>
            <w:tcW w:w="1000" w:type="dxa"/>
            <w:vAlign w:val="bottom"/>
            <w:gridSpan w:val="2"/>
          </w:tcPr>
          <w:p>
            <w:pPr>
              <w:jc w:val="right"/>
              <w:ind w:right="182"/>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40" w:type="dxa"/>
            <w:vAlign w:val="bottom"/>
          </w:tcPr>
          <w:p>
            <w:pPr>
              <w:spacing w:after="0"/>
              <w:rPr>
                <w:sz w:val="11"/>
                <w:szCs w:val="11"/>
                <w:color w:val="auto"/>
              </w:rPr>
            </w:pPr>
          </w:p>
        </w:tc>
      </w:tr>
      <w:tr>
        <w:trPr>
          <w:trHeight w:val="164"/>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(30,736,098 )</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(30,736,098 )</w:t>
            </w:r>
          </w:p>
        </w:tc>
      </w:tr>
      <w:tr>
        <w:trPr>
          <w:trHeight w:val="245"/>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(69,565 )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(69,565 )</w:t>
            </w:r>
          </w:p>
        </w:tc>
      </w:tr>
      <w:tr>
        <w:trPr>
          <w:trHeight w:val="108"/>
        </w:trPr>
        <w:tc>
          <w:tcPr>
            <w:tcW w:w="7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172,204,83</w:t>
            </w:r>
          </w:p>
        </w:tc>
        <w:tc>
          <w:tcPr>
            <w:tcW w:w="220" w:type="dxa"/>
            <w:vAlign w:val="bottom"/>
          </w:tcPr>
          <w:p>
            <w:pPr>
              <w:spacing w:after="0"/>
              <w:rPr>
                <w:sz w:val="9"/>
                <w:szCs w:val="9"/>
                <w:color w:val="auto"/>
              </w:rPr>
            </w:pPr>
          </w:p>
        </w:tc>
        <w:tc>
          <w:tcPr>
            <w:tcW w:w="78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(226,291,43</w:t>
            </w:r>
          </w:p>
        </w:tc>
        <w:tc>
          <w:tcPr>
            <w:tcW w:w="2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55"/>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3"/>
                <w:szCs w:val="13"/>
                <w:color w:val="auto"/>
              </w:rPr>
            </w:pP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0 )</w:t>
            </w: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(178,720 )</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(150,744 )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(54,284,884 )</w:t>
            </w: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60" w:space="220"/>
            <w:col w:w="5200"/>
          </w:cols>
          <w:pgMar w:left="320" w:top="981" w:right="399" w:bottom="144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carve-out consolidated financial statements.</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73"/>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(30,736,098 )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(110,712,948 )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375,298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(277,838 )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issued to related parties for consultancy services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3,646,017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24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share based compensation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5,079,201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2,115,015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ROU asset, net of lease termination</w:t>
            </w:r>
          </w:p>
        </w:tc>
        <w:tc>
          <w:tcPr>
            <w:tcW w:w="24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46,236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240" w:type="dxa"/>
            <w:vAlign w:val="bottom"/>
          </w:tcPr>
          <w:p>
            <w:pPr>
              <w:spacing w:after="0"/>
              <w:rPr>
                <w:sz w:val="18"/>
                <w:szCs w:val="18"/>
                <w:color w:val="auto"/>
              </w:rPr>
            </w:pP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731,940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accounts receivable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loans receivable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24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240" w:type="dxa"/>
            <w:vAlign w:val="bottom"/>
          </w:tcPr>
          <w:p>
            <w:pPr>
              <w:spacing w:after="0"/>
              <w:rPr>
                <w:sz w:val="18"/>
                <w:szCs w:val="18"/>
                <w:color w:val="auto"/>
              </w:rPr>
            </w:pP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14,600,000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Decrease/(increase) in accounts receivable</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(3,679 )</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712,554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prepayment and other current assets</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(416,069 )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(56,523 )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 operating lease liability</w:t>
            </w:r>
          </w:p>
        </w:tc>
        <w:tc>
          <w:tcPr>
            <w:tcW w:w="24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(46,236 )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receivable with related parties</w:t>
            </w:r>
          </w:p>
        </w:tc>
        <w:tc>
          <w:tcPr>
            <w:tcW w:w="240" w:type="dxa"/>
            <w:vAlign w:val="bottom"/>
          </w:tcPr>
          <w:p>
            <w:pPr>
              <w:spacing w:after="0"/>
              <w:rPr>
                <w:sz w:val="18"/>
                <w:szCs w:val="18"/>
                <w:color w:val="auto"/>
              </w:rPr>
            </w:pP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payables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2,310,465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3,340,539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payables to related parties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552,456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161,791</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(13,001,875 )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(26,788,906 )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(14,376 )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(36,854 )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of intangible assets</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(1,767,148 )</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(1,781,524 )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(36,854 )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rights issuance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7,767,674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240" w:type="dxa"/>
            <w:vAlign w:val="bottom"/>
          </w:tcPr>
          <w:p>
            <w:pPr>
              <w:spacing w:after="0"/>
              <w:rPr>
                <w:sz w:val="18"/>
                <w:szCs w:val="18"/>
                <w:color w:val="auto"/>
              </w:rPr>
            </w:pP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2,499,920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to related parties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199,974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short-term debt obligation from related parties</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(250,000 )</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short-term debt from related party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4,369,413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debt obligation</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2,625,000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 generated from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14,712,061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42,399</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177,287</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(28,939 )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(2,648,553 )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2,687,933</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10,441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39,380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payment for development of intangible asset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115,190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spacing w:after="0"/>
              <w:rPr>
                <w:sz w:val="18"/>
                <w:szCs w:val="18"/>
                <w:color w:val="auto"/>
              </w:rPr>
            </w:pP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24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payable converted to principal</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4,040,989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-2951480</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-2951480</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-2385695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-2385695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-1271270</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-1271270</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-979805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-979805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p>
      <w:pPr>
        <w:ind w:left="520" w:hanging="512"/>
        <w:spacing w:after="0"/>
        <w:tabs>
          <w:tab w:leader="none" w:pos="5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w:t>
      </w:r>
    </w:p>
    <w:p>
      <w:pPr>
        <w:spacing w:after="0" w:line="162" w:lineRule="exact"/>
        <w:rPr>
          <w:sz w:val="20"/>
          <w:szCs w:val="20"/>
          <w:color w:val="auto"/>
        </w:rPr>
      </w:pPr>
    </w:p>
    <w:p>
      <w:pPr>
        <w:ind w:right="540" w:firstLine="509"/>
        <w:spacing w:after="0" w:line="289" w:lineRule="auto"/>
        <w:rPr>
          <w:sz w:val="20"/>
          <w:szCs w:val="20"/>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Floor, 80 New Bond Street, London, United Kingdom, W1S 1SB.</w:t>
      </w:r>
    </w:p>
    <w:p>
      <w:pPr>
        <w:spacing w:after="0" w:line="184" w:lineRule="exact"/>
        <w:rPr>
          <w:sz w:val="20"/>
          <w:szCs w:val="20"/>
          <w:color w:val="auto"/>
        </w:rPr>
      </w:pPr>
    </w:p>
    <w:p>
      <w:pPr>
        <w:ind w:left="520" w:hanging="512"/>
        <w:spacing w:after="0"/>
        <w:tabs>
          <w:tab w:leader="none" w:pos="52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17"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subsidiaries (together “the Company” or “we”) have been prepared in accordance with accounting principles generally accepted in the United States of America (“US GAAP”). The carve-out consolidated financial statements have been prepared using the United Stated Dollar (“$” or “US dollar”) as the reporting currency.</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years ending December 31, 2023 and 2022 have been recorded as “Business development expenses”, a component of General and Administrative expenses within the Company’s</w:t>
      </w:r>
    </w:p>
    <w:p>
      <w:pPr>
        <w:spacing w:after="0" w:line="185"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Consolidated Statement of Operations in accordance with </w:t>
      </w:r>
      <w:r>
        <w:rPr>
          <w:rFonts w:ascii="Times New Roman" w:cs="Times New Roman" w:eastAsia="Times New Roman" w:hAnsi="Times New Roman"/>
          <w:sz w:val="18"/>
          <w:szCs w:val="18"/>
          <w:i w:val="1"/>
          <w:iCs w:val="1"/>
          <w:color w:val="auto"/>
        </w:rPr>
        <w:t>Staff Accounting Bulletin Topic 1-B1, Costs Reflected in Historical Financial Statements</w:t>
      </w:r>
      <w:r>
        <w:rPr>
          <w:rFonts w:ascii="Times New Roman" w:cs="Times New Roman" w:eastAsia="Times New Roman" w:hAnsi="Times New Roman"/>
          <w:sz w:val="18"/>
          <w:szCs w:val="18"/>
          <w:color w:val="auto"/>
        </w:rPr>
        <w:t xml:space="preserve"> (“SAB 1-B1”). Management asserts that this method used is reasonable.</w:t>
      </w:r>
    </w:p>
    <w:p>
      <w:pPr>
        <w:spacing w:after="0" w:line="26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Ih most significantly impact on the entity’s economic performance, and (2) the right to receive benefits or the obligation to absorb losses from the entity which could potentially be significant to the entity.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list of subsidiaries and Rezolve Limited’s holding as of December 31, 2023 and 2022 is as follows: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90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4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14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80" w:type="dxa"/>
            <w:vAlign w:val="bottom"/>
          </w:tcPr>
          <w:p>
            <w:pPr>
              <w:spacing w:after="0"/>
              <w:rPr>
                <w:sz w:val="13"/>
                <w:szCs w:val="13"/>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80" w:type="dxa"/>
            <w:vAlign w:val="bottom"/>
          </w:tcPr>
          <w:p>
            <w:pPr>
              <w:spacing w:after="0"/>
              <w:rPr>
                <w:sz w:val="15"/>
                <w:szCs w:val="15"/>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shareholding (%)</w:t>
            </w:r>
          </w:p>
        </w:tc>
        <w:tc>
          <w:tcPr>
            <w:tcW w:w="0" w:type="dxa"/>
            <w:vAlign w:val="bottom"/>
          </w:tcPr>
          <w:p>
            <w:pPr>
              <w:spacing w:after="0"/>
              <w:rPr>
                <w:sz w:val="1"/>
                <w:szCs w:val="1"/>
                <w:color w:val="auto"/>
              </w:rPr>
            </w:pPr>
          </w:p>
        </w:tc>
      </w:tr>
      <w:tr>
        <w:trPr>
          <w:trHeight w:val="191"/>
        </w:trPr>
        <w:tc>
          <w:tcPr>
            <w:tcW w:w="390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Rezolve Mobile Commerce Inc.</w:t>
            </w:r>
          </w:p>
        </w:tc>
        <w:tc>
          <w:tcPr>
            <w:tcW w:w="140" w:type="dxa"/>
            <w:vAlign w:val="bottom"/>
            <w:shd w:val="clear" w:color="auto" w:fill="CFF0FC"/>
          </w:tcPr>
          <w:p>
            <w:pPr>
              <w:spacing w:after="0"/>
              <w:rPr>
                <w:sz w:val="16"/>
                <w:szCs w:val="16"/>
                <w:color w:val="auto"/>
              </w:rPr>
            </w:pPr>
          </w:p>
        </w:tc>
        <w:tc>
          <w:tcPr>
            <w:tcW w:w="16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tcBorders>
              <w:top w:val="single" w:sz="8" w:color="auto"/>
            </w:tcBorders>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United States of</w:t>
            </w:r>
          </w:p>
        </w:tc>
        <w:tc>
          <w:tcPr>
            <w:tcW w:w="80" w:type="dxa"/>
            <w:vAlign w:val="bottom"/>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America</w:t>
            </w:r>
          </w:p>
        </w:tc>
        <w:tc>
          <w:tcPr>
            <w:tcW w:w="16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25, 2020</w:t>
            </w:r>
          </w:p>
        </w:tc>
        <w:tc>
          <w:tcPr>
            <w:tcW w:w="1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9, 2000</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c>
          <w:tcPr>
            <w:tcW w:w="16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(India) Private Limited</w:t>
            </w:r>
          </w:p>
        </w:tc>
        <w:tc>
          <w:tcPr>
            <w:tcW w:w="1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2021</w:t>
            </w:r>
          </w:p>
        </w:tc>
        <w:tc>
          <w:tcPr>
            <w:tcW w:w="1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carve-out consolidated financial statements have been prepared using the United Stated Dollar ($) as its reporting currency.</w:t>
      </w:r>
    </w:p>
    <w:p>
      <w:pPr>
        <w:spacing w:after="0" w:line="3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Emerging Growth Company</w:t>
      </w:r>
    </w:p>
    <w:p>
      <w:pPr>
        <w:spacing w:after="0" w:line="12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Carve-out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$226.3 million. For the year ended December 31, 2023, the Company incurred a net loss of $30.7 million and net cash used in operating activities was $13.0 million. Cash and cash equivalents totaled $0.01 million as of December 31, 2023, a decrease of $0.03 million from December 31, 2022. The Company has a working capital deficit of $57.3 million as at December 31, 2023. The Company continues to incur losses while it develops technological services, targets customers and incurs costs for an initial public offering or business combination. Our sources of cash for these activities rely on debt and equity funding. The ability to raise funding has proven challenging in the years ending December 31, 2023 and 2022. Interest rates have risen and the ability to raise funding has been constrained. These conditions raise substantial doubt about the entity’s ability to continue as a going concern for a period of one year from the issuance of these financial statements.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 from our technology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limiting capital expenditures.</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162" w:lineRule="exact"/>
        <w:rPr>
          <w:sz w:val="20"/>
          <w:szCs w:val="20"/>
          <w:color w:val="auto"/>
        </w:rPr>
      </w:pPr>
    </w:p>
    <w:p>
      <w:pPr>
        <w:ind w:right="260" w:firstLine="509"/>
        <w:spacing w:after="0" w:line="277" w:lineRule="auto"/>
        <w:rPr>
          <w:sz w:val="20"/>
          <w:szCs w:val="20"/>
          <w:color w:val="auto"/>
        </w:rPr>
      </w:pPr>
      <w:r>
        <w:rPr>
          <w:rFonts w:ascii="Times New Roman" w:cs="Times New Roman" w:eastAsia="Times New Roman" w:hAnsi="Times New Roman"/>
          <w:sz w:val="17"/>
          <w:szCs w:val="17"/>
          <w:color w:val="auto"/>
        </w:rPr>
        <w:t>Furthermore, the review of the strategic plan and budget, including expected developments in liquidity and capital from definitive agreements entered into (Notes 7.3 and 19), were considered. Consequently, it has been concluded that adequate resources and liquidity to meet the cash flow requirements for the next twelve months are present, and it is reasonable to apply the going concern basis as the underlying assumption for the carve-out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27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Foreign currency translation and transactions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 is the US dollar, being the currency in which the Company predominantly generates cash through financing transactions and expends cash in Rezolve Limited.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Cash</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Cash comprises cash on hand and in current accounts which are readily available. Our cash is held in creditworthy financial institutions and is insured up to GBP 85,000 in accordance with the regulations of the United Kingdom’s Financial Conduct Authority. The Company has not experienced any losses associated with cash held with financial institutions.</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The Company has adopted ASC 326 “Financial Instruments—Credit Losses” as of January 31, 2023 (refer to note 3.) Account receivable consists primarily of amounts related to fees charged to customers. Credit is extended based on evaluation of a customer’s financial condition and generally collateral is not required. Accounts receivable is stated at amounts due from customers net of allowance for doubtfull accounts.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27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on property and equipment is charged to expense on a systematic basis over the useful life of assets as estimated by the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useful lives estimated by the management are as follows:</w:t>
      </w:r>
    </w:p>
    <w:p>
      <w:pPr>
        <w:spacing w:after="0" w:line="227"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6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48"/>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Computers</w:t>
            </w:r>
          </w:p>
        </w:tc>
        <w:tc>
          <w:tcPr>
            <w:tcW w:w="3460" w:type="dxa"/>
            <w:vAlign w:val="bottom"/>
            <w:shd w:val="clear" w:color="auto" w:fill="CFF0FC"/>
          </w:tcPr>
          <w:p>
            <w:pPr>
              <w:ind w:left="2260"/>
              <w:spacing w:after="0" w:line="149" w:lineRule="exact"/>
              <w:rPr>
                <w:sz w:val="20"/>
                <w:szCs w:val="20"/>
                <w:color w:val="auto"/>
              </w:rPr>
            </w:pPr>
            <w:r>
              <w:rPr>
                <w:rFonts w:ascii="Times New Roman" w:cs="Times New Roman" w:eastAsia="Times New Roman" w:hAnsi="Times New Roman"/>
                <w:sz w:val="14"/>
                <w:szCs w:val="14"/>
                <w:color w:val="auto"/>
              </w:rPr>
              <w:t>3 years</w:t>
            </w:r>
          </w:p>
        </w:tc>
      </w:tr>
      <w:tr>
        <w:trPr>
          <w:trHeight w:val="188"/>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Office equipment</w:t>
            </w:r>
          </w:p>
        </w:tc>
        <w:tc>
          <w:tcPr>
            <w:tcW w:w="346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3 years</w:t>
            </w:r>
          </w:p>
        </w:tc>
      </w:tr>
    </w:tbl>
    <w:p>
      <w:pPr>
        <w:spacing w:after="0" w:line="18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Repairs and maintenance of property and equipment are expensed as incurred; enhancements and improvements that extend the life of property and equipment are capitalized into their cost.</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2.10.</w:t>
        <w:tab/>
        <w:t>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 of computer software, customer lists and goodwill.</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1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2023 and 2022.</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initial useful lives of computer software assets as estimated by management are summarized as follows:</w:t>
      </w:r>
    </w:p>
    <w:p>
      <w:pPr>
        <w:sectPr>
          <w:pgSz w:w="11900" w:h="16838" w:orient="portrait"/>
          <w:cols w:equalWidth="0" w:num="1">
            <w:col w:w="11180"/>
          </w:cols>
          <w:pgMar w:left="320" w:top="765" w:right="399" w:bottom="1440" w:gutter="0" w:footer="0" w:header="0"/>
        </w:sectPr>
      </w:pPr>
    </w:p>
    <w:p>
      <w:pPr>
        <w:spacing w:after="0" w:line="24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Useful life</w:t>
      </w:r>
    </w:p>
    <w:p>
      <w:pPr>
        <w:spacing w:after="0" w:line="17" w:lineRule="exact"/>
        <w:rPr>
          <w:sz w:val="20"/>
          <w:szCs w:val="20"/>
          <w:color w:val="auto"/>
        </w:rPr>
      </w:pPr>
    </w:p>
    <w:p>
      <w:pPr>
        <w:sectPr>
          <w:pgSz w:w="11900" w:h="16838" w:orient="portrait"/>
          <w:cols w:equalWidth="0" w:num="2">
            <w:col w:w="7080" w:space="720"/>
            <w:col w:w="3380"/>
          </w:cols>
          <w:pgMar w:left="320" w:top="765" w:right="399" w:bottom="1440" w:gutter="0" w:footer="0" w:header="0"/>
          <w:type w:val="continuous"/>
        </w:sectPr>
      </w:pPr>
    </w:p>
    <w:p>
      <w:pPr>
        <w:ind w:left="2260"/>
        <w:spacing w:after="0"/>
        <w:rPr>
          <w:sz w:val="20"/>
          <w:szCs w:val="20"/>
          <w:color w:val="auto"/>
        </w:rPr>
      </w:pPr>
      <w:r>
        <w:rPr>
          <w:rFonts w:ascii="Times New Roman" w:cs="Times New Roman" w:eastAsia="Times New Roman" w:hAnsi="Times New Roman"/>
          <w:sz w:val="14"/>
          <w:szCs w:val="14"/>
          <w:color w:val="auto"/>
        </w:rPr>
        <w:t>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5 years</w:t>
      </w:r>
    </w:p>
    <w:p>
      <w:pPr>
        <w:spacing w:after="0" w:line="200" w:lineRule="exact"/>
        <w:rPr>
          <w:sz w:val="20"/>
          <w:szCs w:val="20"/>
          <w:color w:val="auto"/>
        </w:rPr>
      </w:pPr>
    </w:p>
    <w:p>
      <w:pPr>
        <w:sectPr>
          <w:pgSz w:w="11900" w:h="16838" w:orient="portrait"/>
          <w:cols w:equalWidth="0" w:num="2">
            <w:col w:w="7080" w:space="720"/>
            <w:col w:w="3380"/>
          </w:cols>
          <w:pgMar w:left="320" w:top="765" w:right="399" w:bottom="1440" w:gutter="0" w:footer="0" w:header="0"/>
          <w:type w:val="continuous"/>
        </w:sectPr>
      </w:pPr>
    </w:p>
    <w:p>
      <w:pPr>
        <w:spacing w:after="0" w:line="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capitalize internal and external costs directly associated with the development of internal-use software. Maintenance and training costs, as well as costs incurred during the preliminary stage of an internal-use software development project, are expensed as incurred.</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Impairment of assets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reviews assets, including the property and equipment and intangibles,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Management identified indicators of impairment in its Taiwanese subsidiary during the year-ended December 31, 2022, and as a result impairment charges for accounts receivable of $334,952, other current assets of $731,940 were recognized in the Company’s Carve-out Consolidated Statement of Operations.</w:t>
      </w:r>
    </w:p>
    <w:p>
      <w:pPr>
        <w:spacing w:after="0" w:line="18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goodwill for impairment annually in its fourth quarter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180"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The Company identified indicators of impairment in Taiwan which led to the recognition of a goodwill impairment loss of $44,438 in the Company’s Carve-out Consolidated Statement of Operations for the year-ended December 31, 2022.</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other indicators of impairment for any of the long-lived assets as of December 31, 2023 and December 31, 2022 and the years then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w:t>
      </w:r>
    </w:p>
    <w:p>
      <w:pPr>
        <w:spacing w:after="0" w:line="31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Convertible Debt</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early adopted ASU 2020-06 retrospectively within these consolidated financial statements in the year prior to those years. Had we adopted ASU 2020-06 on January 1, 2021 under the modified retrospective method, such adoption would had not have had a material impact on our carve-out consolidated financial statements.</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Company’s senior secured notes issued in December 2021 and unsecured convertible loans from a related party are accounted for as single liability instruments measured at its amortized cost, as no other embedded features require bifurcation and recognition as derivatives.</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Deferred financing costs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2.14.</w:t>
        <w:tab/>
        <w:t>Revenue recognition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900" w:hanging="383"/>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117"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Ticketing Commissions (Spain)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single source of revenue is for the commission from sales of football tickets for La Liga in Spain through our platform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Liga pays a commission for each football ticket sold through our platform technology.</w:t>
      </w:r>
    </w:p>
    <w:p>
      <w:pPr>
        <w:spacing w:after="0" w:line="20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in accordance with ASC 606 “Revenue from Contracts with Customers” at the point in time when a football ticket is sold on our platform technology.</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Cost of revenue</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incurred directly in relation to the earning of revenues such as partner’s fees and inventory plus the impairment of current assets (see note 2.11).</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2.16.</w:t>
        <w:tab/>
        <w:t>Operating segments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2.17.</w:t>
        <w:tab/>
        <w:t>Research and development credits</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2.18.</w:t>
        <w:tab/>
        <w:t>Share-based compensation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2.19.</w:t>
        <w:tab/>
        <w:t>Shareholders’ deficit and reserves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has three classes of issued shares, ordinary shares, deferred shares and series A preferred. Each series A preferred and ordinary shareholder are entitled to one vote per share. Holders of deferred shares are not entitled to any votes. Holders of ordinary shares are entitled to receive dividends out of any asset legally available for payment of dividends only when such dividends are declared by the Board of Directors and approved by the majority of the shareholders. As of December 31, 2023, and 2022, the Company’s Board of Directors had not declared any dividends for ordinary shares.</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authorized 1,019,324,741shares consisting of 991,285,224 shares ordinary shares and 28,039,517 Series A shares. During 2022, the Company increased its authorized shares by 35,987,277 ordinary shares at a par value £0.0001.</w:t>
      </w:r>
    </w:p>
    <w:p>
      <w:pPr>
        <w:spacing w:after="0" w:line="16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there were 932,969,424 and 927,806,159 common shares, and 28,039,517 Series A shares outstanding, respectively.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in the carve-out consolidated financial statements, the following employee shares are outstanding due to an unofficial and unapproved equity incentive plan. These shares par value of £0.0001 per share remain unpaid by the employees.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 Shares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Requiring</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at</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180" w:type="dxa"/>
            <w:vAlign w:val="bottom"/>
            <w:vMerge w:val="restart"/>
          </w:tcPr>
          <w:p>
            <w:pPr>
              <w:spacing w:after="0"/>
              <w:rPr>
                <w:sz w:val="15"/>
                <w:szCs w:val="15"/>
                <w:color w:val="auto"/>
              </w:rPr>
            </w:pPr>
          </w:p>
        </w:tc>
        <w:tc>
          <w:tcPr>
            <w:tcW w:w="10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£0.0001</w:t>
            </w:r>
          </w:p>
        </w:tc>
        <w:tc>
          <w:tcPr>
            <w:tcW w:w="16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£0.016</w:t>
            </w:r>
          </w:p>
        </w:tc>
        <w:tc>
          <w:tcPr>
            <w:tcW w:w="180" w:type="dxa"/>
            <w:vAlign w:val="bottom"/>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on January 1, 2022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Issued during the year December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 during the year December 31, 2022</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As at December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during the year 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 December 31, 2023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December 31, 2023</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58,315,800</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10,700,000</w:t>
            </w: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215,448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-591185</wp:posOffset>
            </wp:positionV>
            <wp:extent cx="5143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-591185</wp:posOffset>
            </wp:positionV>
            <wp:extent cx="5143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-591185</wp:posOffset>
            </wp:positionV>
            <wp:extent cx="596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514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514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83"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83"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2.20.</w:t>
      </w:r>
      <w:r>
        <w:rPr>
          <w:sz w:val="20"/>
          <w:szCs w:val="20"/>
          <w:color w:val="auto"/>
        </w:rPr>
        <w:tab/>
      </w:r>
      <w:r>
        <w:rPr>
          <w:rFonts w:ascii="Times New Roman" w:cs="Times New Roman" w:eastAsia="Times New Roman" w:hAnsi="Times New Roman"/>
          <w:sz w:val="17"/>
          <w:szCs w:val="17"/>
          <w:b w:val="1"/>
          <w:bCs w:val="1"/>
          <w:color w:val="auto"/>
        </w:rPr>
        <w:t>Restatement of error in previously filed consolidated combined carve-out financial statements: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89" w:lineRule="exact"/>
        <w:rPr>
          <w:sz w:val="20"/>
          <w:szCs w:val="20"/>
          <w:color w:val="auto"/>
        </w:rPr>
      </w:pPr>
    </w:p>
    <w:p>
      <w:pPr>
        <w:jc w:val="both"/>
        <w:ind w:right="180" w:firstLine="509"/>
        <w:spacing w:after="0" w:line="235" w:lineRule="auto"/>
        <w:rPr>
          <w:sz w:val="20"/>
          <w:szCs w:val="20"/>
          <w:color w:val="auto"/>
        </w:rPr>
      </w:pPr>
      <w:r>
        <w:rPr>
          <w:rFonts w:ascii="Times New Roman" w:cs="Times New Roman" w:eastAsia="Times New Roman" w:hAnsi="Times New Roman"/>
          <w:sz w:val="18"/>
          <w:szCs w:val="18"/>
          <w:color w:val="auto"/>
        </w:rPr>
        <w:t>On August 30th, 2021, the Company executed a binding term sheet to acquire ANY from the Radio Group GmbH. In accordance with the binding term sheet, the Company issued 14,427,185 ordinary shares valued at $1.03 per share. The ordinary shares were issued on February 11</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 2022 at which point all of the outstanding shares of ANY were transferred from the Radio Group to the Company. On December 28, 2022 the legal ownership of ANY reverted back to the sellers of ANY, the consideration shares were reverted back to Rezolve. On April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20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has therefore restated its consolidated combined carve-out financial statements for the year ending December 31, 2022 by restating the comparative financial statements for the year ended December 31, 2023 submitted with its fifth amended F-4 registration statement by not consolidating 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following presents a reconciliation of the impacted financial statement line items as filed to the restated amounts as of December 31, 2022 and for the year then ended. The previously reported amounts reflect those included in the initial and four amended registration statements as of and for the years ended December 31, 2022 filed with the SEC on June 16, 2023, August 10, 2023, September 25, 2023,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increase in net loss of $6.6 million, a decrease in total assets of $7.7 million and total liabilities and shareholders equity of $7.7 million.</w:t>
      </w:r>
    </w:p>
    <w:p>
      <w:pPr>
        <w:spacing w:after="0" w:line="187"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investment in ANY of $14,600,000 plus loans to ANY of $222,022 was impaired as the Company abandoned its plans to complete the acquisition of 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1440" w:type="dxa"/>
            <w:vAlign w:val="bottom"/>
          </w:tcPr>
          <w:p>
            <w:pPr>
              <w:spacing w:after="0"/>
              <w:rPr>
                <w:sz w:val="15"/>
                <w:szCs w:val="15"/>
                <w:color w:val="auto"/>
              </w:rPr>
            </w:pPr>
          </w:p>
        </w:tc>
        <w:tc>
          <w:tcPr>
            <w:tcW w:w="18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8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4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41,709</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(2,329 )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74,748</w:t>
            </w:r>
          </w:p>
        </w:tc>
        <w:tc>
          <w:tcPr>
            <w:tcW w:w="2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(65,893 )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Receivables from related party</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607,726</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(607,726 )</w:t>
            </w: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1,202,572</w:t>
            </w:r>
          </w:p>
        </w:tc>
        <w:tc>
          <w:tcPr>
            <w:tcW w:w="2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(163,312 )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1,039,260</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1,926,755</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(839,260 )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1,087,495</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139,560</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(28,562 )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110,998</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1,061,763</w:t>
            </w:r>
          </w:p>
        </w:tc>
        <w:tc>
          <w:tcPr>
            <w:tcW w:w="2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(1,061,763 )</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6,237,443</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(5,786,997 )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450,446</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7,738,766</w:t>
            </w:r>
          </w:p>
        </w:tc>
        <w:tc>
          <w:tcPr>
            <w:tcW w:w="2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(6,877,322 )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561,444</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9,365,521</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(7,716,582 )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 term debt to related party</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22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4,262,476</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(533,502 )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3,728,974</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to related party</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225,120</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396,671</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621,791</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3,488,909</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(848,525 )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2,640,384</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8,673,572</w:t>
            </w:r>
          </w:p>
        </w:tc>
        <w:tc>
          <w:tcPr>
            <w:tcW w:w="2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(985,356 )</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(7,688,216 )</w:t>
            </w: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debt</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25,302,709</w:t>
            </w:r>
          </w:p>
        </w:tc>
        <w:tc>
          <w:tcPr>
            <w:tcW w:w="22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25,302,709</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1,177,616</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liability</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1,526,622</w:t>
            </w:r>
          </w:p>
        </w:tc>
        <w:tc>
          <w:tcPr>
            <w:tcW w:w="2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(1,526,622 )</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28,006,947</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(1,526,622 )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26,480,326</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(36,680,519 )</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(2,511,978 )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34,168,542</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Ordinary shares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126,677</w:t>
            </w:r>
          </w:p>
        </w:tc>
        <w:tc>
          <w:tcPr>
            <w:tcW w:w="22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126,677</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shares</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(1,993 )</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Series A shares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2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163,163,090</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163,165,083</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subscription receivable</w:t>
            </w:r>
          </w:p>
        </w:tc>
        <w:tc>
          <w:tcPr>
            <w:tcW w:w="3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(178,720 )</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(178,720 )</w:t>
            </w:r>
          </w:p>
        </w:tc>
      </w:tr>
      <w:tr>
        <w:trPr>
          <w:trHeight w:val="216"/>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(189,171,542 )</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(6,383,790 )</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(195,555,332 )</w:t>
            </w: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(1,260,364 )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1,179,185</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(81,179 )</w:t>
            </w: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3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(27,314,998 )</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(5,204,605 )</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(32,519,603 )</w:t>
            </w:r>
          </w:p>
        </w:tc>
      </w:tr>
      <w:tr>
        <w:trPr>
          <w:trHeight w:val="23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9,365,521</w:t>
            </w:r>
          </w:p>
        </w:tc>
        <w:tc>
          <w:tcPr>
            <w:tcW w:w="220" w:type="dxa"/>
            <w:vAlign w:val="bottom"/>
          </w:tcPr>
          <w:p>
            <w:pPr>
              <w:spacing w:after="0"/>
              <w:rPr>
                <w:sz w:val="20"/>
                <w:szCs w:val="20"/>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(7,716,583 )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00" w:type="dxa"/>
            <w:vAlign w:val="bottom"/>
          </w:tcPr>
          <w:p>
            <w:pPr>
              <w:spacing w:after="0"/>
              <w:rPr>
                <w:sz w:val="20"/>
                <w:szCs w:val="20"/>
                <w:color w:val="auto"/>
              </w:rPr>
            </w:pPr>
          </w:p>
        </w:tc>
      </w:tr>
      <w:tr>
        <w:trPr>
          <w:trHeight w:val="518"/>
        </w:trPr>
        <w:tc>
          <w:tcPr>
            <w:tcW w:w="4300" w:type="dxa"/>
            <w:vAlign w:val="bottom"/>
          </w:tcPr>
          <w:p>
            <w:pPr>
              <w:spacing w:after="0"/>
              <w:rPr>
                <w:sz w:val="24"/>
                <w:szCs w:val="24"/>
                <w:color w:val="auto"/>
              </w:rPr>
            </w:pPr>
          </w:p>
        </w:tc>
        <w:tc>
          <w:tcPr>
            <w:tcW w:w="3300" w:type="dxa"/>
            <w:vAlign w:val="bottom"/>
            <w:gridSpan w:val="3"/>
          </w:tcPr>
          <w:p>
            <w:pPr>
              <w:jc w:val="right"/>
              <w:ind w:right="1800"/>
              <w:spacing w:after="0"/>
              <w:rPr>
                <w:sz w:val="20"/>
                <w:szCs w:val="20"/>
                <w:color w:val="auto"/>
              </w:rPr>
            </w:pPr>
            <w:r>
              <w:rPr>
                <w:rFonts w:ascii="Times New Roman" w:cs="Times New Roman" w:eastAsia="Times New Roman" w:hAnsi="Times New Roman"/>
                <w:sz w:val="18"/>
                <w:szCs w:val="18"/>
                <w:color w:val="auto"/>
              </w:rPr>
              <w:t>F-40</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24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financial statements</w:t>
            </w:r>
          </w:p>
        </w:tc>
        <w:tc>
          <w:tcPr>
            <w:tcW w:w="1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11,879,343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(11,764,184 )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5,604,129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(4,859,089 )</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6,827,211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(2,488,654 )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91,604,396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(4,963,896 )</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86,640,500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742,113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(506,316 )</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goodwill</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7,418,302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(7,373,864 )</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112,531,103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(5,369,797 )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107,161,306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(100,651,760 )</w:t>
            </w: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(6,394,387 )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(107,046,147 )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(3,884,698 )</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(3,884,695 )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315,574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(58,915 )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(3,569,124 )</w:t>
            </w: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(58,912 )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(3,628,036 )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(104,220,884 )</w:t>
            </w: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(31,521,733 )</w:t>
            </w:r>
          </w:p>
        </w:tc>
        <w:tc>
          <w:tcPr>
            <w:tcW w:w="2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(110,674,183 )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115,447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(63,408 )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(38,765 )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(104,105,437 )</w:t>
            </w: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(31,585,141 )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(110,712,948 )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(0.11 )   $</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(0.12 )</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913,109,577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913,109,577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474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F-41</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3"/>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38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statement of cash flows</w:t>
            </w:r>
          </w:p>
        </w:tc>
        <w:tc>
          <w:tcPr>
            <w:tcW w:w="19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214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(104,105,438 )</w:t>
            </w:r>
          </w:p>
        </w:tc>
        <w:tc>
          <w:tcPr>
            <w:tcW w:w="2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(6,607,510 )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(110,712,948 )</w:t>
            </w:r>
          </w:p>
        </w:tc>
        <w:tc>
          <w:tcPr>
            <w:tcW w:w="0" w:type="dxa"/>
            <w:vAlign w:val="bottom"/>
          </w:tcPr>
          <w:p>
            <w:pPr>
              <w:spacing w:after="0"/>
              <w:rPr>
                <w:sz w:val="1"/>
                <w:szCs w:val="1"/>
                <w:color w:val="auto"/>
              </w:rPr>
            </w:pPr>
          </w:p>
        </w:tc>
      </w:tr>
      <w:tr>
        <w:trPr>
          <w:trHeight w:val="194"/>
        </w:trPr>
        <w:tc>
          <w:tcPr>
            <w:tcW w:w="572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w:t>
            </w:r>
          </w:p>
        </w:tc>
        <w:tc>
          <w:tcPr>
            <w:tcW w:w="1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742,113</w:t>
            </w:r>
          </w:p>
        </w:tc>
        <w:tc>
          <w:tcPr>
            <w:tcW w:w="22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(497,905 )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(277,838 )</w:t>
            </w:r>
          </w:p>
        </w:tc>
        <w:tc>
          <w:tcPr>
            <w:tcW w:w="21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(277,838 )</w:t>
            </w:r>
          </w:p>
        </w:tc>
        <w:tc>
          <w:tcPr>
            <w:tcW w:w="0" w:type="dxa"/>
            <w:vAlign w:val="bottom"/>
          </w:tcPr>
          <w:p>
            <w:pPr>
              <w:spacing w:after="0"/>
              <w:rPr>
                <w:sz w:val="1"/>
                <w:szCs w:val="1"/>
                <w:color w:val="auto"/>
              </w:rPr>
            </w:pPr>
          </w:p>
        </w:tc>
      </w:tr>
      <w:tr>
        <w:trPr>
          <w:trHeight w:val="198"/>
        </w:trPr>
        <w:tc>
          <w:tcPr>
            <w:tcW w:w="5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consultancy services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220" w:type="dxa"/>
            <w:vAlign w:val="bottom"/>
          </w:tcPr>
          <w:p>
            <w:pPr>
              <w:spacing w:after="0"/>
              <w:rPr>
                <w:sz w:val="20"/>
                <w:szCs w:val="20"/>
                <w:color w:val="auto"/>
              </w:rPr>
            </w:pPr>
          </w:p>
        </w:tc>
        <w:tc>
          <w:tcPr>
            <w:tcW w:w="2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22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share based compensation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2,115,015</w:t>
            </w:r>
          </w:p>
        </w:tc>
        <w:tc>
          <w:tcPr>
            <w:tcW w:w="220" w:type="dxa"/>
            <w:vAlign w:val="bottom"/>
          </w:tcPr>
          <w:p>
            <w:pPr>
              <w:spacing w:after="0"/>
              <w:rPr>
                <w:sz w:val="18"/>
                <w:szCs w:val="18"/>
                <w:color w:val="auto"/>
              </w:rPr>
            </w:pPr>
          </w:p>
        </w:tc>
        <w:tc>
          <w:tcPr>
            <w:tcW w:w="2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ROU asset, net of lease termination</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46,236</w:t>
            </w:r>
          </w:p>
        </w:tc>
        <w:tc>
          <w:tcPr>
            <w:tcW w:w="22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731,940</w:t>
            </w:r>
          </w:p>
        </w:tc>
        <w:tc>
          <w:tcPr>
            <w:tcW w:w="220" w:type="dxa"/>
            <w:vAlign w:val="bottom"/>
          </w:tcPr>
          <w:p>
            <w:pPr>
              <w:spacing w:after="0"/>
              <w:rPr>
                <w:sz w:val="18"/>
                <w:szCs w:val="18"/>
                <w:color w:val="auto"/>
              </w:rPr>
            </w:pPr>
          </w:p>
        </w:tc>
        <w:tc>
          <w:tcPr>
            <w:tcW w:w="2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accounts receivable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22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7,418,302</w:t>
            </w:r>
          </w:p>
        </w:tc>
        <w:tc>
          <w:tcPr>
            <w:tcW w:w="22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(7,373,864 )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14,600,000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(243,835 )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22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Decrease/(increase) in accounts receivable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646,661</w:t>
            </w: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65,893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prepayment and other current assets</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(215,468 )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158,945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(56,523 )</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 operating lease liability</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(46,236 )</w:t>
            </w:r>
          </w:p>
        </w:tc>
        <w:tc>
          <w:tcPr>
            <w:tcW w:w="21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(46,236 )</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receivable with related parties</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(245,266 )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Increase in accounts payable, accrued expenses and</w:t>
            </w: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payables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4,766,607</w:t>
            </w:r>
          </w:p>
        </w:tc>
        <w:tc>
          <w:tcPr>
            <w:tcW w:w="22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(1,426,068 )</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3,340,539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payables to related parties</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(234,880 )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396,671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(26,762,923 )</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(25,983 )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(26,788,906 )</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(25,973 )</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(14,376 )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(36,854 )</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of intangible assets</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(1,767,148 )</w:t>
            </w: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(25,973 )</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(1,781,524 )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(36,854 )</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2,499,920</w:t>
            </w:r>
          </w:p>
        </w:tc>
        <w:tc>
          <w:tcPr>
            <w:tcW w:w="22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debt obligation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220" w:type="dxa"/>
            <w:vAlign w:val="bottom"/>
          </w:tcPr>
          <w:p>
            <w:pPr>
              <w:spacing w:after="0"/>
              <w:rPr>
                <w:sz w:val="18"/>
                <w:szCs w:val="18"/>
                <w:color w:val="auto"/>
              </w:rPr>
            </w:pPr>
          </w:p>
        </w:tc>
        <w:tc>
          <w:tcPr>
            <w:tcW w:w="2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 generated from financing activities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22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140,658</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36,639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(2,648,318 )</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(235 )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(2,648,553 )</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2,690,024</w:t>
            </w:r>
          </w:p>
        </w:tc>
        <w:tc>
          <w:tcPr>
            <w:tcW w:w="22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(2,091 )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41,709</w:t>
            </w:r>
          </w:p>
        </w:tc>
        <w:tc>
          <w:tcPr>
            <w:tcW w:w="22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(2,329 )</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39,380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Management also reclassified amounts Due to related party, previously disclosed in the related party note disclosure as at December 31, 2022. The amounts were reclassified from Accounts payable.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1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220" w:type="dxa"/>
            <w:vAlign w:val="bottom"/>
          </w:tcPr>
          <w:p>
            <w:pPr>
              <w:spacing w:after="0"/>
              <w:rPr>
                <w:sz w:val="15"/>
                <w:szCs w:val="15"/>
                <w:color w:val="auto"/>
              </w:rPr>
            </w:pPr>
          </w:p>
        </w:tc>
        <w:tc>
          <w:tcPr>
            <w:tcW w:w="16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5"/>
                <w:szCs w:val="15"/>
                <w:color w:val="auto"/>
              </w:rPr>
            </w:pPr>
          </w:p>
        </w:tc>
        <w:tc>
          <w:tcPr>
            <w:tcW w:w="16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shares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(1,993 )</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172,202,839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172,204,832</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carve-out consolidated balance sheet for December 31, 2023 was restated only to reflect the return of the deferred shares and the cancellation of the shares.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amounts were restated in the following</w:t>
      </w:r>
    </w:p>
    <w:p>
      <w:pPr>
        <w:spacing w:after="0" w:line="117" w:lineRule="exact"/>
        <w:rPr>
          <w:sz w:val="20"/>
          <w:szCs w:val="20"/>
          <w:color w:val="auto"/>
        </w:rPr>
      </w:pPr>
    </w:p>
    <w:p>
      <w:pPr>
        <w:ind w:left="900" w:hanging="383"/>
        <w:spacing w:after="0"/>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4 – Prepayments and other current assets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6 – Property and equipment, net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9" w:lineRule="exact"/>
        <w:rPr>
          <w:sz w:val="20"/>
          <w:szCs w:val="20"/>
          <w:color w:val="auto"/>
        </w:rPr>
      </w:pPr>
    </w:p>
    <w:p>
      <w:pPr>
        <w:ind w:left="900" w:hanging="383"/>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7 – Intangible assets, net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12 – Accrued expenses and other payables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13 – Expenses and other Non-operating (income) expense, net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14 – Related party disclosures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16 – Income taxes</w:t>
      </w:r>
    </w:p>
    <w:p>
      <w:pPr>
        <w:spacing w:after="0" w:line="3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7"/>
          <w:szCs w:val="17"/>
          <w:b w:val="1"/>
          <w:bCs w:val="1"/>
          <w:color w:val="auto"/>
        </w:rPr>
        <w:t>Fair value measurement and concentration of credit risk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4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49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92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920" w:type="dxa"/>
            <w:vAlign w:val="bottom"/>
          </w:tcPr>
          <w:p>
            <w:pPr>
              <w:spacing w:after="0"/>
              <w:rPr>
                <w:sz w:val="18"/>
                <w:szCs w:val="18"/>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18"/>
                <w:szCs w:val="18"/>
                <w:color w:val="auto"/>
              </w:rPr>
            </w:pPr>
          </w:p>
        </w:tc>
      </w:tr>
      <w:tr>
        <w:trPr>
          <w:trHeight w:val="196"/>
        </w:trPr>
        <w:tc>
          <w:tcPr>
            <w:tcW w:w="492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920" w:type="dxa"/>
            <w:vAlign w:val="bottom"/>
          </w:tcPr>
          <w:p>
            <w:pPr>
              <w:spacing w:after="0"/>
              <w:rPr>
                <w:sz w:val="20"/>
                <w:szCs w:val="20"/>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80" w:type="dxa"/>
            <w:vAlign w:val="bottom"/>
          </w:tcPr>
          <w:p>
            <w:pPr>
              <w:spacing w:after="0"/>
              <w:rPr>
                <w:sz w:val="20"/>
                <w:szCs w:val="20"/>
                <w:color w:val="auto"/>
              </w:rPr>
            </w:pPr>
          </w:p>
        </w:tc>
      </w:tr>
    </w:tbl>
    <w:p>
      <w:pPr>
        <w:spacing w:after="0" w:line="206" w:lineRule="exact"/>
        <w:rPr>
          <w:sz w:val="20"/>
          <w:szCs w:val="20"/>
          <w:color w:val="auto"/>
        </w:rPr>
      </w:pPr>
    </w:p>
    <w:p>
      <w:pPr>
        <w:ind w:left="380" w:right="420" w:hanging="372"/>
        <w:spacing w:after="0" w:line="282" w:lineRule="auto"/>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 Please also refer to note 7.4.</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as at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8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For the years ended December 31, 2023 and 2022, the following vendors represented more than 10% of total accounts payable.</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5"/>
                <w:szCs w:val="15"/>
                <w:color w:val="auto"/>
              </w:rPr>
            </w:pP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5"/>
                <w:szCs w:val="15"/>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KPMG LLP</w:t>
            </w:r>
          </w:p>
        </w:tc>
        <w:tc>
          <w:tcPr>
            <w:tcW w:w="152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10 %</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13 %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152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14 %</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SThree Partnership LLP</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bl>
    <w:p>
      <w:pPr>
        <w:spacing w:after="0" w:line="3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2023 and 2022, a sensitivity analysis shows that a 10% appreciation or depreciation in the EUR against the dollar would have increased or decreased, respectively, the Company’s revenue for the years ended December 31, 2023 and 2022 by approximately $ 14,505 and $ 11,515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 risk</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2023 and 2022,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83"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7"/>
          <w:szCs w:val="17"/>
          <w:b w:val="1"/>
          <w:bCs w:val="1"/>
          <w:color w:val="auto"/>
        </w:rPr>
        <w:t>Loss and earnings per share</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ASC-260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2023 and 2022 the Company incurred net losses and therefore no potential dilutive ordinary share were utilized in the calculation of losses per share.</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7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080" w:type="dxa"/>
            <w:vAlign w:val="bottom"/>
          </w:tcPr>
          <w:p>
            <w:pPr>
              <w:spacing w:after="0"/>
              <w:rPr>
                <w:sz w:val="15"/>
                <w:szCs w:val="15"/>
                <w:color w:val="auto"/>
              </w:rPr>
            </w:pPr>
          </w:p>
        </w:tc>
        <w:tc>
          <w:tcPr>
            <w:tcW w:w="12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5"/>
                <w:szCs w:val="15"/>
                <w:color w:val="auto"/>
              </w:rPr>
            </w:pPr>
          </w:p>
        </w:tc>
        <w:tc>
          <w:tcPr>
            <w:tcW w:w="12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(note 7.3)</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3,929,566</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3,428,571</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 (note 7.4)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5,200,000</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28,039,517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28,039,517</w:t>
            </w:r>
          </w:p>
        </w:tc>
        <w:tc>
          <w:tcPr>
            <w:tcW w:w="10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party (note 7.1)</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1,037,575</w:t>
            </w:r>
          </w:p>
        </w:tc>
        <w:tc>
          <w:tcPr>
            <w:tcW w:w="18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33,146,658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36,808,088</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-170815</wp:posOffset>
            </wp:positionV>
            <wp:extent cx="5143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The Company does not include the employee ungranted shares (Note 2.17) as they are contingent on removal of significant restrictions including management’s and or the board’s rights to cancel the shares any time, restrictions on the right to transfer, to vote and cumulative dividends.</w:t>
      </w:r>
    </w:p>
    <w:p>
      <w:pPr>
        <w:spacing w:after="0" w:line="291" w:lineRule="exact"/>
        <w:rPr>
          <w:sz w:val="20"/>
          <w:szCs w:val="20"/>
          <w:color w:val="auto"/>
        </w:rPr>
      </w:pPr>
    </w:p>
    <w:p>
      <w:pPr>
        <w:jc w:val="both"/>
        <w:ind w:left="520" w:right="7080" w:hanging="512"/>
        <w:spacing w:after="0" w:line="450" w:lineRule="auto"/>
        <w:tabs>
          <w:tab w:leader="none" w:pos="520"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Recently adopted accounting pronouncements </w:t>
      </w:r>
      <w:r>
        <w:rPr>
          <w:rFonts w:ascii="Times New Roman" w:cs="Times New Roman" w:eastAsia="Times New Roman" w:hAnsi="Times New Roman"/>
          <w:sz w:val="17"/>
          <w:szCs w:val="17"/>
          <w:color w:val="auto"/>
        </w:rPr>
        <w:t>ASC 326 “Financial Instruments—Credit Losses”</w:t>
      </w:r>
    </w:p>
    <w:p>
      <w:pPr>
        <w:spacing w:after="0" w:line="2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standard requires a financial asset (including trade receivables) measured at amortized cost basis to be presented at the net amount expected to be collected. Thus, the statement of operations will reflect the measurement of credit losses for newly recognized financial assets as well as the expected increases or decreases of expected credit losses that have taken place during the period. This standard is effective for the calendar year ending December 31, 2023. The Company adopted the standard on January 1, 2023. The adoption of the standard did not have a material impact on the combined carve-out consolidated financial statements.</w:t>
      </w:r>
    </w:p>
    <w:p>
      <w:pPr>
        <w:spacing w:after="0" w:line="18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ASU No. 2020-06 “Debt—Debt with Conversion and Other Options (Subtopic 470-20) and Derivatives and Hedging—Contracts in Entity’s Own Equity (Subtopic 815-40): Accounting for Convertible Instruments and Contracts in an Entity’s Own Equity (ASU 2020-06)”</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No. 2020-06. This ASU simplifies accounting for convertible instruments by removing major separation models required under current U.S. GAAP. Consequently, more convertible debt instruments will be reported as a single liability instrument and more convertible preferred share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ASU 2020-06 amends the diluted earnings per share guidance, including the requirement to use the if-converted method for all convertible instruments.</w:t>
      </w:r>
    </w:p>
    <w:p>
      <w:pPr>
        <w:spacing w:after="0" w:line="18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adoption of ASU 2020-06 was performed retrospectively within these consolidated financial statements in the year prior to those years presented. Had we adopted ASU 2020-06 on January 1, 2021 under the modified retrospective method, such adoption would had not have had a material impact on our carve-out consolidated financial statements.</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130,309</w:t>
            </w:r>
          </w:p>
        </w:tc>
        <w:tc>
          <w:tcPr>
            <w:tcW w:w="40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214,514</w:t>
            </w:r>
          </w:p>
        </w:tc>
        <w:tc>
          <w:tcPr>
            <w:tcW w:w="8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Input tax credit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219,421</w:t>
            </w:r>
          </w:p>
        </w:tc>
        <w:tc>
          <w:tcPr>
            <w:tcW w:w="8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Pr>
          <w:p>
            <w:pPr>
              <w:spacing w:after="0"/>
              <w:rPr>
                <w:sz w:val="18"/>
                <w:szCs w:val="18"/>
                <w:color w:val="auto"/>
              </w:rPr>
            </w:pPr>
          </w:p>
        </w:tc>
      </w:tr>
      <w:tr>
        <w:trPr>
          <w:trHeight w:val="249"/>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440,846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54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Loans Receivable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598,414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598,414</w:t>
            </w:r>
          </w:p>
        </w:tc>
        <w:tc>
          <w:tcPr>
            <w:tcW w:w="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-1045210</wp:posOffset>
            </wp:positionV>
            <wp:extent cx="5143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-1028065</wp:posOffset>
            </wp:positionV>
            <wp:extent cx="514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-1045210</wp:posOffset>
            </wp:positionV>
            <wp:extent cx="514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-1028065</wp:posOffset>
            </wp:positionV>
            <wp:extent cx="514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514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loans receivable consists of:</w:t>
      </w:r>
    </w:p>
    <w:p>
      <w:pPr>
        <w:spacing w:after="0" w:line="117" w:lineRule="exact"/>
        <w:rPr>
          <w:sz w:val="20"/>
          <w:szCs w:val="20"/>
          <w:color w:val="auto"/>
        </w:rPr>
      </w:pPr>
    </w:p>
    <w:p>
      <w:pPr>
        <w:ind w:left="900" w:hanging="383"/>
        <w:spacing w:after="0" w:line="258" w:lineRule="auto"/>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receivable—Neighbor Inc (“Swipeby”)—The loan allows up to $65,000 to be loaned to Swipeby on a monthly basis beginning in July 2022. The loan bears interest of 8% and matures at the earlier of 1) The Company acquiring Swipeby or 2) December 31, 2022. The loan agreement was amended on February 23, 2023 such that the maturity date was extended to the earlier of 1) The Company acquiring Swipeby or 2) June 30, 2023. Swipeby was not acquired by the Company by June 30, 2023, and as such the balance of $785,000 was considered non-recoverable and an impairment charge of $785,000 was recorded in “Other operating expenses”.</w:t>
      </w:r>
    </w:p>
    <w:p>
      <w:pPr>
        <w:spacing w:after="0" w:line="75" w:lineRule="exact"/>
        <w:rPr>
          <w:rFonts w:ascii="Times New Roman" w:cs="Times New Roman" w:eastAsia="Times New Roman" w:hAnsi="Times New Roman"/>
          <w:sz w:val="18"/>
          <w:szCs w:val="18"/>
          <w:color w:val="auto"/>
        </w:rPr>
      </w:pPr>
    </w:p>
    <w:p>
      <w:pPr>
        <w:ind w:left="900" w:right="120" w:hanging="383"/>
        <w:spacing w:after="0" w:line="256" w:lineRule="auto"/>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receivable—Grupo Hanhei (“Moneymatic”). The loan initially provided $100,000 in August 2022, plus up to $25,000 per month terminating on October 31, 2022 while the Company completes integration of the Company’s technology into Moneymatic’s applications. As at December 31, 2022, the loan of $181,816 to Moneymatic was in the process of being negotiated and was extended in June 2023. Moneymatic’s loan was also considered recoverable due at the time, due to the fact that Moneymatic were then integrating Rezolve’s technology into Moneymatic’s applications in Mexico. The loan amount $371,316 at December 31, 2023 was considered non-recoverable and an impairment charge of $371,316 was recorded in “Other operating expenses”.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195,140</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181,784</w:t>
            </w:r>
          </w:p>
        </w:tc>
        <w:tc>
          <w:tcPr>
            <w:tcW w:w="10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(115,837 )</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(71,281 )</w:t>
            </w: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79,593</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110,998</w:t>
            </w:r>
          </w:p>
        </w:tc>
        <w:tc>
          <w:tcPr>
            <w:tcW w:w="100" w:type="dxa"/>
            <w:vAlign w:val="bottom"/>
            <w:tcBorders>
              <w:top w:val="single" w:sz="8" w:color="CFF0FC"/>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-170815</wp:posOffset>
            </wp:positionV>
            <wp:extent cx="596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and 2022 was $44,556 and $37,917 respectively.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989,400</w:t>
            </w:r>
          </w:p>
        </w:tc>
        <w:tc>
          <w:tcPr>
            <w:tcW w:w="10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 development intangible asset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989,400</w:t>
            </w:r>
          </w:p>
        </w:tc>
        <w:tc>
          <w:tcPr>
            <w:tcW w:w="10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amortization</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(736,834 )</w:t>
            </w: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(538,954 )</w:t>
            </w:r>
          </w:p>
        </w:tc>
      </w:tr>
      <w:tr>
        <w:trPr>
          <w:trHeight w:val="249"/>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450,446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-25400</wp:posOffset>
            </wp:positionV>
            <wp:extent cx="596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596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for each of the years ended December 31, 2023 and 2022 was $197,800.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922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auto"/>
              </w:rPr>
              <w:t>As of December 31, 2023, expected amortization expense over the remaining intangible asset lives is as follows:</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360" w:type="dxa"/>
            <w:vAlign w:val="bottom"/>
            <w:vMerge w:val="restart"/>
          </w:tcPr>
          <w:p>
            <w:pPr>
              <w:spacing w:after="0"/>
              <w:rPr>
                <w:sz w:val="21"/>
                <w:szCs w:val="21"/>
                <w:color w:val="auto"/>
              </w:rPr>
            </w:pPr>
          </w:p>
        </w:tc>
        <w:tc>
          <w:tcPr>
            <w:tcW w:w="560" w:type="dxa"/>
            <w:vAlign w:val="bottom"/>
            <w:vMerge w:val="restart"/>
          </w:tcPr>
          <w:p>
            <w:pPr>
              <w:spacing w:after="0"/>
              <w:rPr>
                <w:sz w:val="21"/>
                <w:szCs w:val="21"/>
                <w:color w:val="auto"/>
              </w:rPr>
            </w:pPr>
          </w:p>
        </w:tc>
        <w:tc>
          <w:tcPr>
            <w:tcW w:w="4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183,578</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445,453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376,468</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376,468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376,468</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376,468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2,134,903</w:t>
            </w: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1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debt to related parties (8.1)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 (8.4)</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shares payable (8.2)</w:t>
            </w: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 (8.5)</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debt (8.3)</w:t>
            </w: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debt and other liabilities</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 liability (8.4)</w:t>
            </w: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(8.3)</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25,302,709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-1971040</wp:posOffset>
            </wp:positionV>
            <wp:extent cx="5143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-1953895</wp:posOffset>
            </wp:positionV>
            <wp:extent cx="5143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09" w:lineRule="exact"/>
        <w:rPr>
          <w:sz w:val="20"/>
          <w:szCs w:val="20"/>
          <w:color w:val="auto"/>
        </w:rPr>
      </w:pPr>
    </w:p>
    <w:p>
      <w:pPr>
        <w:ind w:left="380" w:hanging="37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color w:val="auto"/>
        </w:rPr>
        <w:t>Unsecured interest free loan taken from related party (DBLP Sea Cow Ltd) of $447,067 is repayable on demand. During the year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the Company repaid $250,000 to DBLP Sea Cow Ltd. Additionally, DBLP Sea Cow Ltd is owed $191,405 for amounts to be re-imbursed for expenses incurred on behalf of Rezolve at December 31, 2023, nil for 2022.</w:t>
      </w: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a total $5,587,343.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900" w:right="120" w:hanging="383"/>
        <w:spacing w:after="0" w:line="282" w:lineRule="auto"/>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900" w:right="300" w:hanging="383"/>
        <w:spacing w:after="0" w:line="261" w:lineRule="auto"/>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3" w:lineRule="exact"/>
        <w:rPr>
          <w:sz w:val="20"/>
          <w:szCs w:val="20"/>
          <w:color w:val="auto"/>
        </w:rPr>
      </w:pPr>
    </w:p>
    <w:p>
      <w:pPr>
        <w:ind w:left="380" w:right="40" w:hanging="37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the Company at a discount from the pre-close equity value of the Company per share (“the Rights Issue”) in connection with its business combination with Armada Acquisition Corp I (refer to note 8.3). The Company expects prior to the close of the business combination to complete a reorganization under the Demerger, such that the existing shares transferred from Rezolve Limited to Rezolve AI Limited would result in a transfer of shares of approximately 6.1 ordinary shares to 1 of Rezolve Limited for one share of Rezolve AI Limited. In connection with the funding received through advanced subscription agreements as of December 31, 2023, the number of ordinary shares to be issued as part of the Rights Issue post re-organization is fixed at 1,180,735 and will not fluctuate with the Company’s pre-close equity value of the Company or that of Armada Acquisition Corp I. The Company may receive additional funding under advanced subscription agreements which would increase the number of Ordinary shares to issue post-reorganization.</w:t>
      </w:r>
    </w:p>
    <w:p>
      <w:pPr>
        <w:spacing w:after="0" w:line="80" w:lineRule="exact"/>
        <w:rPr>
          <w:sz w:val="20"/>
          <w:szCs w:val="20"/>
          <w:color w:val="auto"/>
        </w:rPr>
      </w:pPr>
    </w:p>
    <w:p>
      <w:pPr>
        <w:ind w:left="380" w:right="60" w:hanging="37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is expected to close by the end of 2024.</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68" w:lineRule="exact"/>
        <w:rPr>
          <w:sz w:val="20"/>
          <w:szCs w:val="20"/>
          <w:color w:val="auto"/>
        </w:rPr>
      </w:pPr>
    </w:p>
    <w:p>
      <w:pPr>
        <w:ind w:left="900" w:hanging="383"/>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17" w:lineRule="exact"/>
        <w:rPr>
          <w:rFonts w:ascii="Times New Roman" w:cs="Times New Roman" w:eastAsia="Times New Roman" w:hAnsi="Times New Roman"/>
          <w:sz w:val="18"/>
          <w:szCs w:val="18"/>
          <w:color w:val="auto"/>
        </w:rPr>
      </w:pPr>
    </w:p>
    <w:p>
      <w:pPr>
        <w:jc w:val="both"/>
        <w:ind w:left="900" w:right="300" w:hanging="383"/>
        <w:spacing w:after="0" w:line="266" w:lineRule="auto"/>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17" w:lineRule="exact"/>
        <w:rPr>
          <w:sz w:val="20"/>
          <w:szCs w:val="20"/>
          <w:color w:val="auto"/>
        </w:rPr>
      </w:pPr>
    </w:p>
    <w:p>
      <w:pPr>
        <w:ind w:left="900" w:hanging="383"/>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17" w:lineRule="exact"/>
        <w:rPr>
          <w:rFonts w:ascii="Times New Roman" w:cs="Times New Roman" w:eastAsia="Times New Roman" w:hAnsi="Times New Roman"/>
          <w:sz w:val="18"/>
          <w:szCs w:val="18"/>
          <w:color w:val="auto"/>
        </w:rPr>
      </w:pPr>
    </w:p>
    <w:p>
      <w:pPr>
        <w:ind w:left="5460" w:right="2900" w:hanging="4943"/>
        <w:spacing w:after="0" w:line="407" w:lineRule="auto"/>
        <w:tabs>
          <w:tab w:leader="none" w:pos="89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 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(refer to note 9). These warrants have been accounted for as a discount to the convertible debt. The Company also agreed to provide as collateral all buildings, fittings, fixtures and intellectual property.</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The Company estimates that the difference between amortizing the debt discounts and the issuance costs using the straight line method as compared to using effective interest rate method is immaterial.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significant debt issuance costs and has expensed them as incurred.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17" w:lineRule="exact"/>
        <w:rPr>
          <w:sz w:val="20"/>
          <w:szCs w:val="20"/>
          <w:color w:val="auto"/>
        </w:rPr>
      </w:pPr>
    </w:p>
    <w:p>
      <w:pPr>
        <w:ind w:left="900" w:hanging="383"/>
        <w:spacing w:after="0"/>
        <w:tabs>
          <w:tab w:leader="none" w:pos="9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17" w:lineRule="exact"/>
        <w:rPr>
          <w:rFonts w:ascii="Times New Roman" w:cs="Times New Roman" w:eastAsia="Times New Roman" w:hAnsi="Times New Roman"/>
          <w:sz w:val="18"/>
          <w:szCs w:val="18"/>
          <w:color w:val="auto"/>
        </w:rPr>
      </w:pPr>
    </w:p>
    <w:p>
      <w:pPr>
        <w:ind w:left="1400" w:right="60" w:hanging="374"/>
        <w:spacing w:after="0" w:line="282" w:lineRule="auto"/>
        <w:tabs>
          <w:tab w:leader="none" w:pos="1400" w:val="left"/>
        </w:tabs>
        <w:numPr>
          <w:ilvl w:val="3"/>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3"/>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3"/>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3"/>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$2,750,000 of loan notes to be advanced, and</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3"/>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900" w:right="20" w:hanging="383"/>
        <w:spacing w:after="0" w:line="289" w:lineRule="auto"/>
        <w:tabs>
          <w:tab w:leader="none" w:pos="900"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49" w:lineRule="exact"/>
        <w:rPr>
          <w:rFonts w:ascii="Times New Roman" w:cs="Times New Roman" w:eastAsia="Times New Roman" w:hAnsi="Times New Roman"/>
          <w:sz w:val="17"/>
          <w:szCs w:val="17"/>
          <w:color w:val="auto"/>
        </w:rPr>
      </w:pPr>
    </w:p>
    <w:p>
      <w:pPr>
        <w:ind w:left="380" w:right="160" w:hanging="372"/>
        <w:spacing w:after="0" w:line="261" w:lineRule="auto"/>
        <w:tabs>
          <w:tab w:leader="none" w:pos="3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(“he “Noteholder Majority”); and</w:t>
      </w:r>
    </w:p>
    <w:p>
      <w:pPr>
        <w:spacing w:after="0" w:line="71" w:lineRule="exact"/>
        <w:rPr>
          <w:rFonts w:ascii="Times New Roman" w:cs="Times New Roman" w:eastAsia="Times New Roman" w:hAnsi="Times New Roman"/>
          <w:sz w:val="18"/>
          <w:szCs w:val="18"/>
          <w:color w:val="auto"/>
        </w:rPr>
      </w:pPr>
    </w:p>
    <w:p>
      <w:pPr>
        <w:ind w:left="1140" w:right="260" w:hanging="383"/>
        <w:spacing w:after="0" w:line="261" w:lineRule="auto"/>
        <w:tabs>
          <w:tab w:leader="none" w:pos="114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22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Upon execution of the senior secured convertible note on May 23, 2023, and extension to the maturity date to at least December 31, 2024, the Company classified the Convertible debt as non-current as at December 31, 2022 under the guidance in ASC 470-10-45-14.</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troubled debt restructuring since May 23, 2023. No gain has been recognized.</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value of the convertible debt does not include the $8,500,000 of notes issuable upon completion of the Demerger. These are contingent upon completion of the Demerger and will only be included in the carrying amount of the convertible debt upon completion of the Demerger.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of notes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24,000,000</w:t>
            </w: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3,221,233</w:t>
            </w: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Discount on convertible debt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(1,918,524 )</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under troubled debt restructuring</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25,302,709</w:t>
            </w:r>
          </w:p>
        </w:tc>
        <w:tc>
          <w:tcPr>
            <w:tcW w:w="10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senior secured convertible notes and unsecured convertible loans: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3,221,233</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163,976</w:t>
            </w:r>
          </w:p>
        </w:tc>
        <w:tc>
          <w:tcPr>
            <w:tcW w:w="80" w:type="dxa"/>
            <w:vAlign w:val="bottom"/>
            <w:shd w:val="clear" w:color="auto" w:fill="CFF0FC"/>
          </w:tcPr>
          <w:p>
            <w:pPr>
              <w:spacing w:after="0"/>
              <w:rPr>
                <w:sz w:val="18"/>
                <w:szCs w:val="18"/>
                <w:color w:val="auto"/>
              </w:rPr>
            </w:pPr>
          </w:p>
        </w:tc>
      </w:tr>
      <w:tr>
        <w:trPr>
          <w:trHeight w:val="238"/>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7,269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3,385,209</w:t>
            </w:r>
          </w:p>
        </w:tc>
        <w:tc>
          <w:tcPr>
            <w:tcW w:w="80" w:type="dxa"/>
            <w:vAlign w:val="bottom"/>
          </w:tcPr>
          <w:p>
            <w:pPr>
              <w:spacing w:after="0"/>
              <w:rPr>
                <w:sz w:val="20"/>
                <w:szCs w:val="20"/>
                <w:color w:val="auto"/>
              </w:rPr>
            </w:pPr>
          </w:p>
        </w:tc>
      </w:tr>
    </w:tbl>
    <w:p>
      <w:pPr>
        <w:spacing w:after="0" w:line="198" w:lineRule="exact"/>
        <w:rPr>
          <w:sz w:val="20"/>
          <w:szCs w:val="20"/>
          <w:color w:val="auto"/>
        </w:rPr>
      </w:pPr>
    </w:p>
    <w:p>
      <w:pPr>
        <w:ind w:left="380" w:right="60" w:hanging="37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debt and $7,269 of interest.</w:t>
      </w:r>
    </w:p>
    <w:p>
      <w:pPr>
        <w:spacing w:after="0" w:line="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5" w:lineRule="exact"/>
        <w:rPr>
          <w:sz w:val="20"/>
          <w:szCs w:val="20"/>
          <w:color w:val="auto"/>
        </w:rPr>
      </w:pPr>
    </w:p>
    <w:p>
      <w:pPr>
        <w:ind w:left="380" w:right="40" w:hanging="37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8.5. </w:t>
      </w: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that it is more likely than not that the former owner will not breach the non-compete agreement. The share-based payment liability is to be settled by a fixed dollar amount of shares and therefore represents a liability in accordance with ASC 480. The liability has been measured at fair value using a discounted cash-flow model and a market participant borrowing rate of 10.8%. The Company has considered this to be a non-recurring item.</w:t>
      </w:r>
    </w:p>
    <w:p>
      <w:pPr>
        <w:spacing w:after="0" w:line="291" w:lineRule="exact"/>
        <w:rPr>
          <w:sz w:val="20"/>
          <w:szCs w:val="20"/>
          <w:color w:val="auto"/>
        </w:rPr>
      </w:pPr>
    </w:p>
    <w:p>
      <w:pPr>
        <w:ind w:left="520" w:hanging="512"/>
        <w:spacing w:after="0"/>
        <w:tabs>
          <w:tab w:leader="none" w:pos="52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November 21, 2022, the Company granted 850,000 warrants each to Apeiron and Bradley Wickens for agreeing to extend their commitment in the exchangeable notes (convertible debt, note 8.3). The warrants are equity classified because they are freestanding financial instruments that are legally detachable and separately exercisable from the convertible notes and do not embody an obligation for the Company to repurchase its shares or provide any guarantee of value or return. These warrants were exercised on November 30, 2022. The Company valued the warrants using the Black-Scholes Merton option pricing model and determined the fair value of the Warrants to be $1.20 per unit. The key inputs to the valuation model included an average volatility of 61.9% based on a group of similar companies, a risk-free rate as of the grant date of 4.2% developed from a range between 3.8% and 4.6% and the fair value of the ordinary shares of $1.22 of the Company based on a recent financing. The Company assumed an exercise period of 2.5 years. The Company assumed a dividend payment rate of nil. These warrants have been recorded as a discount of $2.1 million to the Convertible debt.</w:t>
      </w:r>
    </w:p>
    <w:p>
      <w:pPr>
        <w:spacing w:after="0" w:line="296" w:lineRule="exact"/>
        <w:rPr>
          <w:sz w:val="20"/>
          <w:szCs w:val="20"/>
          <w:color w:val="auto"/>
        </w:rPr>
      </w:pPr>
    </w:p>
    <w:p>
      <w:pPr>
        <w:ind w:left="520" w:hanging="512"/>
        <w:spacing w:after="0"/>
        <w:tabs>
          <w:tab w:leader="none" w:pos="5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issued at nominal value in lieu of services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February 15, 2022 the Company issued 5,000,000 ordinary shares to an advisor for services provided at a fair value of $1.80 per unit which were vested and allocated on the same date. The Company agreed to issue to the same advisor an additional 5,000,000 ordinary shares at the end of the year ending December 31, 2022 at a fair value of $1.80. The Company recognized $18.4 million as general and administrative costs with a corresponding credit in shareholders’ deficit. The fair value of the ordinary shares was based on a Black-Scholes model using an average volatility of 60.4% based on a group of similar companies, a risk-free rate available on the issuance date of 1.8% developed from a range between 0.0% and 2.4%, and the exercise price of £.0001 per share, and the fair value of the ordinary shares of the Company based on a recent financing. The expected term was nil and 3.4 years to exercise, respectively for each grant of 5,000,000 ordinary shares. The Company assumed a dividend payment rate of nil.</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November 30, 2022, the Company awarded 27,246,461 ordinary shares at a fair value of $1.20 per unit respectively to DBLP Sea Cow Limited (founding shareholder) in lieu of services to the Company which were vested and allotted on the same date. The Company recognized $33.4 million as a general and administrative cost with a corresponding credit in shareholders’ deficit in the year ended December 31, 2022. The fair value of the ordinary shares was based on a Black-Scholes model using an average volatility of 61.9% based on a group of similar companies, a risk-free rate available on the issuance date, the exercise price of £.0001 per share, and the fair value of the ordinary shares of the Company based on a recent financing. The Company assumed an exercise period of 2.5 years and a dividend payment rate of nil.</w:t>
      </w:r>
    </w:p>
    <w:p>
      <w:pPr>
        <w:spacing w:after="0" w:line="291" w:lineRule="exact"/>
        <w:rPr>
          <w:sz w:val="20"/>
          <w:szCs w:val="20"/>
          <w:color w:val="auto"/>
        </w:rPr>
      </w:pPr>
    </w:p>
    <w:p>
      <w:pPr>
        <w:ind w:left="520" w:right="8600" w:hanging="512"/>
        <w:spacing w:after="0" w:line="400" w:lineRule="auto"/>
        <w:tabs>
          <w:tab w:leader="none" w:pos="520"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 11.1 2022 LTIP Plan</w:t>
      </w: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Company’s Board approved the 2022 Long-Term Incentive Plan (the “2022 LTIP”). Under the 2022 LTIP, as of December 31, 2022, the Company was authorized to issue a maximum number of 52,696,461 ordinary shares before any grants made in the year to directors, shareholders, consultants or financers to purchase or acquire ordinary shares. After awarding 1,700,000 warrants (note 8), 5,000,000 (note 9.1) and 27,246,461 (note 9.2) ordinary shares to financers, a consultant and its principal shareholder and founder, respectively, the Company had 18,750,000 ordinary shares available to grant. The Company granted 15,750,000 share options in the year ended December 31, 2022.</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share options under the terms of the 2022 LTIP have an exercise price equal to the nominal value of £0.0001 per option. Most share options granted have service-based vesting conditions with the exception of only two employees whose combined 2,500,000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82"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5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term—years (1)</w:t>
            </w: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 – 5.1</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(2)</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 - 63.5%</w:t>
            </w:r>
          </w:p>
        </w:tc>
        <w:tc>
          <w:tcPr>
            <w:tcW w:w="20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- 4.2%</w:t>
            </w:r>
          </w:p>
        </w:tc>
        <w:tc>
          <w:tcPr>
            <w:tcW w:w="20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 (4)</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r>
    </w:tbl>
    <w:p>
      <w:pPr>
        <w:spacing w:after="0" w:line="225" w:lineRule="exact"/>
        <w:rPr>
          <w:sz w:val="20"/>
          <w:szCs w:val="20"/>
          <w:color w:val="auto"/>
        </w:rPr>
      </w:pPr>
    </w:p>
    <w:p>
      <w:pPr>
        <w:ind w:left="900" w:right="20" w:hanging="383"/>
        <w:spacing w:after="0" w:line="282" w:lineRule="auto"/>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2022 was as follows: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5,700,000</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0.0001</w:t>
            </w:r>
          </w:p>
        </w:tc>
        <w:tc>
          <w:tcPr>
            <w:tcW w:w="20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-333375</wp:posOffset>
            </wp:positionV>
            <wp:extent cx="6032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-316230</wp:posOffset>
            </wp:positionV>
            <wp:extent cx="6032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-333375</wp:posOffset>
            </wp:positionV>
            <wp:extent cx="6032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-316230</wp:posOffset>
            </wp:positionV>
            <wp:extent cx="6032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-333375</wp:posOffset>
            </wp:positionV>
            <wp:extent cx="6032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-316230</wp:posOffset>
            </wp:positionV>
            <wp:extent cx="603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6032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03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2022 was $1.20. The total fair value of the options that vested during the year ended December 31, 2022 was $6,982,500.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share options were exercised during the year ended December 31, 2022.</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$11.6 million of unrecognized share-based compensation expense related to share options. This cost is expected to be recognized over a weighted-average period of 15 months.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11.3 2023 LTIP Plan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September 2023, the Company’s Board approved the 2023 Long-Term Incentive Plan (the “2023 LTIP”). Under the 2023 LTIP, as of December 31, 2023, the Company was authorized to issue a maximum number of 49,305,537 ordinary shares before any grants made in the year to directors, shareholders, consultants or financers to purchase or acquire ordinary shares. The Company granted 49,305,537 share options in the year ended December 31, 2023 including 25,000,000 share options issued to DBLP Sea Cow Ltd. (principal shareholder, and company owned by founder, chairman and CEO Dan Wagner).</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2023 LTIP also amends the 2022 LTIP (issued in November 2022) to:</w:t>
      </w:r>
    </w:p>
    <w:p>
      <w:pPr>
        <w:spacing w:after="0" w:line="117" w:lineRule="exact"/>
        <w:rPr>
          <w:sz w:val="20"/>
          <w:szCs w:val="20"/>
          <w:color w:val="auto"/>
        </w:rPr>
      </w:pPr>
    </w:p>
    <w:p>
      <w:pPr>
        <w:ind w:left="900" w:hanging="383"/>
        <w:spacing w:after="0" w:line="282" w:lineRule="auto"/>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who grantees whose requisite service period completes in the year 2024 to complete in the month of September 2024, and therefore consolidate the end vesting date to the month of September, 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9" w:lineRule="exact"/>
        <w:rPr>
          <w:sz w:val="20"/>
          <w:szCs w:val="20"/>
          <w:color w:val="auto"/>
        </w:rPr>
      </w:pPr>
    </w:p>
    <w:p>
      <w:pPr>
        <w:ind w:left="900" w:hanging="383"/>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whose share options whose requisite service period was meant to complete in 2025 and 2026, vest in September of those years,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vesting profile from a cliff vesting to a graded vesting.</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96"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term—years (1)</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 5.1</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(2)</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 - 63.5%</w:t>
            </w:r>
          </w:p>
        </w:tc>
        <w:tc>
          <w:tcPr>
            <w:tcW w:w="2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(3)</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- 4.2%</w:t>
            </w:r>
          </w:p>
        </w:tc>
        <w:tc>
          <w:tcPr>
            <w:tcW w:w="2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 (4)</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r>
    </w:tbl>
    <w:p>
      <w:pPr>
        <w:spacing w:after="0" w:line="225" w:lineRule="exact"/>
        <w:rPr>
          <w:sz w:val="20"/>
          <w:szCs w:val="20"/>
          <w:color w:val="auto"/>
        </w:rPr>
      </w:pPr>
    </w:p>
    <w:p>
      <w:pPr>
        <w:ind w:left="900" w:hanging="383"/>
        <w:spacing w:after="0" w:line="282" w:lineRule="auto"/>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2023 was as follows: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49,305,537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65,055,537</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11,600,000</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0.0001</w:t>
            </w:r>
          </w:p>
        </w:tc>
        <w:tc>
          <w:tcPr>
            <w:tcW w:w="20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65,055,537</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-333375</wp:posOffset>
            </wp:positionV>
            <wp:extent cx="603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-316230</wp:posOffset>
            </wp:positionV>
            <wp:extent cx="603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-333375</wp:posOffset>
            </wp:positionV>
            <wp:extent cx="603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-316230</wp:posOffset>
            </wp:positionV>
            <wp:extent cx="603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-333375</wp:posOffset>
            </wp:positionV>
            <wp:extent cx="6032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-316230</wp:posOffset>
            </wp:positionV>
            <wp:extent cx="603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6032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03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2023 was $.10. The total fair value of the options that vested during the year ended December 31, 2022 was $8,725,218.</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share options were exercised during the year ended December 31, 2023.</w:t>
      </w:r>
    </w:p>
    <w:p>
      <w:pPr>
        <w:spacing w:after="0" w:line="22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$7.0 million of unrecognized share-based compensation expense related to share options. This cost is expected to be recognized over a weighted-average period of 19 months.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6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Accrued expenses and other payables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7"/>
        </w:trPr>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2"/>
                <w:szCs w:val="12"/>
                <w:color w:val="auto"/>
              </w:rPr>
            </w:pPr>
          </w:p>
        </w:tc>
      </w:tr>
      <w:tr>
        <w:trPr>
          <w:trHeight w:val="173"/>
        </w:trPr>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r>
      <w:tr>
        <w:trPr>
          <w:trHeight w:val="209"/>
        </w:trPr>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related payables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2,632,334</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763,181</w:t>
            </w:r>
          </w:p>
        </w:tc>
        <w:tc>
          <w:tcPr>
            <w:tcW w:w="80" w:type="dxa"/>
            <w:vAlign w:val="bottom"/>
            <w:shd w:val="clear" w:color="auto" w:fill="CFF0FC"/>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1,686,609</w:t>
            </w:r>
          </w:p>
        </w:tc>
        <w:tc>
          <w:tcPr>
            <w:tcW w:w="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duty and tax liability</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w:t>
            </w:r>
          </w:p>
        </w:tc>
        <w:tc>
          <w:tcPr>
            <w:tcW w:w="80" w:type="dxa"/>
            <w:vAlign w:val="bottom"/>
            <w:shd w:val="clear" w:color="auto" w:fill="CFF0FC"/>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347,848</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179,079</w:t>
            </w:r>
          </w:p>
        </w:tc>
        <w:tc>
          <w:tcPr>
            <w:tcW w:w="80" w:type="dxa"/>
            <w:vAlign w:val="bottom"/>
          </w:tcPr>
          <w:p>
            <w:pPr>
              <w:spacing w:after="0"/>
              <w:rPr>
                <w:sz w:val="18"/>
                <w:szCs w:val="18"/>
                <w:color w:val="auto"/>
              </w:rPr>
            </w:pPr>
          </w:p>
        </w:tc>
      </w:tr>
      <w:tr>
        <w:trPr>
          <w:trHeight w:val="249"/>
        </w:trPr>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4,492,790</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2,640,384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-25400</wp:posOffset>
            </wp:positionV>
            <wp:extent cx="5143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514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ind w:left="520" w:right="6360" w:hanging="512"/>
        <w:spacing w:after="0" w:line="412" w:lineRule="auto"/>
        <w:tabs>
          <w:tab w:leader="none" w:pos="5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and other Non-operating (income) expense, net </w:t>
      </w:r>
      <w:r>
        <w:rPr>
          <w:rFonts w:ascii="Times New Roman" w:cs="Times New Roman" w:eastAsia="Times New Roman" w:hAnsi="Times New Roman"/>
          <w:sz w:val="18"/>
          <w:szCs w:val="18"/>
          <w:color w:val="auto"/>
        </w:rPr>
        <w:t>Sales and marketing expenses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Advertisement and publicity expenses</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18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635,166</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1,371,468</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1,788,941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1,602,332</w:t>
            </w:r>
          </w:p>
        </w:tc>
        <w:tc>
          <w:tcPr>
            <w:tcW w:w="18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1,538,729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2,649,012</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375,721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963,858</w:t>
            </w:r>
          </w:p>
        </w:tc>
        <w:tc>
          <w:tcPr>
            <w:tcW w:w="180" w:type="dxa"/>
            <w:vAlign w:val="bottom"/>
            <w:tcBorders>
              <w:right w:val="single" w:sz="8" w:color="CFF0FC"/>
            </w:tcBorders>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6,731,254</w:t>
            </w:r>
          </w:p>
        </w:tc>
        <w:tc>
          <w:tcPr>
            <w:tcW w:w="180" w:type="dxa"/>
            <w:vAlign w:val="bottom"/>
            <w:tcBorders>
              <w:top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4,338,557</w:t>
            </w:r>
          </w:p>
        </w:tc>
        <w:tc>
          <w:tcPr>
            <w:tcW w:w="8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2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expenses</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18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1,066,708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2,274,891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5,569,989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18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7,136,168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4,340,558</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3,506,501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3,472,170</w:t>
            </w:r>
          </w:p>
        </w:tc>
        <w:tc>
          <w:tcPr>
            <w:tcW w:w="18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8,223,297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2,543,621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1,739,294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2,083,647</w:t>
            </w:r>
          </w:p>
        </w:tc>
        <w:tc>
          <w:tcPr>
            <w:tcW w:w="18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for consultancy</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485,080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874,045</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1,479,026</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17,986,528</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86,640,500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2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2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375,298</w:t>
            </w:r>
          </w:p>
        </w:tc>
        <w:tc>
          <w:tcPr>
            <w:tcW w:w="18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194,524</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(497,978 )</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(467,563 )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0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(2,686 )</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shd w:val="clear" w:color="auto" w:fill="CFF0FC"/>
          </w:tcPr>
          <w:p>
            <w:pPr>
              <w:spacing w:after="0" w:line="20" w:lineRule="exact"/>
              <w:rPr>
                <w:sz w:val="1"/>
                <w:szCs w:val="1"/>
                <w:color w:val="auto"/>
              </w:rPr>
            </w:pPr>
          </w:p>
        </w:tc>
        <w:tc>
          <w:tcPr>
            <w:tcW w:w="20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125,366</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(256,659 )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14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color w:val="auto"/>
              </w:rPr>
              <w:t>F-54</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-4474210</wp:posOffset>
            </wp:positionV>
            <wp:extent cx="514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-4474210</wp:posOffset>
            </wp:positionV>
            <wp:extent cx="514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-2331085</wp:posOffset>
            </wp:positionV>
            <wp:extent cx="5143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-2331085</wp:posOffset>
            </wp:positionV>
            <wp:extent cx="5143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-1010920</wp:posOffset>
            </wp:positionV>
            <wp:extent cx="6032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-1010920</wp:posOffset>
            </wp:positionV>
            <wp:extent cx="6032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5"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disclosures</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u w:val="single" w:color="auto"/>
          <w:color w:val="auto"/>
        </w:rPr>
        <w:t>Key managerial personnel (KMP) and Members of their immediate families</w:t>
      </w:r>
    </w:p>
    <w:p>
      <w:pPr>
        <w:sectPr>
          <w:pgSz w:w="11900" w:h="16838" w:orient="portrait"/>
          <w:cols w:equalWidth="0" w:num="1">
            <w:col w:w="11240"/>
          </w:cols>
          <w:pgMar w:left="320" w:top="765" w:right="339" w:bottom="1440" w:gutter="0" w:footer="0" w:header="0"/>
        </w:sect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 Wagner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Burchill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Sauvik Banerjjee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Salman Ahmad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Vesco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Arthur Yao (1)</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Anthony Sharp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Sir David Wright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Steve Perry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Derek Smith</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Igor Lychagov</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Susan Wagner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products, technology and digital services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technical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commercial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Rezolve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deputy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 (resigned May 19,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w:t>
      </w:r>
    </w:p>
    <w:p>
      <w:pPr>
        <w:spacing w:after="0" w:line="200" w:lineRule="exact"/>
        <w:rPr>
          <w:sz w:val="20"/>
          <w:szCs w:val="20"/>
          <w:color w:val="auto"/>
        </w:rPr>
      </w:pPr>
    </w:p>
    <w:p>
      <w:pPr>
        <w:sectPr>
          <w:pgSz w:w="11900" w:h="16838" w:orient="portrait"/>
          <w:cols w:equalWidth="0" w:num="2">
            <w:col w:w="4480" w:space="720"/>
            <w:col w:w="6040"/>
          </w:cols>
          <w:pgMar w:left="320" w:top="765" w:right="339" w:bottom="1440" w:gutter="0" w:footer="0" w:header="0"/>
          <w:type w:val="continuous"/>
        </w:sectPr>
      </w:pPr>
    </w:p>
    <w:p>
      <w:pPr>
        <w:spacing w:after="0" w:line="34" w:lineRule="exact"/>
        <w:rPr>
          <w:sz w:val="20"/>
          <w:szCs w:val="20"/>
          <w:color w:val="auto"/>
        </w:rPr>
      </w:pPr>
    </w:p>
    <w:p>
      <w:pPr>
        <w:ind w:left="380" w:right="580" w:hanging="372"/>
        <w:spacing w:after="0" w:line="282" w:lineRule="auto"/>
        <w:tabs>
          <w:tab w:leader="none" w:pos="3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approved for a planned liquidation through the Demerger (Refer to Note 2.1—Basis of presentation).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Transactions and outstanding balances of related parties were as follows: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year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80" w:type="dxa"/>
            <w:vAlign w:val="bottom"/>
          </w:tcPr>
          <w:p>
            <w:pPr>
              <w:spacing w:after="0"/>
              <w:rPr>
                <w:sz w:val="13"/>
                <w:szCs w:val="13"/>
                <w:color w:val="auto"/>
              </w:rPr>
            </w:pPr>
          </w:p>
        </w:tc>
      </w:tr>
      <w:tr>
        <w:trPr>
          <w:trHeight w:val="173"/>
        </w:trPr>
        <w:tc>
          <w:tcPr>
            <w:tcW w:w="17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 Capital Issued at nominal value</w:t>
            </w: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198"/>
        </w:trPr>
        <w:tc>
          <w:tcPr>
            <w:tcW w:w="1700" w:type="dxa"/>
            <w:vAlign w:val="bottom"/>
          </w:tcPr>
          <w:p>
            <w:pPr>
              <w:spacing w:after="0"/>
              <w:rPr>
                <w:sz w:val="17"/>
                <w:szCs w:val="17"/>
                <w:color w:val="auto"/>
              </w:rPr>
            </w:pPr>
          </w:p>
        </w:tc>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DBLP Sea Cow (2) (number of ordinary shares issued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170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2–23 – Nil and 2–22 – 27,246,461)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Repaid</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Loans taken</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Taken</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5,587,343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Managerial remuneration</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Key Management Personnel</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298,654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222,535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207,395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273,761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393,440</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188,972</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1,183,437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968,782</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393,440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188,972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789,997</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779,810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1,183,437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968,782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756,944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33,374,018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2,449,787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60,556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3,677,896</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3,047,505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963,858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2,083,647</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3,047,505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540"/>
        </w:trPr>
        <w:tc>
          <w:tcPr>
            <w:tcW w:w="1700" w:type="dxa"/>
            <w:vAlign w:val="bottom"/>
          </w:tcPr>
          <w:p>
            <w:pPr>
              <w:spacing w:after="0"/>
              <w:rPr>
                <w:sz w:val="24"/>
                <w:szCs w:val="24"/>
                <w:color w:val="auto"/>
              </w:rPr>
            </w:pPr>
          </w:p>
        </w:tc>
        <w:tc>
          <w:tcPr>
            <w:tcW w:w="474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F-55</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-3068320</wp:posOffset>
            </wp:positionV>
            <wp:extent cx="5143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-3068320</wp:posOffset>
            </wp:positionV>
            <wp:extent cx="5143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-1405255</wp:posOffset>
            </wp:positionV>
            <wp:extent cx="5143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-1405255</wp:posOffset>
            </wp:positionV>
            <wp:extent cx="5143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2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3"/>
                <w:szCs w:val="13"/>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4780" w:type="dxa"/>
            <w:vAlign w:val="bottom"/>
          </w:tcPr>
          <w:p>
            <w:pPr>
              <w:spacing w:after="0"/>
              <w:rPr>
                <w:sz w:val="15"/>
                <w:szCs w:val="15"/>
                <w:color w:val="auto"/>
              </w:rPr>
            </w:pPr>
          </w:p>
        </w:tc>
        <w:tc>
          <w:tcPr>
            <w:tcW w:w="14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Consulting fees</w:t>
            </w:r>
          </w:p>
        </w:tc>
        <w:tc>
          <w:tcPr>
            <w:tcW w:w="14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414,926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380,805</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r>
      <w:tr>
        <w:trPr>
          <w:trHeight w:val="210"/>
        </w:trPr>
        <w:tc>
          <w:tcPr>
            <w:tcW w:w="47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1,014,926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980,805</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680,805</w:t>
            </w:r>
          </w:p>
        </w:tc>
        <w:tc>
          <w:tcPr>
            <w:tcW w:w="8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7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1,014,926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980,805</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Director remuneration</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87,107</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380,084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376,428</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93,329</w:t>
            </w:r>
          </w:p>
        </w:tc>
        <w:tc>
          <w:tcPr>
            <w:tcW w:w="8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92,521</w:t>
            </w: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93,329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7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657,647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650,193</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657,647</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650,193</w:t>
            </w:r>
          </w:p>
        </w:tc>
        <w:tc>
          <w:tcPr>
            <w:tcW w:w="80" w:type="dxa"/>
            <w:vAlign w:val="bottom"/>
          </w:tcPr>
          <w:p>
            <w:pPr>
              <w:spacing w:after="0"/>
              <w:rPr>
                <w:sz w:val="18"/>
                <w:szCs w:val="18"/>
                <w:color w:val="auto"/>
              </w:rPr>
            </w:pPr>
          </w:p>
        </w:tc>
      </w:tr>
      <w:tr>
        <w:trPr>
          <w:trHeight w:val="210"/>
        </w:trPr>
        <w:tc>
          <w:tcPr>
            <w:tcW w:w="47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657,647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650,193</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Management remuneration</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2,072,224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869,777</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3,831,291</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41,231,704</w:t>
            </w:r>
          </w:p>
        </w:tc>
        <w:tc>
          <w:tcPr>
            <w:tcW w:w="80" w:type="dxa"/>
            <w:vAlign w:val="bottom"/>
          </w:tcPr>
          <w:p>
            <w:pPr>
              <w:spacing w:after="0"/>
              <w:rPr>
                <w:sz w:val="18"/>
                <w:szCs w:val="18"/>
                <w:color w:val="auto"/>
              </w:rPr>
            </w:pPr>
          </w:p>
        </w:tc>
      </w:tr>
      <w:tr>
        <w:trPr>
          <w:trHeight w:val="210"/>
        </w:trPr>
        <w:tc>
          <w:tcPr>
            <w:tcW w:w="47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5,903,515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42,101,481</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development expenses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China (3)</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7,136,168</w:t>
            </w: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-2228215</wp:posOffset>
            </wp:positionV>
            <wp:extent cx="5143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-2228215</wp:posOffset>
            </wp:positionV>
            <wp:extent cx="5143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-1396365</wp:posOffset>
            </wp:positionV>
            <wp:extent cx="5143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-1396365</wp:posOffset>
            </wp:positionV>
            <wp:extent cx="5143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0" w:lineRule="exact"/>
        <w:rPr>
          <w:sz w:val="20"/>
          <w:szCs w:val="20"/>
          <w:color w:val="auto"/>
        </w:rPr>
      </w:pPr>
    </w:p>
    <w:p>
      <w:pPr>
        <w:ind w:left="380" w:right="520" w:hanging="372"/>
        <w:spacing w:after="0" w:line="282" w:lineRule="auto"/>
        <w:tabs>
          <w:tab w:leader="none" w:pos="3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subsidiary Rezolve China. Please refer to the basis of presentation discussed in note 2.1.</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3"/>
                <w:szCs w:val="13"/>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80" w:type="dxa"/>
            <w:vAlign w:val="bottom"/>
          </w:tcPr>
          <w:p>
            <w:pPr>
              <w:spacing w:after="0"/>
              <w:rPr>
                <w:sz w:val="13"/>
                <w:szCs w:val="13"/>
                <w:color w:val="auto"/>
              </w:rPr>
            </w:pPr>
          </w:p>
        </w:tc>
      </w:tr>
      <w:tr>
        <w:trPr>
          <w:trHeight w:val="148"/>
        </w:trPr>
        <w:tc>
          <w:tcPr>
            <w:tcW w:w="1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80" w:type="dxa"/>
            <w:vAlign w:val="bottom"/>
            <w:gridSpan w:val="2"/>
          </w:tcPr>
          <w:p>
            <w:pPr>
              <w:jc w:val="center"/>
              <w:ind w:left="1574"/>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gridSpan w:val="2"/>
          </w:tcPr>
          <w:p>
            <w:pPr>
              <w:jc w:val="center"/>
              <w:ind w:left="76"/>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73"/>
        </w:trPr>
        <w:tc>
          <w:tcPr>
            <w:tcW w:w="17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80" w:type="dxa"/>
            <w:vAlign w:val="bottom"/>
          </w:tcPr>
          <w:p>
            <w:pPr>
              <w:spacing w:after="0"/>
              <w:rPr>
                <w:sz w:val="15"/>
                <w:szCs w:val="15"/>
                <w:color w:val="auto"/>
              </w:rPr>
            </w:pPr>
          </w:p>
        </w:tc>
      </w:tr>
      <w:tr>
        <w:trPr>
          <w:trHeight w:val="209"/>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 term debt to related party</w:t>
            </w:r>
          </w:p>
        </w:tc>
        <w:tc>
          <w:tcPr>
            <w:tcW w:w="16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447,067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191,405</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6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5,587,343</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18"/>
                <w:szCs w:val="18"/>
                <w:color w:val="auto"/>
              </w:rPr>
            </w:pP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540"/>
        </w:trPr>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80" w:type="dxa"/>
            <w:vAlign w:val="bottom"/>
            <w:gridSpan w:val="2"/>
          </w:tcPr>
          <w:p>
            <w:pPr>
              <w:jc w:val="right"/>
              <w:ind w:right="2022"/>
              <w:spacing w:after="0"/>
              <w:rPr>
                <w:sz w:val="20"/>
                <w:szCs w:val="20"/>
                <w:color w:val="auto"/>
              </w:rPr>
            </w:pPr>
            <w:r>
              <w:rPr>
                <w:rFonts w:ascii="Times New Roman" w:cs="Times New Roman" w:eastAsia="Times New Roman" w:hAnsi="Times New Roman"/>
                <w:sz w:val="18"/>
                <w:szCs w:val="18"/>
                <w:color w:val="auto"/>
              </w:rPr>
              <w:t>F-56</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2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3"/>
                <w:szCs w:val="13"/>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8"/>
        </w:trPr>
        <w:tc>
          <w:tcPr>
            <w:tcW w:w="47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gridSpan w:val="2"/>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2"/>
                <w:szCs w:val="12"/>
                <w:color w:val="auto"/>
              </w:rPr>
            </w:pPr>
          </w:p>
        </w:tc>
      </w:tr>
      <w:tr>
        <w:trPr>
          <w:trHeight w:val="173"/>
        </w:trPr>
        <w:tc>
          <w:tcPr>
            <w:tcW w:w="47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Due to related party</w:t>
            </w:r>
          </w:p>
        </w:tc>
        <w:tc>
          <w:tcPr>
            <w:tcW w:w="14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147,605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172,476</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51,414</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42,906</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58,320</w:t>
            </w: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127,325</w:t>
            </w: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129,460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7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777,576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621,791</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 term convertible debt</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 Subscription Receivables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111,845</w:t>
            </w:r>
          </w:p>
        </w:tc>
        <w:tc>
          <w:tcPr>
            <w:tcW w:w="8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28"/>
        </w:trPr>
        <w:tc>
          <w:tcPr>
            <w:tcW w:w="47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119,844</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-988060</wp:posOffset>
            </wp:positionV>
            <wp:extent cx="5143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-988060</wp:posOffset>
            </wp:positionV>
            <wp:extent cx="5143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-156845</wp:posOffset>
            </wp:positionV>
            <wp:extent cx="514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-156845</wp:posOffset>
            </wp:positionV>
            <wp:extent cx="5143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6" w:lineRule="exact"/>
        <w:rPr>
          <w:sz w:val="20"/>
          <w:szCs w:val="20"/>
          <w:color w:val="auto"/>
        </w:rPr>
      </w:pPr>
    </w:p>
    <w:p>
      <w:pPr>
        <w:ind w:left="380" w:right="520" w:hanging="372"/>
        <w:spacing w:after="0" w:line="282" w:lineRule="auto"/>
        <w:tabs>
          <w:tab w:leader="none" w:pos="3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266" w:lineRule="exact"/>
        <w:rPr>
          <w:sz w:val="20"/>
          <w:szCs w:val="20"/>
          <w:color w:val="auto"/>
        </w:rPr>
      </w:pPr>
    </w:p>
    <w:p>
      <w:pPr>
        <w:ind w:left="520" w:hanging="512"/>
        <w:spacing w:after="0"/>
        <w:tabs>
          <w:tab w:leader="none" w:pos="52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as lessee</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leased its head office space under a short-term lease which expired in the financial year 2021. The only other lease arrangement in place during the years ended December 31, 2022 and 2021 was for the Company’s Taiwanese subsidiary, Jaymax, which had a two-year lease in place since October 1, 2021. This lease was terminated in December 2022 to which an immaterial termination fee was incurred.</w:t>
      </w:r>
    </w:p>
    <w:p>
      <w:pPr>
        <w:spacing w:after="0" w:line="280" w:lineRule="exact"/>
        <w:rPr>
          <w:sz w:val="20"/>
          <w:szCs w:val="20"/>
          <w:color w:val="auto"/>
        </w:rPr>
      </w:pPr>
    </w:p>
    <w:p>
      <w:pPr>
        <w:ind w:left="520" w:hanging="512"/>
        <w:spacing w:after="0"/>
        <w:tabs>
          <w:tab w:leader="none" w:pos="52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its primary tax return in the United Kingdom (“the UK”). Its subsidiaries file income tax returns in the US, Spain, India and Taiwan. The income taxes of the Company are presented on a separate return basis for each tax-paying entity.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our loss (income) before income taxes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w:t>
            </w:r>
          </w:p>
        </w:tc>
        <w:tc>
          <w:tcPr>
            <w:tcW w:w="2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29,427,631</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107,945,740</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634,526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1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298,927</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381,321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(92,982 )</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(300,433 )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9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44,181</w:t>
            </w: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2,051,794</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30,672,980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110,712,948</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Current Income tax expense (benefit) consists of:</w:t>
            </w:r>
          </w:p>
        </w:tc>
        <w:tc>
          <w:tcPr>
            <w:tcW w:w="19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6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38,765</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4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F-57</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-2099310</wp:posOffset>
            </wp:positionV>
            <wp:extent cx="596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-2099310</wp:posOffset>
            </wp:positionV>
            <wp:extent cx="6032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-864870</wp:posOffset>
            </wp:positionV>
            <wp:extent cx="5143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-847725</wp:posOffset>
            </wp:positionV>
            <wp:extent cx="5143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-864870</wp:posOffset>
            </wp:positionV>
            <wp:extent cx="6032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-847725</wp:posOffset>
            </wp:positionV>
            <wp:extent cx="6032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(30,672,690 )</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  (110,712,948 )</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statutory tax rates (a)</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7,208,082</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21,035,460</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Non-deductible or non-taxable foreign currency exchange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results</w:t>
            </w:r>
          </w:p>
        </w:tc>
        <w:tc>
          <w:tcPr>
            <w:tcW w:w="18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(88,195 )</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(214,299 )</w:t>
            </w: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(9,845 )</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282,884</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(2,050,426 )</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(14,818,455 )</w:t>
            </w: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(4,996,208 )</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(6,246,825 )</w:t>
            </w:r>
          </w:p>
        </w:tc>
      </w:tr>
      <w:tr>
        <w:trPr>
          <w:trHeight w:val="209"/>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200" w:type="dxa"/>
            <w:vAlign w:val="bottom"/>
            <w:tcBorders>
              <w:top w:val="single" w:sz="8" w:color="CFF0FC"/>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-153670</wp:posOffset>
            </wp:positionV>
            <wp:extent cx="596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-153670</wp:posOffset>
            </wp:positionV>
            <wp:extent cx="6032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900" w:right="280" w:hanging="383"/>
        <w:spacing w:after="0" w:line="266" w:lineRule="auto"/>
        <w:tabs>
          <w:tab w:leader="none" w:pos="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23.5% for 2023 and 19.0% for 2022 and 2021.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6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expense for statutory rates in jurisdictions in which we operate outside of the UK.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and its subsidiaries are liable to income taxes in their respective jurisdiction. The Company has unused tax losses as follows as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Subsidiaries in Jurisdiction</w:t>
            </w:r>
          </w:p>
        </w:tc>
        <w:tc>
          <w:tcPr>
            <w:tcW w:w="80" w:type="dxa"/>
            <w:vAlign w:val="bottom"/>
          </w:tcPr>
          <w:p>
            <w:pPr>
              <w:spacing w:after="0"/>
              <w:rPr>
                <w:sz w:val="13"/>
                <w:szCs w:val="13"/>
                <w:color w:val="auto"/>
              </w:rPr>
            </w:pPr>
          </w:p>
        </w:tc>
        <w:tc>
          <w:tcPr>
            <w:tcW w:w="11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Tax loss</w:t>
            </w: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carryforward</w:t>
            </w:r>
          </w:p>
        </w:tc>
        <w:tc>
          <w:tcPr>
            <w:tcW w:w="16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 (1)</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191,771,010</w:t>
            </w:r>
          </w:p>
        </w:tc>
        <w:tc>
          <w:tcPr>
            <w:tcW w:w="1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5,542,459</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844,411</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2,359,658</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900" w:right="580" w:hanging="383"/>
        <w:spacing w:after="0" w:line="282" w:lineRule="auto"/>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losses carried forward in Rezolve Limited will not be transferred to Rezolve AI Limited in the Demerger. As a result, all tax losses previously created in the UK will be lost upon completion of the Demerger.</w:t>
      </w:r>
    </w:p>
    <w:p>
      <w:pPr>
        <w:spacing w:after="0" w:line="53" w:lineRule="exact"/>
        <w:rPr>
          <w:rFonts w:ascii="Times New Roman" w:cs="Times New Roman" w:eastAsia="Times New Roman" w:hAnsi="Times New Roman"/>
          <w:sz w:val="18"/>
          <w:szCs w:val="18"/>
          <w:color w:val="auto"/>
        </w:rPr>
      </w:pPr>
    </w:p>
    <w:p>
      <w:pPr>
        <w:jc w:val="both"/>
        <w:ind w:left="900" w:right="80" w:hanging="383"/>
        <w:spacing w:after="0" w:line="266" w:lineRule="auto"/>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1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gridSpan w:val="2"/>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r>
      <w:tr>
        <w:trPr>
          <w:trHeight w:val="173"/>
        </w:trPr>
        <w:tc>
          <w:tcPr>
            <w:tcW w:w="5280" w:type="dxa"/>
            <w:vAlign w:val="bottom"/>
          </w:tcPr>
          <w:p>
            <w:pPr>
              <w:spacing w:after="0"/>
              <w:rPr>
                <w:sz w:val="15"/>
                <w:szCs w:val="15"/>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24,388,433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11,811,695</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6,882,336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13,857,760</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2,483,300</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(1,281,022 )</w:t>
            </w:r>
          </w:p>
        </w:tc>
      </w:tr>
      <w:tr>
        <w:trPr>
          <w:trHeight w:val="210"/>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24,388,433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-7620</wp:posOffset>
            </wp:positionV>
            <wp:extent cx="5143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During 2024, we do not expect any material reductions to our unrecognized tax benefits related to tax positions taken as of December 31, 2023. No assurance can be given as to the nature or impact of any changes in our unrecognized tax positions during 2023.</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significant portions of our deferred tax assets and liabilities are presented below:</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5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73"/>
        </w:trPr>
        <w:tc>
          <w:tcPr>
            <w:tcW w:w="528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33,754,069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24,388,433</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PP&amp;E</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1,556,454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174,267</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327,757</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294,404</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8,110,222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6,325,677</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43,748,501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31,185,442</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(43,748,501 )</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(31,185,442 )</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recognized any uncertain tax position for the year ended December 31, 2023 and December 31, 2022, respectively.</w:t>
      </w:r>
    </w:p>
    <w:p>
      <w:pPr>
        <w:spacing w:after="0" w:line="329" w:lineRule="exact"/>
        <w:rPr>
          <w:sz w:val="20"/>
          <w:szCs w:val="20"/>
          <w:color w:val="auto"/>
        </w:rPr>
      </w:pPr>
    </w:p>
    <w:p>
      <w:pPr>
        <w:ind w:left="520" w:hanging="512"/>
        <w:spacing w:after="0"/>
        <w:tabs>
          <w:tab w:leader="none" w:pos="52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For financial statements as of December 31, 2023, we have evaluated subsequent events through April 28, 2024, which is the date such financial statements are available to be issued.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Igor Loan amendment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w:t>
      </w:r>
    </w:p>
    <w:p>
      <w:pPr>
        <w:spacing w:after="0" w:line="27" w:lineRule="exact"/>
        <w:rPr>
          <w:sz w:val="20"/>
          <w:szCs w:val="20"/>
          <w:color w:val="auto"/>
        </w:rPr>
      </w:pPr>
    </w:p>
    <w:p>
      <w:pPr>
        <w:ind w:left="520"/>
        <w:spacing w:after="0" w:line="251" w:lineRule="auto"/>
        <w:rPr>
          <w:sz w:val="20"/>
          <w:szCs w:val="20"/>
          <w:color w:val="auto"/>
        </w:rPr>
      </w:pPr>
      <w:r>
        <w:rPr>
          <w:rFonts w:ascii="Times New Roman" w:cs="Times New Roman" w:eastAsia="Times New Roman" w:hAnsi="Times New Roman"/>
          <w:sz w:val="18"/>
          <w:szCs w:val="18"/>
          <w:color w:val="auto"/>
        </w:rPr>
        <w:t>€2,000,000.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7.3). The loan principal and accrued borrowing fees were rounded to a sum of $8,000,000. The key terms of the loan amendment include that of the senior secured convertible notes, as noted below:</w:t>
      </w:r>
    </w:p>
    <w:p>
      <w:pPr>
        <w:spacing w:after="0" w:line="86" w:lineRule="exact"/>
        <w:rPr>
          <w:sz w:val="20"/>
          <w:szCs w:val="20"/>
          <w:color w:val="auto"/>
        </w:rPr>
      </w:pPr>
    </w:p>
    <w:p>
      <w:pPr>
        <w:ind w:left="900" w:right="80" w:hanging="383"/>
        <w:spacing w:after="0" w:line="282" w:lineRule="auto"/>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900" w:right="260" w:hanging="383"/>
        <w:spacing w:after="0" w:line="261" w:lineRule="auto"/>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Yorkville Standby Equity Purchase Agreement (“SEPA”)</w:t>
      </w:r>
    </w:p>
    <w:p>
      <w:pPr>
        <w:spacing w:after="0" w:line="121"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On 2nd February 2024, the Company obtained an unsecured loan of $2,000,000 from YA II PN, LTD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76"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w:t>
      </w:r>
      <w:r>
        <w:rPr>
          <w:rFonts w:ascii="Times New Roman" w:cs="Times New Roman" w:eastAsia="Times New Roman" w:hAnsi="Times New Roman"/>
          <w:sz w:val="18"/>
          <w:szCs w:val="18"/>
          <w:b w:val="1"/>
          <w:bCs w:val="1"/>
          <w:i w:val="1"/>
          <w:iCs w:val="1"/>
          <w:color w:val="auto"/>
        </w:rPr>
        <w:t>First YA Note</w:t>
      </w:r>
      <w:r>
        <w:rPr>
          <w:rFonts w:ascii="Times New Roman" w:cs="Times New Roman" w:eastAsia="Times New Roman" w:hAnsi="Times New Roman"/>
          <w:sz w:val="18"/>
          <w:szCs w:val="18"/>
          <w:color w:val="auto"/>
        </w:rPr>
        <w:t>")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92" w:lineRule="exact"/>
        <w:rPr>
          <w:sz w:val="20"/>
          <w:szCs w:val="20"/>
          <w:color w:val="auto"/>
        </w:rPr>
      </w:pPr>
    </w:p>
    <w:p>
      <w:pPr>
        <w:ind w:right="20" w:firstLine="653"/>
        <w:spacing w:after="0" w:line="255" w:lineRule="auto"/>
        <w:rPr>
          <w:sz w:val="20"/>
          <w:szCs w:val="20"/>
          <w:color w:val="auto"/>
        </w:rPr>
      </w:pPr>
      <w:r>
        <w:rPr>
          <w:rFonts w:ascii="Times New Roman" w:cs="Times New Roman" w:eastAsia="Times New Roman" w:hAnsi="Times New Roman"/>
          <w:sz w:val="18"/>
          <w:szCs w:val="18"/>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xml:space="preserve">”, and together with the </w:t>
      </w:r>
      <w:r>
        <w:rPr>
          <w:rFonts w:ascii="Times New Roman" w:cs="Times New Roman" w:eastAsia="Times New Roman" w:hAnsi="Times New Roman"/>
          <w:sz w:val="18"/>
          <w:szCs w:val="18"/>
          <w:b w:val="1"/>
          <w:bCs w:val="1"/>
          <w:i w:val="1"/>
          <w:iCs w:val="1"/>
          <w:color w:val="auto"/>
        </w:rPr>
        <w:t>First YA Note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8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As of December 30, 2024, the Company satisfied all of the the principal and interest outstanding under the YA Notes. In connection therewith, the Company issued an aggregate of 5,724,154 Ordinary Shares (including in payment of a fee to YA). As of the date hereof, no amount remains outstanding under the YA Notes.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Promissory note</w:t>
      </w:r>
    </w:p>
    <w:p>
      <w:pPr>
        <w:spacing w:after="0" w:line="128" w:lineRule="exact"/>
        <w:rPr>
          <w:sz w:val="20"/>
          <w:szCs w:val="20"/>
          <w:color w:val="auto"/>
        </w:rPr>
      </w:pPr>
    </w:p>
    <w:p>
      <w:pPr>
        <w:jc w:val="both"/>
        <w:ind w:right="220" w:firstLine="509"/>
        <w:spacing w:after="0" w:line="234" w:lineRule="auto"/>
        <w:rPr>
          <w:sz w:val="20"/>
          <w:szCs w:val="20"/>
          <w:color w:val="auto"/>
        </w:rPr>
      </w:pPr>
      <w:r>
        <w:rPr>
          <w:rFonts w:ascii="Times New Roman" w:cs="Times New Roman" w:eastAsia="Times New Roman" w:hAnsi="Times New Roman"/>
          <w:sz w:val="18"/>
          <w:szCs w:val="18"/>
          <w:color w:val="auto"/>
        </w:rPr>
        <w:t>On April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rPr>
          <w:sz w:val="20"/>
          <w:szCs w:val="20"/>
          <w:color w:val="auto"/>
        </w:rPr>
      </w:pPr>
      <w:r>
        <w:rPr>
          <w:rFonts w:ascii="Arial" w:cs="Arial" w:eastAsia="Arial" w:hAnsi="Arial"/>
          <w:sz w:val="16"/>
          <w:szCs w:val="16"/>
          <w:color w:val="auto"/>
        </w:rPr>
        <w:t>Add to subsequent events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Close of business combination with Armada Acquisition Corp I. (“Armada”)</w:t>
      </w:r>
    </w:p>
    <w:p>
      <w:pPr>
        <w:spacing w:after="0" w:line="1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of Senior Secured Convertible Notes</w:t>
      </w:r>
    </w:p>
    <w:p>
      <w:pPr>
        <w:spacing w:after="0" w:line="200" w:lineRule="exact"/>
        <w:rPr>
          <w:sz w:val="20"/>
          <w:szCs w:val="20"/>
          <w:color w:val="auto"/>
        </w:rPr>
      </w:pPr>
    </w:p>
    <w:p>
      <w:pPr>
        <w:spacing w:after="0" w:line="24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Senior Secured Convertible Notes converted all of their $8,000,000 outstanding Convertible Notes at a conversion price of $7 per ordinary share.</w:t>
      </w:r>
    </w:p>
    <w:p>
      <w:pPr>
        <w:spacing w:after="0" w:line="16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On December 17, the Company, Apeiron Investment Group Ltd. and Bradley Wickens, the beneficial holders of the majority of Senior Secured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$41,000,000 million of outstanding Senior Secured Convertible Notes was revised to equal $2 per ordinary share.</w:t>
      </w:r>
    </w:p>
    <w:p>
      <w:pPr>
        <w:spacing w:after="0" w:line="183"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Pursuant to the Agreement, Apeiron Investment Group and Bradley Wickens will also procure that the registered nominees holding approximately $41,000,000 million of outstanding Convertible Notes (on behalf of Apeiron Investment Group Ltd. and Bradley Wickens) will exercise their option to convert all such outstanding Convertible Notes, at a conversion price of $2 per ordinary share. Following such conversions, there will be approximately $0.4 million of Senior Secured Convertible Notes outstanding under the Loan Note Instrument.</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41,788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held in Trust Account</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16,126,337</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16,181,367</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25,417,917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2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6,035,757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50,026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agreements liability,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3,056,726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1,395,596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10,938,608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1,417,687 and 2,363,349 shares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at redemption value of approximately $11.31 and $10.71 per share at June 30, 2024</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September 30, 2023,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16,040,786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25,316,806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or outstanding</w:t>
            </w:r>
          </w:p>
        </w:tc>
        <w:tc>
          <w:tcPr>
            <w:tcW w:w="2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and outstanding (excluding 1,417,687 and 2,363,349 shares subject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possible redemption) at June 30, 2024 and September 30, 2023, 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261,161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(11,059,758 )</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(8,486,582 )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(10,798,027 )</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187"/>
        </w:trPr>
        <w:tc>
          <w:tcPr>
            <w:tcW w:w="7720" w:type="dxa"/>
            <w:vAlign w:val="bottom"/>
            <w:tcBorders>
              <w:top w:val="single" w:sz="8" w:color="CFF0FC"/>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16,181,367</w:t>
            </w:r>
          </w:p>
        </w:tc>
        <w:tc>
          <w:tcPr>
            <w:tcW w:w="2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25,417,917</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-3916680</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-3916680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-3634105</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-2082165</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-281940</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4" w:name="page195"/>
    <w:bookmarkEnd w:id="19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7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5"/>
                <w:szCs w:val="15"/>
                <w:color w:val="auto"/>
              </w:rPr>
            </w:pPr>
          </w:p>
        </w:tc>
        <w:tc>
          <w:tcPr>
            <w:tcW w:w="252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Nine Months Ended June 30,</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844,718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775,911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1,876,158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1,960,998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526,209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134,363</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601,809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(1,370,927 )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(910,274 )</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(2,477,967 )</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(2,151,287 )</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(220,050 )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(344,248 )</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interest income</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206,289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433,066</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811,281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(13,761 )</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433,066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467,033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(1,384,688 )</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(477,208 )</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(2,010,934 )</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(38,407 )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(82,376 )</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(153,321 )</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(525,560 )</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(1,423,095 )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(559,584 )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(2,164,255 )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w:t>
            </w:r>
          </w:p>
        </w:tc>
        <w:tc>
          <w:tcPr>
            <w:tcW w:w="2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1,417,687</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3,508,852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1,893,969</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8,770,367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stock subject to possible redemption</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20" w:type="dxa"/>
            <w:vAlign w:val="bottom"/>
          </w:tcPr>
          <w:p>
            <w:pPr>
              <w:jc w:val="right"/>
              <w:ind w:right="34"/>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(0.20 )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(0.06 )</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(0.28 )</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 non-</w:t>
            </w:r>
          </w:p>
        </w:tc>
        <w:tc>
          <w:tcPr>
            <w:tcW w:w="2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redeemable common stock</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20" w:type="dxa"/>
            <w:vAlign w:val="bottom"/>
          </w:tcPr>
          <w:p>
            <w:pPr>
              <w:jc w:val="right"/>
              <w:ind w:right="34"/>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(0.20 )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(0.06 )</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(0.28 )</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-1045210</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-1045210</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-1045210</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-624840</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-607695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-624840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-607695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-624840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-607695</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5" w:name="page196"/>
    <w:bookmarkEnd w:id="19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JUNE 30,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320" w:type="dxa"/>
            <w:vAlign w:val="bottom"/>
            <w:gridSpan w:val="3"/>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232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2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100" w:type="dxa"/>
            <w:vAlign w:val="bottom"/>
            <w:gridSpan w:val="2"/>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(8,486,582 )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subscription agreement liability (see note 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(159,034 )</w:t>
            </w: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(308,850 )</w:t>
            </w:r>
          </w:p>
        </w:tc>
        <w:tc>
          <w:tcPr>
            <w:tcW w:w="1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(467,884 )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(360,314 )</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(360,314 )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20" w:type="dxa"/>
            <w:vAlign w:val="bottom"/>
          </w:tcPr>
          <w:p>
            <w:pPr>
              <w:spacing w:after="0"/>
              <w:rPr>
                <w:sz w:val="18"/>
                <w:szCs w:val="18"/>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(9,155,746 )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(9,155,176 )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 agreement liability (see note 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(347,252 )</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(347,252 )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(3,774 )</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(100,071 )</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(103,845 )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(380,846 )</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(380,846 )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20" w:type="dxa"/>
            <w:vAlign w:val="bottom"/>
          </w:tcPr>
          <w:p>
            <w:pPr>
              <w:spacing w:after="0"/>
              <w:rPr>
                <w:sz w:val="18"/>
                <w:szCs w:val="18"/>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(9,636,663 )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(9,636,093 )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526,209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 agreement liability (see note 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(293,340 )</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(293,340 )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(1,423,095 )</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(1,423,095 )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261,161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(11,059,758 )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(10,798,027 )</w:t>
            </w: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520" w:type="dxa"/>
            <w:vAlign w:val="bottom"/>
            <w:gridSpan w:val="9"/>
          </w:tcPr>
          <w:p>
            <w:pPr>
              <w:ind w:left="304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JUNE 30, 2023</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2320" w:type="dxa"/>
            <w:vAlign w:val="bottom"/>
            <w:gridSpan w:val="3"/>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1"/>
                <w:szCs w:val="21"/>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232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2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100" w:type="dxa"/>
            <w:vAlign w:val="bottom"/>
            <w:gridSpan w:val="2"/>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(4,091,693 )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(3,149,327 )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Remeasurement of common stock subject to</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(2,479,343 )</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(2,479,343 )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100" w:type="dxa"/>
            <w:vAlign w:val="bottom"/>
            <w:gridSpan w:val="2"/>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969,759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  (5,964,009)</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(4,993,680)</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Capital contribution made by Sponsor related to</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the stockholder non-redemption agreements</w:t>
            </w: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raising capital related to the stockholder</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non-redemption agreements</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(1,102,909 )</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Remeasurement of common stock subject to</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(669,074 )</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(669,074 )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(997,722 )</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(173,077 )</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(1,170,799 )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(27,143 )</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(27,143 )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20" w:type="dxa"/>
            <w:vAlign w:val="bottom"/>
          </w:tcPr>
          <w:p>
            <w:pPr>
              <w:spacing w:after="0"/>
              <w:rPr>
                <w:sz w:val="18"/>
                <w:szCs w:val="18"/>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(6,833,303 )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(6,832,733 )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134,363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Remeasurement of common stock subject to</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(329,131 )</w:t>
            </w:r>
          </w:p>
        </w:tc>
        <w:tc>
          <w:tcPr>
            <w:tcW w:w="1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(329,131 )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(559,584 )</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(559,584 )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20" w:type="dxa"/>
            <w:vAlign w:val="bottom"/>
          </w:tcPr>
          <w:p>
            <w:pPr>
              <w:spacing w:after="0"/>
              <w:rPr>
                <w:sz w:val="18"/>
                <w:szCs w:val="18"/>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134,363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(7,722,018 )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(7,587,085 )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-5836920</wp:posOffset>
            </wp:positionV>
            <wp:extent cx="685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-5836920</wp:posOffset>
            </wp:positionV>
            <wp:extent cx="685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-5836920</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-5836920</wp:posOffset>
            </wp:positionV>
            <wp:extent cx="685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-5836920</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-4731385</wp:posOffset>
            </wp:positionV>
            <wp:extent cx="685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-4731385</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-4731385</wp:posOffset>
            </wp:positionV>
            <wp:extent cx="685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-4731385</wp:posOffset>
            </wp:positionV>
            <wp:extent cx="685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-4731385</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-3616960</wp:posOffset>
            </wp:positionV>
            <wp:extent cx="6858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-3599815</wp:posOffset>
            </wp:positionV>
            <wp:extent cx="6858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-3616960</wp:posOffset>
            </wp:positionV>
            <wp:extent cx="6858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-3599815</wp:posOffset>
            </wp:positionV>
            <wp:extent cx="6858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-3616960</wp:posOffset>
            </wp:positionV>
            <wp:extent cx="6858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-3599815</wp:posOffset>
            </wp:positionV>
            <wp:extent cx="6858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-3616960</wp:posOffset>
            </wp:positionV>
            <wp:extent cx="6858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-3599815</wp:posOffset>
            </wp:positionV>
            <wp:extent cx="6858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-3616960</wp:posOffset>
            </wp:positionV>
            <wp:extent cx="6858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-864870</wp:posOffset>
            </wp:positionV>
            <wp:extent cx="6858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-864870</wp:posOffset>
            </wp:positionV>
            <wp:extent cx="6858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-864870</wp:posOffset>
            </wp:positionV>
            <wp:extent cx="6858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-170815</wp:posOffset>
            </wp:positionV>
            <wp:extent cx="6858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6858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-170815</wp:posOffset>
            </wp:positionV>
            <wp:extent cx="6858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6" w:name="page197"/>
    <w:bookmarkEnd w:id="19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(2,164,255 )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(811,281 )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(2,697,147 )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344,248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601,809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190,289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(8,183 )</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1,327,705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979,793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117,873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(28,000 )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(636,814 )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(1,391,186 )</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Withdrawals from trust for redemptions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10,384,496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117,079,879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Withdrawals from trust to pay for taxes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156,174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804,072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(531,697 )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(1,500,000 )</w:t>
            </w: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10,008,973</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116,383,951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492,287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473,008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Redemptions of shares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(10,384,496 )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(117,079,879 )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(9,419,201 )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(115,129,879 )</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(47,042 )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(137,114 )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13,242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Remeasurement of common stock subject to possible redemption</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1,108,476</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3,477,548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Excise tax payable on redemptions</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103,845</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1,170,799</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Taxes Paid</w:t>
            </w: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114,078</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Cost of issuance of debt under subscription agreements</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462,751</w:t>
            </w:r>
          </w:p>
        </w:tc>
        <w:tc>
          <w:tcPr>
            <w:tcW w:w="28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-2794000</wp:posOffset>
            </wp:positionV>
            <wp:extent cx="685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-1945005</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-1388110</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-814070</wp:posOffset>
            </wp:positionV>
            <wp:extent cx="6858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-796290</wp:posOffset>
            </wp:positionV>
            <wp:extent cx="685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-513715</wp:posOffset>
            </wp:positionV>
            <wp:extent cx="6858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685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7" w:name="page198"/>
    <w:bookmarkEnd w:id="1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had not commenced any operations. All activity for the period from November 5, 2020 (inception) through June 30,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9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98" w:name="page199"/>
    <w:bookmarkEnd w:id="198"/>
    <w:p>
      <w:pPr>
        <w:ind w:firstLine="509"/>
        <w:spacing w:after="0" w:line="257"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w:t>
      </w:r>
    </w:p>
    <w:p>
      <w:pPr>
        <w:spacing w:after="0" w:line="1" w:lineRule="exact"/>
        <w:rPr>
          <w:sz w:val="20"/>
          <w:szCs w:val="20"/>
          <w:color w:val="auto"/>
        </w:rPr>
      </w:pPr>
    </w:p>
    <w:p>
      <w:pPr>
        <w:ind w:right="40" w:firstLine="8"/>
        <w:spacing w:after="0" w:line="253" w:lineRule="auto"/>
        <w:tabs>
          <w:tab w:leader="none" w:pos="2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May 17, 2024, June 17, 2024 and July 16, 2024, the Company deposited $49,619 into the Trust Account thereby extending the Combination Period until August 17, 2024.</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9" w:name="page200"/>
    <w:bookmarkEnd w:id="199"/>
    <w:p>
      <w:pPr>
        <w:ind w:firstLine="509"/>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w:t>
      </w:r>
    </w:p>
    <w:p>
      <w:pPr>
        <w:spacing w:after="0" w:line="3" w:lineRule="exact"/>
        <w:rPr>
          <w:sz w:val="20"/>
          <w:szCs w:val="20"/>
          <w:color w:val="auto"/>
        </w:rPr>
      </w:pPr>
    </w:p>
    <w:p>
      <w:pPr>
        <w:ind w:right="820" w:firstLine="8"/>
        <w:spacing w:after="0" w:line="260" w:lineRule="auto"/>
        <w:tabs>
          <w:tab w:leader="none" w:pos="26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nine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0" w:name="page201"/>
    <w:bookmarkEnd w:id="200"/>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nine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$13,242 of cash in its bank operating account and a working capital deficiency of approximately $10.9 million.</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1" w:name="page202"/>
    <w:bookmarkEnd w:id="201"/>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and the Second Extension Note, was $3,056,726 and $2,564,439 as of June 30, 2024, and September 30, 2023, respectively. The balance of subscription agreement liability (net of debt discount) was $354,503 as of June 30, 2024, and $0 as of September 30, 2023.</w:t>
      </w:r>
    </w:p>
    <w:p>
      <w:pPr>
        <w:spacing w:after="0" w:line="17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 The Company completed its Business Combination on August 15,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187"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$1,395,596 related to the redemptions as described above is required to be recorded as a liability on the Company’s balance sheet as of June 30, 2024. This liability will be reevaluated and remeasured at the end of each quarterly period.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2" w:name="page203"/>
    <w:bookmarkEnd w:id="202"/>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third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w:t>
      </w:r>
    </w:p>
    <w:p>
      <w:pPr>
        <w:spacing w:after="0" w:line="17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nine months ended June 30, 2024, are not necessarily indicative of the results that may be expected through September 30, 2024.</w:t>
      </w:r>
    </w:p>
    <w:p>
      <w:pPr>
        <w:spacing w:after="0" w:line="18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as filed with the SEC on December 4,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$13,242 and $60,284 in cash as of June 30, 2024 and September 30, 2023, respectively.</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i w:val="1"/>
          <w:iCs w:val="1"/>
          <w:color w:val="auto"/>
        </w:rPr>
        <w:t>Cash Held in Trust Account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both June 30, 2024, and September 30, 2023, the assets held in the Trust Account were held in an interest-bearing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72" w:lineRule="exact"/>
        <w:rPr>
          <w:sz w:val="20"/>
          <w:szCs w:val="20"/>
          <w:color w:val="auto"/>
        </w:rPr>
      </w:pPr>
    </w:p>
    <w:p>
      <w:pPr>
        <w:ind w:left="900" w:hanging="383"/>
        <w:spacing w:after="0"/>
        <w:tabs>
          <w:tab w:leader="none" w:pos="9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3" w:lineRule="exact"/>
        <w:rPr>
          <w:rFonts w:ascii="Times New Roman" w:cs="Times New Roman" w:eastAsia="Times New Roman" w:hAnsi="Times New Roman"/>
          <w:sz w:val="18"/>
          <w:szCs w:val="18"/>
          <w:color w:val="auto"/>
        </w:rPr>
      </w:pPr>
    </w:p>
    <w:p>
      <w:pPr>
        <w:ind w:left="900" w:right="200" w:hanging="383"/>
        <w:spacing w:after="0" w:line="312" w:lineRule="auto"/>
        <w:tabs>
          <w:tab w:leader="none" w:pos="90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0"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June 30, 2024 and September 30, 2023, the Company has not experienced losses on this account and management believes the Company is not exposed to significant risks on such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ASC340-10-S99-1and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June 30, 2024 and September 30, 2023 subject to possible redemption are presented at redemption value as temporary equity, outside of the stockholders’ deficit section of the Company’s balance sheets.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04" w:name="page205"/>
    <w:bookmarkEnd w:id="204"/>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June 30, 2024 and September 30, 2023, the common stock reflected in the balance sheets are reconciled in the following table:</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(11,700,000 )</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(3,261,589 )</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14,961,589</w:t>
            </w:r>
          </w:p>
        </w:tc>
        <w:tc>
          <w:tcPr>
            <w:tcW w:w="100" w:type="dxa"/>
            <w:vAlign w:val="bottom"/>
          </w:tcPr>
          <w:p>
            <w:pPr>
              <w:spacing w:after="0"/>
              <w:rPr>
                <w:sz w:val="18"/>
                <w:szCs w:val="18"/>
                <w:color w:val="auto"/>
              </w:rPr>
            </w:pPr>
          </w:p>
        </w:tc>
      </w:tr>
      <w:tr>
        <w:trPr>
          <w:trHeight w:val="198"/>
        </w:trPr>
        <w:tc>
          <w:tcPr>
            <w:tcW w:w="6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 value –</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Trust interest income (excluding the amount that can be withdrawn</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from Trust Account for taxes)</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100" w:type="dxa"/>
            <w:vAlign w:val="bottom"/>
            <w:shd w:val="clear" w:color="auto" w:fill="CFF0FC"/>
          </w:tcPr>
          <w:p>
            <w:pPr>
              <w:spacing w:after="0"/>
              <w:rPr>
                <w:sz w:val="20"/>
                <w:szCs w:val="20"/>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Redemptions</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(129,175,094 )</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2023</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Redemptions</w:t>
            </w: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(10,384,496 )</w:t>
            </w:r>
          </w:p>
        </w:tc>
      </w:tr>
      <w:tr>
        <w:trPr>
          <w:trHeight w:val="216"/>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1,108,476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June 30,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16,040,786</w:t>
            </w:r>
          </w:p>
        </w:tc>
        <w:tc>
          <w:tcPr>
            <w:tcW w:w="10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June 30,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8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Nine Months Ended 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8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00" w:type="dxa"/>
            <w:vAlign w:val="bottom"/>
          </w:tcPr>
          <w:p>
            <w:pPr>
              <w:spacing w:after="0"/>
              <w:rPr>
                <w:sz w:val="12"/>
                <w:szCs w:val="12"/>
                <w:color w:val="auto"/>
              </w:rPr>
            </w:pP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74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0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17"/>
        </w:trPr>
        <w:tc>
          <w:tcPr>
            <w:tcW w:w="2820" w:type="dxa"/>
            <w:vAlign w:val="bottom"/>
            <w:shd w:val="clear" w:color="auto" w:fill="CFF0FC"/>
          </w:tcPr>
          <w:p>
            <w:pPr>
              <w:ind w:left="20"/>
              <w:spacing w:after="0" w:line="118" w:lineRule="exact"/>
              <w:rPr>
                <w:sz w:val="20"/>
                <w:szCs w:val="20"/>
                <w:color w:val="auto"/>
              </w:rPr>
            </w:pPr>
            <w:r>
              <w:rPr>
                <w:rFonts w:ascii="Times New Roman" w:cs="Times New Roman" w:eastAsia="Times New Roman" w:hAnsi="Times New Roman"/>
                <w:sz w:val="13"/>
                <w:szCs w:val="13"/>
                <w:i w:val="1"/>
                <w:iCs w:val="1"/>
                <w:color w:val="auto"/>
              </w:rPr>
              <w:t>Basic and diluted net (loss) income</w:t>
            </w: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i w:val="1"/>
                <w:iCs w:val="1"/>
                <w:color w:val="auto"/>
              </w:rPr>
              <w:t>per share</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Numerator: Allocation of net (loss)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(283,071 )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(1,140,024 )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(212,999 )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(346,585 )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(539,100 )</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(1,625,155 )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12,296</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8,004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as adjusted</w:t>
            </w:r>
          </w:p>
        </w:tc>
        <w:tc>
          <w:tcPr>
            <w:tcW w:w="1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Denominator:</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1,417,687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3,508,852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1,893,969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8,770,367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82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shares outstanding</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82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Basic and diluted net (loss) income</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(0.20 )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(0.20 )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(0.06 )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(0.06 )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(0.28 )</w:t>
            </w:r>
          </w:p>
        </w:tc>
        <w:tc>
          <w:tcPr>
            <w:tcW w:w="2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(0.28 )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3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 share</w:t>
            </w:r>
          </w:p>
        </w:tc>
        <w:tc>
          <w:tcPr>
            <w:tcW w:w="100" w:type="dxa"/>
            <w:vAlign w:val="bottom"/>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5" w:name="page206"/>
    <w:bookmarkEnd w:id="205"/>
    <w:p>
      <w:pPr>
        <w:ind w:right="280"/>
        <w:spacing w:after="0" w:line="282" w:lineRule="auto"/>
        <w:rPr>
          <w:sz w:val="20"/>
          <w:szCs w:val="20"/>
          <w:color w:val="auto"/>
        </w:rPr>
      </w:pPr>
      <w:r>
        <w:rPr>
          <w:rFonts w:ascii="Times New Roman" w:cs="Times New Roman" w:eastAsia="Times New Roman" w:hAnsi="Times New Roman"/>
          <w:sz w:val="18"/>
          <w:szCs w:val="18"/>
          <w:color w:val="auto"/>
        </w:rPr>
        <w:t>costs are recognized as an expense in the condensed statements of operations upon vesting, once the applicable performance conditions are met, with an offsetting increase to additional paid-in capital. Forfeitures are recognized as they occur.</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June 30, 2024, all shares under the June 16, 2021 grant were vested.</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$100,800 of stock-based compensation related to this grant for the nine months ended June 30, 2024.</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April 18, 2024, the Chief Executive Officer and President of the Company each purchased 75,000 Founder Shares (or an aggregate of 150,000 shares) from other members of the Sponsor for $.006 per share or a total of $900. The Sponsor allocated these Founder Shares from the selling members to the Chief Executive Officer and President. The aforementioned transfer is within the scope of ASC 718. Under ASC 718, stock-based compensation associated with equity-classified awards is measured at fair value upon the transfer date. The excess of the fair value of the shares purchased by executives over the price that they paid for these shares is recorded as part of the stock compensation expense in the Company’s statement of operations.</w:t>
      </w:r>
    </w:p>
    <w:p>
      <w:pPr>
        <w:spacing w:after="0" w:line="18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$601,809 and $190,289 of stock-based compensation for the nine-month periods ended June 30, 2024 and June 30, 2023, respectively and $526,209 and $134,363 of stock-based compensation for the three month periods ended June 30,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June 30, 2024, and September 30, 2023, the Company’s deferred tax asset had a full valuation allowance recorded against it. Our effective tax rate was (2.77)% and (17.26)% for the three months ended June 30, 2024 and 2023. Our effective tax rate was (7.62)% and 96.28% for the nine months ended June 30, 2024 and 2023. The effective tax rate differs from the statutory tax rate of 21% for the three and nine months ended June 30, 2024, and 2023, due to the valuation allowance on the deferred tax assets and permanent differences related to the business acquisition, stock-based compensation expenses and non-deductible interest.</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While ASC 740 identifies usage of an effective annual tax rate for purposes of an interim provision, it does allow for estimating individual elements in the current period if they are significant, unusual or infrequent. Computing the effective tax rate for the Company is complicated due to the potential impact of the timing of any Business Combination expenses and the actual interest income that will be recognized during the year. The Company has taken a position as to the calculation of income tax expense in a current period based on ASC 740-270-25-3 which states, “If an entity is unable to estimate a part of its ordinary income (or loss) or the related tax (benefit) but is otherwise able to make a reasonable estimate, the tax (or benefit) applicable to the item that cannot be estimated shall be reported in the interim period in which the item is reported.” The Company believes its calculation to be a reliable estimate and allows it to properly take into account the usual elements that can impact its annualized book income and its impact on the effective tax rate. As such, the Company is computing its taxable income (loss) and associated income tax provision based on actual results through June 30, 2024.</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6" w:name="page207"/>
    <w:bookmarkEnd w:id="206"/>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June 30, 2024, and September 30, 2023.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Representative Common Stock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7" w:name="page208"/>
    <w:bookmarkEnd w:id="207"/>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nine-month periods ended June 30, 2024 and 2023, respectively. These amounts were applied against the balance owing to the Sponsor under the remaining promissory note. As of June 30, 2024 and September 30, 2023, the net amount outstanding under the promissory note was $247,454 and $247,454, respectively.</w:t>
      </w:r>
    </w:p>
    <w:p>
      <w:pPr>
        <w:spacing w:after="0" w:line="18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w:t>
      </w:r>
    </w:p>
    <w:p>
      <w:pPr>
        <w:spacing w:after="0" w:line="1" w:lineRule="exact"/>
        <w:rPr>
          <w:sz w:val="20"/>
          <w:szCs w:val="20"/>
          <w:color w:val="auto"/>
        </w:rPr>
      </w:pPr>
    </w:p>
    <w:p>
      <w:pPr>
        <w:ind w:right="100" w:firstLine="8"/>
        <w:spacing w:after="0" w:line="260" w:lineRule="auto"/>
        <w:tabs>
          <w:tab w:leader="none" w:pos="26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consummates an acquisition, merger or other business combination transaction involving the Company or its affiliates. The principal balance may be prepaid at any time.</w:t>
      </w:r>
    </w:p>
    <w:p>
      <w:pPr>
        <w:spacing w:after="0" w:line="1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June 30, 2024.</w:t>
      </w:r>
    </w:p>
    <w:p>
      <w:pPr>
        <w:spacing w:after="0" w:line="18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June 30,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9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June 30, 2024.</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8" w:name="page209"/>
    <w:bookmarkEnd w:id="208"/>
    <w:p>
      <w:pPr>
        <w:ind w:right="20"/>
        <w:spacing w:after="0" w:line="266" w:lineRule="auto"/>
        <w:rPr>
          <w:sz w:val="20"/>
          <w:szCs w:val="20"/>
          <w:color w:val="auto"/>
        </w:rPr>
      </w:pPr>
      <w:r>
        <w:rPr>
          <w:rFonts w:ascii="Times New Roman" w:cs="Times New Roman" w:eastAsia="Times New Roman" w:hAnsi="Times New Roman"/>
          <w:sz w:val="18"/>
          <w:szCs w:val="18"/>
          <w:color w:val="auto"/>
        </w:rPr>
        <w:t>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June 30, 2024.</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June 30, 2024.</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June 30, 2024.</w:t>
      </w:r>
    </w:p>
    <w:p>
      <w:pPr>
        <w:spacing w:after="0" w:line="1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8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80"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 As of June 30, 2024, $248,095 was drawn and outstanding under the Second Extension Note.</w:t>
      </w:r>
    </w:p>
    <w:p>
      <w:pPr>
        <w:spacing w:after="0" w:line="18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180"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On March 13, 2024, the Company borrowed $60,381 from the Sponsor to be used for working capital. The promissory note is non-interest bearing and due on the earlier of: (i) the liquidation or release of all of the monies held in the Trust Account or (ii)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9" w:name="page210"/>
    <w:bookmarkEnd w:id="209"/>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On April 16, 2024, the Company borrowed $49,619 under the Second Extension Note and deposited the funds into the Trust Account thereby extending the Termination Date to May 17, 2024.</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was partially funded by the Sponsor pursuant to the funds provided under the Subscription Agreement with Vellar described in Note 4 below.</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On May 15, 2024, the Company borrowed $49,619 under the Second Extension Note and deposited the funds into the Trust Account thereby extending the Termination Date to June 17, 2024.</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May 15, 2024, the Company issued a promissory note to the Sponsor for the aggregate amount of $12,381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June 6,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On June 15, 2024, the Company borrowed $49,619 under the Second Extension Note and deposited the funds into the Trust Account thereby extending the Termination Date to July 17, 2024.</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June 21, 2024, the Company issued a promissory note to the Sponsor for the aggregate amount of $1,364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June 21, 2024, the Company issued a promissory note to the Sponsor for the aggregate amount of $32,000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Agreements (as described in Note 4 below) was $3,056,726 and $2,564,439 as of June 30, 2024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nine months ended June 30, 2024, the Company incurred $30,000 and $90,000, respectively in administrative service fees. For each of the three and nine months ended June 30, 2023, the Company incurred and paid</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01" w:right="459" w:bottom="1440" w:gutter="0" w:footer="0" w:header="0"/>
        </w:sectPr>
      </w:pPr>
    </w:p>
    <w:bookmarkStart w:id="210" w:name="page211"/>
    <w:bookmarkEnd w:id="210"/>
    <w:p>
      <w:pPr>
        <w:ind w:right="160"/>
        <w:spacing w:after="0" w:line="282" w:lineRule="auto"/>
        <w:rPr>
          <w:sz w:val="20"/>
          <w:szCs w:val="20"/>
          <w:color w:val="auto"/>
        </w:rPr>
      </w:pPr>
      <w:r>
        <w:rPr>
          <w:rFonts w:ascii="Times New Roman" w:cs="Times New Roman" w:eastAsia="Times New Roman" w:hAnsi="Times New Roman"/>
          <w:sz w:val="18"/>
          <w:szCs w:val="18"/>
          <w:color w:val="auto"/>
        </w:rPr>
        <w:t>$30,000 and $90,000, respectively, in administrative service fees. The Company has $60,000 and $0 related to the administrative service fees, included in the accounts payable as of June 30, 2024 and September 30, 2023, respectively.</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4 — Subscription Agreements Liability</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w:t>
      </w:r>
    </w:p>
    <w:p>
      <w:pPr>
        <w:spacing w:after="0" w:line="19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with Polar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76"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shares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the subscription agreements liability as a bundled transaction with allocation of individual items based on their relative fair values. The fair value of shares issuable under the Subscription Agreements is considered cost of borrowing of the funds lent by the Sponsor upon receipt of the Contributions from the Investor and the net amount is recorded as subscription agreement liability in the Company’s condensed balance sheet. The Company recognized $462,716 of cost of borrowing attributable to the draws under the Subscription Agreements. Such cost of borrowing is amortized over the term of the Subscription Agreements and is included in the Company’s statement of operations as interest expense. For the nine months ended June 30, 2024, the Company recorded $344,226 of interest expense attributable to the previously recognized cost of borrowing. The net amount of subscription liability of $354,503 is presented as a separate line item in the Company’s condensed balance sheet as of June 30, 2024.</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12" w:name="page213"/>
    <w:bookmarkEnd w:id="212"/>
    <w:p>
      <w:pPr>
        <w:ind w:right="20"/>
        <w:spacing w:after="0" w:line="258" w:lineRule="auto"/>
        <w:rPr>
          <w:sz w:val="20"/>
          <w:szCs w:val="20"/>
          <w:color w:val="auto"/>
        </w:rPr>
      </w:pPr>
      <w:r>
        <w:rPr>
          <w:rFonts w:ascii="Times New Roman" w:cs="Times New Roman" w:eastAsia="Times New Roman" w:hAnsi="Times New Roman"/>
          <w:sz w:val="18"/>
          <w:szCs w:val="18"/>
          <w:color w:val="auto"/>
        </w:rPr>
        <w:t>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83"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color w:val="auto"/>
        </w:rPr>
        <w:t>Note 6 — Recurring Fair Value Measurements</w:t>
      </w:r>
    </w:p>
    <w:p>
      <w:pPr>
        <w:spacing w:after="0" w:line="121" w:lineRule="exact"/>
        <w:rPr>
          <w:sz w:val="20"/>
          <w:szCs w:val="20"/>
          <w:color w:val="auto"/>
        </w:rPr>
      </w:pPr>
    </w:p>
    <w:p>
      <w:pPr>
        <w:jc w:val="both"/>
        <w:ind w:right="240" w:firstLine="509"/>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interest-bearing demand deposit account as of June 30, 2024 and September 30, 2023 and classified as Level 1 in the hierarchy of fair value measurements with carrying value approximating fair value.</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5"/>
                <w:szCs w:val="15"/>
                <w:color w:val="auto"/>
              </w:rPr>
            </w:pPr>
          </w:p>
        </w:tc>
        <w:tc>
          <w:tcPr>
            <w:tcW w:w="246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42"/>
        </w:trPr>
        <w:tc>
          <w:tcPr>
            <w:tcW w:w="5160" w:type="dxa"/>
            <w:vAlign w:val="bottom"/>
          </w:tcPr>
          <w:p>
            <w:pPr>
              <w:spacing w:after="0"/>
              <w:rPr>
                <w:sz w:val="12"/>
                <w:szCs w:val="12"/>
                <w:color w:val="auto"/>
              </w:rPr>
            </w:pPr>
          </w:p>
        </w:tc>
        <w:tc>
          <w:tcPr>
            <w:tcW w:w="720" w:type="dxa"/>
            <w:vAlign w:val="bottom"/>
            <w:tcBorders>
              <w:top w:val="single" w:sz="8" w:color="auto"/>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Level</w:t>
            </w:r>
          </w:p>
        </w:tc>
        <w:tc>
          <w:tcPr>
            <w:tcW w:w="3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r>
      <w:tr>
        <w:trPr>
          <w:trHeight w:val="209"/>
        </w:trPr>
        <w:tc>
          <w:tcPr>
            <w:tcW w:w="5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Interest-bearing demand deposit account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$ 16,126,337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12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June 30, 2024 and September 30, 2023,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June 30,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4" w:name="page215"/>
    <w:bookmarkEnd w:id="214"/>
    <w:p>
      <w:pPr>
        <w:ind w:left="5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17" w:lineRule="exact"/>
        <w:rPr>
          <w:sz w:val="20"/>
          <w:szCs w:val="20"/>
          <w:color w:val="auto"/>
        </w:rPr>
      </w:pPr>
    </w:p>
    <w:p>
      <w:pPr>
        <w:ind w:left="900" w:hanging="383"/>
        <w:spacing w:after="0"/>
        <w:tabs>
          <w:tab w:leader="none" w:pos="9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Agreement, on July 4, 2024, Rezolve effected a pre-Closing demerger (the “Pre-Closing Demerger”)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were transferred to Rezolve AI in exchange for the issue by Rezolve AI of shares of the same classes as in Rezolve Limited for distribution among the original shareholders of Rezolve in proportion to their holdings of shares of each class in Rezolve as at immediately prior to the Pre-Closing Demerger, (y) Rezolve AI assumed the secured convertible notes issued by Rezolve and (z) Rezolve was placed into a members’ voluntary liquidation.</w:t>
      </w:r>
    </w:p>
    <w:p>
      <w:pPr>
        <w:spacing w:after="0" w:line="18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July 5,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On July 17, 2024, the Company borrowed $49,619 under the Second Extension Note and deposited the funds into the Trust Account thereby extending the Termination Date to August 17, 2024.</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July 17, 2024, the Company issued a promissory note to the Sponsor for the aggregate amount of $381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5" w:name="page216"/>
    <w:bookmarkEnd w:id="215"/>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On August 1, 2024, the Company held a special meeting of stockholders (the “Special Meeting”) virtually to approve, among other things, the Company’s initial business combination, as more fully described in the Definitive Proxy Statement filed with the U.S. Securities and Exchange Commission on July 10, 2024.</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Special Meeting, Public Stockholders holding 1,300,391 Public Shares exercised their right to redeem such shares for a pro rata portion of the funds in the Trust Account. As a result, $14,803,608 (approximately $11.38 per share) was removed from the Trust Account to pay such holders.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 the Special Meeting, the stockholders also approved a proposal to amend the Company’s second amended and restated certificate of incorporation to eliminate the limitation that the Company may not consummate a business combination to the extent the Company would have net tangible assets of less than $5,000,001, which amendment will be effective immediately prior to or upon consummation of a business combination in order to allow the Company to consummate the Business Combination irrespective of whether the Company would exceed such limitation.</w:t>
      </w:r>
    </w:p>
    <w:p>
      <w:pPr>
        <w:spacing w:after="0" w:line="18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August 15, 2024, subsequent to the fiscal quarter ended June 30, 2024, the fiscal quarter to which this Quarterly Report on Form 10-Q relates, the Company consummated the previously announced business combination pursuant to the Business Combination Agreement, by and among the Company, Rezolve, Rezolve AI and the other parties thereto.</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consummation of the Business Combination, on August 15, 2024, (i) Rezolve AI effected a re-classification of its share capital whereby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series A shares were reclassified as ordinary shares of same class as existing ordinary shares on issue in Rezolve AI, with nominal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(the “Rezolve Ordinary Shares”), and (ii) the Company merged with and into Rezolve Merger Sub, with the Company surviving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wholly owned subsidiary of Rezolve AI, with shareholders of the Company received Rezolve Ordinary Shares in exchange for their existing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and the Company warrant holders having their warrants automatically exchanged for warrants of Rezolve.</w:t>
      </w:r>
    </w:p>
    <w:p>
      <w:pPr>
        <w:spacing w:after="0" w:line="20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contemplation of closing of the Business combination the Company has entered into the following agreements with their vendors which were not paid in cash at the closing of the Business Combination:</w:t>
      </w:r>
    </w:p>
    <w:p>
      <w:pPr>
        <w:spacing w:after="0" w:line="16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and Rezolve AI.</w:t>
      </w:r>
    </w:p>
    <w:p>
      <w:pPr>
        <w:spacing w:after="0" w:line="19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VWAP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and Rezolve AI.</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(the “Agent”) as an agent for the Sponsor, in the principal sum of $3,144,883.06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Agent’s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6" w:name="page217"/>
    <w:bookmarkEnd w:id="216"/>
    <w:p>
      <w:pPr>
        <w:spacing w:after="0" w:line="254" w:lineRule="auto"/>
        <w:rPr>
          <w:sz w:val="20"/>
          <w:szCs w:val="20"/>
          <w:color w:val="auto"/>
        </w:rPr>
      </w:pPr>
      <w:r>
        <w:rPr>
          <w:rFonts w:ascii="Times New Roman" w:cs="Times New Roman" w:eastAsia="Times New Roman" w:hAnsi="Times New Roman"/>
          <w:sz w:val="18"/>
          <w:szCs w:val="18"/>
          <w:color w:val="auto"/>
        </w:rPr>
        <w:t>request, Rezolve AI shall pay the Agent the principal amount plus all of the accrued interest in increments of 1/18 of the outstanding principal amount (the “Amortization Payment”) on a date determined by Agent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Agent shall have the right, at Agent’s sole option, on any business day, to convert at the conversion price described in the note all or any portion of the outstanding principal amount of the note up to an amount described in the note. The convertible note was entered into in exchange for the Sponsor’s interest in and extinguishment of its interest in the existing loans from the Sponsor to the Company exclusive of the funding by Polar under the subscription agreement which is described above. The funding by Polar was repaid by the Company to Polar at the time of closing as required by the subscription agreement with Polar.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7" w:name="page218"/>
    <w:bookmarkEnd w:id="2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107,722</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15,771,190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15,882,693</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2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5,392,262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agreement liability,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2,776,600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1,395,596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9,771,340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1,417,687 and 2,363,349 shares at</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redemption value of approximately $11.11 and $10.71 per share at March 31, 2024</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September 30, 2023,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15,747,446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25,316,806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(excluding 1,417,687 and 2,363,349 shares subject to</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possible redemption) at March 31, 2024 and September 30, 2023, 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(9,636,663 )</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(8,486,582 )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(9,636,093 )</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(8,486,012 )</w:t>
            </w:r>
          </w:p>
        </w:tc>
        <w:tc>
          <w:tcPr>
            <w:tcW w:w="0" w:type="dxa"/>
            <w:vAlign w:val="bottom"/>
          </w:tcPr>
          <w:p>
            <w:pPr>
              <w:spacing w:after="0"/>
              <w:rPr>
                <w:sz w:val="1"/>
                <w:szCs w:val="1"/>
                <w:color w:val="auto"/>
              </w:rPr>
            </w:pPr>
          </w:p>
        </w:tc>
      </w:tr>
      <w:tr>
        <w:trPr>
          <w:trHeight w:val="187"/>
        </w:trPr>
        <w:tc>
          <w:tcPr>
            <w:tcW w:w="7720" w:type="dxa"/>
            <w:vAlign w:val="bottom"/>
            <w:tcBorders>
              <w:top w:val="single" w:sz="8" w:color="CFF0FC"/>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15,882,693</w:t>
            </w:r>
          </w:p>
        </w:tc>
        <w:tc>
          <w:tcPr>
            <w:tcW w:w="2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-3908425</wp:posOffset>
            </wp:positionV>
            <wp:extent cx="6858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-3625215</wp:posOffset>
            </wp:positionV>
            <wp:extent cx="6858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-281940</wp:posOffset>
            </wp:positionV>
            <wp:extent cx="6858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8" w:name="page219"/>
    <w:bookmarkEnd w:id="2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780" w:type="dxa"/>
            <w:vAlign w:val="bottom"/>
            <w:gridSpan w:val="6"/>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20" w:type="dxa"/>
            <w:vAlign w:val="bottom"/>
          </w:tcPr>
          <w:p>
            <w:pPr>
              <w:spacing w:after="0"/>
              <w:rPr>
                <w:sz w:val="13"/>
                <w:szCs w:val="13"/>
                <w:color w:val="auto"/>
              </w:rPr>
            </w:pPr>
          </w:p>
        </w:tc>
        <w:tc>
          <w:tcPr>
            <w:tcW w:w="24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2780" w:type="dxa"/>
            <w:vAlign w:val="bottom"/>
            <w:gridSpan w:val="6"/>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459,911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790,735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1,031,440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(485,111 )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(818,698 )</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(1,107,040 )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(1,241,013 )</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(118,811 )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(124,198 )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interest income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270,156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974,408</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604,992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151,345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974,408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480,794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2,264,081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(333,766 )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(626,246 )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(47,080 )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(182,853 )</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(114,914 )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(443,184 )</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(380,846 )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(27,143 )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(741,160 )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6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1,895,714</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7,722,273</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2,130,809</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11,401,124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60" w:type="dxa"/>
            <w:vAlign w:val="bottom"/>
          </w:tcPr>
          <w:p>
            <w:pPr>
              <w:jc w:val="right"/>
              <w:ind w:right="74"/>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(0.05 )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(0.00 )</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(0.09 )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6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non-redeemable common stock</w:t>
            </w: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60" w:type="dxa"/>
            <w:vAlign w:val="bottom"/>
          </w:tcPr>
          <w:p>
            <w:pPr>
              <w:jc w:val="right"/>
              <w:ind w:right="74"/>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(0.05 )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(0.00 )</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(0.09 )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-1045210</wp:posOffset>
            </wp:positionV>
            <wp:extent cx="6858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-1045210</wp:posOffset>
            </wp:positionV>
            <wp:extent cx="6858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-1045210</wp:posOffset>
            </wp:positionV>
            <wp:extent cx="6858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-624840</wp:posOffset>
            </wp:positionV>
            <wp:extent cx="6858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-607695</wp:posOffset>
            </wp:positionV>
            <wp:extent cx="685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-624840</wp:posOffset>
            </wp:positionV>
            <wp:extent cx="6858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-607695</wp:posOffset>
            </wp:positionV>
            <wp:extent cx="6858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-624840</wp:posOffset>
            </wp:positionV>
            <wp:extent cx="6858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-607695</wp:posOffset>
            </wp:positionV>
            <wp:extent cx="6858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6858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9" w:name="page220"/>
    <w:bookmarkEnd w:id="2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MARCH 31, 2024</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160" w:type="dxa"/>
            <w:vAlign w:val="bottom"/>
            <w:gridSpan w:val="3"/>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216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12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40" w:type="dxa"/>
            <w:vAlign w:val="bottom"/>
            <w:gridSpan w:val="2"/>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(8,486,582 )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agreement liability (see note 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(159,034 )</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(308,850 )</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(467,884 )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(360,314 )</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(360,314 )</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18"/>
                <w:szCs w:val="18"/>
                <w:color w:val="auto"/>
              </w:rPr>
            </w:pPr>
          </w:p>
        </w:tc>
        <w:tc>
          <w:tcPr>
            <w:tcW w:w="800" w:type="dxa"/>
            <w:vAlign w:val="bottom"/>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(9,155,746 )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(9,155,176 )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 liability (see note 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(347,252 )</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(347,252 )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(3,774 )</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(100,071 )</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(103,845 )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(380,846 )</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(380,846 )</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18"/>
                <w:szCs w:val="18"/>
                <w:color w:val="auto"/>
              </w:rPr>
            </w:pPr>
          </w:p>
        </w:tc>
        <w:tc>
          <w:tcPr>
            <w:tcW w:w="800" w:type="dxa"/>
            <w:vAlign w:val="bottom"/>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(9,636,663 )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(9,636,093 )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720" w:type="dxa"/>
            <w:vAlign w:val="bottom"/>
            <w:gridSpan w:val="9"/>
          </w:tcPr>
          <w:p>
            <w:pPr>
              <w:ind w:left="300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MARCH 31, 2023</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740" w:type="dxa"/>
            <w:vAlign w:val="bottom"/>
          </w:tcPr>
          <w:p>
            <w:pPr>
              <w:spacing w:after="0"/>
              <w:rPr>
                <w:sz w:val="24"/>
                <w:szCs w:val="24"/>
                <w:color w:val="auto"/>
              </w:rPr>
            </w:pPr>
          </w:p>
        </w:tc>
        <w:tc>
          <w:tcPr>
            <w:tcW w:w="2160" w:type="dxa"/>
            <w:vAlign w:val="bottom"/>
            <w:gridSpan w:val="3"/>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216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12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40" w:type="dxa"/>
            <w:vAlign w:val="bottom"/>
            <w:gridSpan w:val="2"/>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(4,091,693 )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(3,149,327 )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(2,479,343 )</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(2,479,343 )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40" w:type="dxa"/>
            <w:vAlign w:val="bottom"/>
            <w:gridSpan w:val="2"/>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969,759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(5,964,009 )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(4,993,680 )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Capital contribution made by Sponsor related to the</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shareholder non-redemption agreements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raising capital related to the shareholder</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non-redemption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(1,102,909 )</w:t>
            </w:r>
          </w:p>
        </w:tc>
        <w:tc>
          <w:tcPr>
            <w:tcW w:w="1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(669,074 )</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(669,074 )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(997,722 )</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(173,077 )</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(1,170,799 )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(27,143 )</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(27,143 )</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18"/>
                <w:szCs w:val="18"/>
                <w:color w:val="auto"/>
              </w:rPr>
            </w:pPr>
          </w:p>
        </w:tc>
        <w:tc>
          <w:tcPr>
            <w:tcW w:w="800" w:type="dxa"/>
            <w:vAlign w:val="bottom"/>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(6,833,303 )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(6,832,733 )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-4251325</wp:posOffset>
            </wp:positionV>
            <wp:extent cx="6858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-4251325</wp:posOffset>
            </wp:positionV>
            <wp:extent cx="6858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-4251325</wp:posOffset>
            </wp:positionV>
            <wp:extent cx="6858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-4251325</wp:posOffset>
            </wp:positionV>
            <wp:extent cx="6858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-4251325</wp:posOffset>
            </wp:positionV>
            <wp:extent cx="7747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-3145790</wp:posOffset>
            </wp:positionV>
            <wp:extent cx="6858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-3145790</wp:posOffset>
            </wp:positionV>
            <wp:extent cx="6858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-3145790</wp:posOffset>
            </wp:positionV>
            <wp:extent cx="6858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-3145790</wp:posOffset>
            </wp:positionV>
            <wp:extent cx="6858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-3145790</wp:posOffset>
            </wp:positionV>
            <wp:extent cx="7747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-170815</wp:posOffset>
            </wp:positionV>
            <wp:extent cx="6858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-170815</wp:posOffset>
            </wp:positionV>
            <wp:extent cx="6858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858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6858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0" w:name="page221"/>
    <w:bookmarkEnd w:id="2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(741,160 )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579,884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(604,992 )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(2,264,081 )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124,198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684,212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407,667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(68,800 )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(378,057 )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(1,195,701 )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Withdrawals from Trust Account for redemptions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10,384,496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117,079,879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Withdrawals from Trust Account to pay for income and franchise taxes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156,174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804,072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(382,840 )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(1,500,000 )</w:t>
            </w: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10,157,830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116,383,951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212,161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Redemptions of class A shares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(10,384,496 )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(117,079,879 )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(9,732,335 )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(115,129,879 )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47,438</w:t>
            </w: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58,371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107,722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235,949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 and taxes paid: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815,136</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3,148,417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Excise tax payable on redemptions</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103,845</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1,170,799</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Cost of issuance of debt under Polar agreement</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434,460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77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taxes paid</w:t>
            </w: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71,153</w:t>
            </w:r>
          </w:p>
        </w:tc>
        <w:tc>
          <w:tcPr>
            <w:tcW w:w="28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407,687</w:t>
            </w:r>
          </w:p>
        </w:tc>
        <w:tc>
          <w:tcPr>
            <w:tcW w:w="100" w:type="dxa"/>
            <w:vAlign w:val="bottom"/>
            <w:tcBorders>
              <w:top w:val="single" w:sz="8" w:color="CFF0FC"/>
            </w:tcBorders>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-2794000</wp:posOffset>
            </wp:positionV>
            <wp:extent cx="6858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-1945005</wp:posOffset>
            </wp:positionV>
            <wp:extent cx="6858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-1388110</wp:posOffset>
            </wp:positionV>
            <wp:extent cx="6858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-814070</wp:posOffset>
            </wp:positionV>
            <wp:extent cx="6858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-796290</wp:posOffset>
            </wp:positionV>
            <wp:extent cx="6858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-513715</wp:posOffset>
            </wp:positionV>
            <wp:extent cx="6858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6858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1" w:name="page222"/>
    <w:bookmarkEnd w:id="22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had not commenced any operations. All activity for the period from November 5, 2020 (inception) through March 31,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9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22" w:name="page223"/>
    <w:bookmarkEnd w:id="222"/>
    <w:p>
      <w:pPr>
        <w:ind w:firstLine="509"/>
        <w:spacing w:after="0" w:line="257"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w:t>
      </w:r>
    </w:p>
    <w:p>
      <w:pPr>
        <w:spacing w:after="0" w:line="1" w:lineRule="exact"/>
        <w:rPr>
          <w:sz w:val="20"/>
          <w:szCs w:val="20"/>
          <w:color w:val="auto"/>
        </w:rPr>
      </w:pPr>
    </w:p>
    <w:p>
      <w:pPr>
        <w:ind w:right="40" w:firstLine="8"/>
        <w:spacing w:after="0" w:line="253" w:lineRule="auto"/>
        <w:tabs>
          <w:tab w:leader="none" w:pos="25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3" w:name="page224"/>
    <w:bookmarkEnd w:id="223"/>
    <w:p>
      <w:pPr>
        <w:ind w:firstLine="509"/>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w:t>
      </w:r>
    </w:p>
    <w:p>
      <w:pPr>
        <w:spacing w:after="0" w:line="3" w:lineRule="exact"/>
        <w:rPr>
          <w:sz w:val="20"/>
          <w:szCs w:val="20"/>
          <w:color w:val="auto"/>
        </w:rPr>
      </w:pPr>
    </w:p>
    <w:p>
      <w:pPr>
        <w:ind w:right="820" w:firstLine="8"/>
        <w:spacing w:after="0" w:line="260" w:lineRule="auto"/>
        <w:tabs>
          <w:tab w:leader="none" w:pos="26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4" w:name="page225"/>
    <w:bookmarkEnd w:id="224"/>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$107,722 of cash in its bank operating account and a working capital deficiency of approximately $9.7 million.</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5" w:name="page226"/>
    <w:bookmarkEnd w:id="225"/>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and the Second Extension Note, was $2,776,600 and $2,564,439 as of March 31, 2024, and September 30, 2023, respectively. The balance of subscription agreement liability (net of debt discount) was $129,738 as of March 31, 2024, and $0 as of September 30, 2023.</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187" w:lineRule="exact"/>
        <w:rPr>
          <w:sz w:val="20"/>
          <w:szCs w:val="20"/>
          <w:color w:val="auto"/>
        </w:rPr>
      </w:pPr>
    </w:p>
    <w:p>
      <w:pPr>
        <w:jc w:val="both"/>
        <w:ind w:right="600" w:firstLine="509"/>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$1,395,596 related to the redemptions as described above is required to be recorded as a liability on the Company’s balance sheet as of March 31, 2024. This liability will be reevaluated and remeasured at the end of each quarterly period.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six months ended March 31, 2024, are not necessarily indicative of the results that may be expected through September 30, 2024.</w:t>
      </w:r>
    </w:p>
    <w:p>
      <w:pPr>
        <w:spacing w:after="0" w:line="18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as filed with the SEC on December 4,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$107,722 and $60,284 in cash as of March 31, 2024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both March 31, 2024,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72" w:lineRule="exact"/>
        <w:rPr>
          <w:sz w:val="20"/>
          <w:szCs w:val="20"/>
          <w:color w:val="auto"/>
        </w:rPr>
      </w:pPr>
    </w:p>
    <w:p>
      <w:pPr>
        <w:ind w:left="900" w:hanging="383"/>
        <w:spacing w:after="0"/>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3" w:lineRule="exact"/>
        <w:rPr>
          <w:rFonts w:ascii="Times New Roman" w:cs="Times New Roman" w:eastAsia="Times New Roman" w:hAnsi="Times New Roman"/>
          <w:sz w:val="18"/>
          <w:szCs w:val="18"/>
          <w:color w:val="auto"/>
        </w:rPr>
      </w:pPr>
    </w:p>
    <w:p>
      <w:pPr>
        <w:ind w:left="900" w:right="160" w:hanging="383"/>
        <w:spacing w:after="0" w:line="312" w:lineRule="auto"/>
        <w:tabs>
          <w:tab w:leader="none" w:pos="90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March 31, 2024 and September 30, 2023, the Company has not experienced losses on this account and management believes the Company is not exposed to significant risks on such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March 31, 2024 and September 30,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28" w:name="page229"/>
    <w:bookmarkEnd w:id="228"/>
    <w:p>
      <w:pPr>
        <w:ind w:left="520"/>
        <w:spacing w:after="0"/>
        <w:rPr>
          <w:sz w:val="20"/>
          <w:szCs w:val="20"/>
          <w:color w:val="auto"/>
        </w:rPr>
      </w:pPr>
      <w:r>
        <w:rPr>
          <w:rFonts w:ascii="Times New Roman" w:cs="Times New Roman" w:eastAsia="Times New Roman" w:hAnsi="Times New Roman"/>
          <w:sz w:val="18"/>
          <w:szCs w:val="18"/>
          <w:color w:val="auto"/>
        </w:rPr>
        <w:t>At March 31, 2024 and September 30, 2023, the common stock reflected in the balance sheets are reconciled in the following table:</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(11,700,000 )</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(3,261,589 )</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value – Trust interest income (excluding the amount that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can be withdrawn from Trust Account for taxes)</w:t>
            </w: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(129,175,094 )</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25,784,690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(10,384,496 )</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15,747,446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-968375</wp:posOffset>
            </wp:positionV>
            <wp:extent cx="6032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-556895</wp:posOffset>
            </wp:positionV>
            <wp:extent cx="6032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March 31,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8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80" w:type="dxa"/>
            <w:vAlign w:val="bottom"/>
          </w:tcPr>
          <w:p>
            <w:pPr>
              <w:spacing w:after="0"/>
              <w:rPr>
                <w:sz w:val="12"/>
                <w:szCs w:val="12"/>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10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20" w:type="dxa"/>
            <w:vAlign w:val="bottom"/>
          </w:tcPr>
          <w:p>
            <w:pPr>
              <w:spacing w:after="0"/>
              <w:rPr>
                <w:sz w:val="12"/>
                <w:szCs w:val="12"/>
                <w:color w:val="auto"/>
              </w:rPr>
            </w:pP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80" w:type="dxa"/>
            <w:vAlign w:val="bottom"/>
          </w:tcPr>
          <w:p>
            <w:pPr>
              <w:spacing w:after="0"/>
              <w:rPr>
                <w:sz w:val="15"/>
                <w:szCs w:val="15"/>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0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2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(94,932 )</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(285,914 )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(15,605 )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(11,538 )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1,895,714</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7,722,273</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F-97</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9" w:name="page230"/>
    <w:bookmarkEnd w:id="229"/>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Six Months Ended March 31,</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18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40" w:type="dxa"/>
            <w:vAlign w:val="bottom"/>
          </w:tcPr>
          <w:p>
            <w:pPr>
              <w:spacing w:after="0"/>
              <w:rPr>
                <w:sz w:val="12"/>
                <w:szCs w:val="12"/>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102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40" w:type="dxa"/>
            <w:vAlign w:val="bottom"/>
          </w:tcPr>
          <w:p>
            <w:pPr>
              <w:spacing w:after="0"/>
              <w:rPr>
                <w:sz w:val="15"/>
                <w:szCs w:val="15"/>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02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(201,430 )</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(539,730 )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386,387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2,130,809</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11,401,124</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March 31, 2024, all shares under the June 16, 2021 grant were vested.</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$75,600 of stock-based compensation related to this grant for the six months ended March 31, 2024.</w:t>
      </w:r>
    </w:p>
    <w:p>
      <w:pPr>
        <w:spacing w:after="0" w:line="18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$75,600 and $55,926 of stock-based compensation for the six-month periods ended March 31, 2024 and March 31, 2023, respectively and $25,200 and $27,963 of stock-based compensation for the three month periods ended March 31,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and September 30, 2023, the Company’s deferred tax asset had a full valuation allowance recorded against it. Our effective tax rate was (18.35%) and 43.32% for the six months ended March 31, 2024, and 2023 . The effective tax rate differs from the statutory tax rate of 21% due to valuation allowance on the deferred tax assets and permanent differences related to the business acquisition expenses and interest expense related to subscription agreement liability.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230" w:name="page231"/>
    <w:bookmarkEnd w:id="230"/>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March 31, 2024, and September 30, 2023.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2024, and September 30, 2023, the Company’s deferred tax asset had a full valuation allowance recorded against it. Our effective tax rate was (14.11)% and 117.43% for the three months ended March 31, 2024 and 2023. Our effective tax rate was (18.35)% and 43.32% for the six months ended March 31, 2024 and 2023. The effective tax rate differs from the statutory tax rate of 21% for the three and six months ended March 31, 2024, and 2023, due to the valuation allowance on the deferred tax assets and permanent differences related to the business acquisition and stock-based compensation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176"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six-month periods ended March 31, 2024 and 2023, respectively. These amounts were applied against the balance owing to the Sponsor under the remaining promissory note. As of March 31, 2024 and September 30, 2023, the net amount outstanding under the promissory note was $247,454 and $247,454, respectively.</w:t>
      </w:r>
    </w:p>
    <w:p>
      <w:pPr>
        <w:spacing w:after="0" w:line="18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w:t>
      </w:r>
    </w:p>
    <w:p>
      <w:pPr>
        <w:spacing w:after="0" w:line="1" w:lineRule="exact"/>
        <w:rPr>
          <w:sz w:val="20"/>
          <w:szCs w:val="20"/>
          <w:color w:val="auto"/>
        </w:rPr>
      </w:pPr>
    </w:p>
    <w:p>
      <w:pPr>
        <w:ind w:right="100" w:firstLine="8"/>
        <w:spacing w:after="0" w:line="260" w:lineRule="auto"/>
        <w:tabs>
          <w:tab w:leader="none" w:pos="26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consummates an acquisition, merger or other business combination transaction involving the Company or its affiliates. The principal balance may be prepaid at any time.</w:t>
      </w:r>
    </w:p>
    <w:p>
      <w:pPr>
        <w:spacing w:after="0" w:line="1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March 31, 2024.</w:t>
      </w:r>
    </w:p>
    <w:p>
      <w:pPr>
        <w:spacing w:after="0" w:line="18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March 31,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2" w:name="page233"/>
    <w:bookmarkEnd w:id="232"/>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March 31, 2024.</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March 31, 2024.</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March 31, 2024.</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March 31, 2024.</w:t>
      </w:r>
    </w:p>
    <w:p>
      <w:pPr>
        <w:spacing w:after="0" w:line="1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8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80"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w:t>
      </w:r>
    </w:p>
    <w:p>
      <w:pPr>
        <w:spacing w:after="0" w:line="18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3" w:name="page234"/>
    <w:bookmarkEnd w:id="233"/>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March 13,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8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 with Polar (as described in Note 4 below) was $2,776,600 and $2,564,439 as of March 31, 2024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six months ended March 31, 2024, the Company incurred $30,000 and $60,000, respectively in administrative service fees. The Company has $10,000 and $0 related to the administrative service fees, included in the accounts payable as of March 31, 2024 and September 30,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Subscription Agreement Liability</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4" w:name="page235"/>
    <w:bookmarkEnd w:id="234"/>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condensed balance sheet. The Company recognized $434,460 of cost of borrowing attributable to the draws under the Subscription Agreement. Such cost of borrowing is amortized over the term of the Subscription Agreement and is included in the Company’s statement of operations as interest expense. For the six months ended March 31, 2024, the Company recorded $124,198 of interest expense attributable to the previously recognized cost of borrowing. The net amount of subscription liability of $129,738 is presented as a separate line item in the Company’s condensed balance sheet as of March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 in holding meetings with the Company’s stockholders to discuss the potential Business Combination and the target business’ attributes, introduce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potential investors that are interested in purchasing the Company’s securities in connection with the initial Business Combination and assist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with press releases and public filings in connection with the Business Combination. The Company will pay the representative a cash fee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services only upon the consummation of the initial Business Combination in an amount equal to 2.25% of the gross proceeds of the IPO,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$3,375,000. The Company will also pay the representative a separate capital market advisory fee of $2,500,000 only upon the completion of the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Additionally, the Company will pay the representative a cash fee equal to 1.0% of the total consideration payable in the proposed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if the representative introduces the Company to the target business with which the Company completes a Business Combination.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2021, Northland purchased 87,500 shares of common stock at an average purchase price of approximately $0.0001 per share. On May 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Northland returned these 87,500 shares of common stock to the Company, for no consideration, which were subsequently cancelled.</w:t>
      </w:r>
    </w:p>
    <w:p>
      <w:pPr>
        <w:spacing w:after="0" w:line="207"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color w:val="auto"/>
        </w:rPr>
        <w:t>Note 6 — Recurring Fair Value Measurements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interest-bearing demand deposit account as of March 31, 2024 and September 30, 2023 and classified as Level 1 in the hierarchy of fair value measurements with carrying value approximating fair value.</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3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5"/>
                <w:szCs w:val="15"/>
                <w:color w:val="auto"/>
              </w:rPr>
            </w:pPr>
          </w:p>
        </w:tc>
        <w:tc>
          <w:tcPr>
            <w:tcW w:w="246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516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Level</w:t>
            </w: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r>
      <w:tr>
        <w:trPr>
          <w:trHeight w:val="209"/>
        </w:trPr>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Interest-bearing demand deposit account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$ 15,771,190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12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March 31, 2024 and September 30, 2023,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March 31,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37" w:name="page238"/>
    <w:bookmarkEnd w:id="237"/>
    <w:p>
      <w:pPr>
        <w:ind w:left="5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17" w:lineRule="exact"/>
        <w:rPr>
          <w:sz w:val="20"/>
          <w:szCs w:val="20"/>
          <w:color w:val="auto"/>
        </w:rPr>
      </w:pPr>
    </w:p>
    <w:p>
      <w:pPr>
        <w:ind w:left="900" w:hanging="383"/>
        <w:spacing w:after="0"/>
        <w:tabs>
          <w:tab w:leader="none" w:pos="9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a30-tradingday period commencing at any time after the warrants become exercisable and ending on the third business day prior to the notice of redemption to warrant holders;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7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On April 16, 2024, the Company borrowed $49,619 under the Second Extension Note and deposited the funds into the Trust Account thereby extending the Termination Date to May 17, 2024.</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8" w:name="page239"/>
    <w:bookmarkEnd w:id="23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54,405</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25,871,565</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2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5,132,351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78,617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agreement liability,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2,776,600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9,309,990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2,363,349 shares at redemption</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value of approximately $10.91 and $10.71 per share at December 31, 2023 and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September 30, 2023, respectively</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25,784,690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25,316,806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or outstanding</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(excluding 2,363,349 and 2,363,349 shares subject to</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possible redemption) at December 31, 2023 and September 30, 2023, 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159,034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(9,314,780 )</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(8,486,582 )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(9,155,176 )</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(8,486,012 )</w:t>
            </w:r>
          </w:p>
        </w:tc>
        <w:tc>
          <w:tcPr>
            <w:tcW w:w="0" w:type="dxa"/>
            <w:vAlign w:val="bottom"/>
          </w:tcPr>
          <w:p>
            <w:pPr>
              <w:spacing w:after="0"/>
              <w:rPr>
                <w:sz w:val="1"/>
                <w:szCs w:val="1"/>
                <w:color w:val="auto"/>
              </w:rPr>
            </w:pPr>
          </w:p>
        </w:tc>
      </w:tr>
      <w:tr>
        <w:trPr>
          <w:trHeight w:val="187"/>
        </w:trPr>
        <w:tc>
          <w:tcPr>
            <w:tcW w:w="7720" w:type="dxa"/>
            <w:vAlign w:val="bottom"/>
            <w:tcBorders>
              <w:top w:val="single" w:sz="8" w:color="CFF0FC"/>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-3916680</wp:posOffset>
            </wp:positionV>
            <wp:extent cx="6858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-3916680</wp:posOffset>
            </wp:positionV>
            <wp:extent cx="6858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-3634105</wp:posOffset>
            </wp:positionV>
            <wp:extent cx="6858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-2082165</wp:posOffset>
            </wp:positionV>
            <wp:extent cx="6858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-281940</wp:posOffset>
            </wp:positionV>
            <wp:extent cx="6858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9" w:name="page240"/>
    <w:bookmarkEnd w:id="23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17"/>
        </w:trPr>
        <w:tc>
          <w:tcPr>
            <w:tcW w:w="77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293"/>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571,529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(621,929 )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(422,315 )</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Trust interest income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334,836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1,289,673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(5,387 )</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329,449</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1,289,673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(292,480 )</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(67,834 )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(260,331 )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(360,314 )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607,027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7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w:t>
            </w:r>
          </w:p>
        </w:tc>
        <w:tc>
          <w:tcPr>
            <w:tcW w:w="240" w:type="dxa"/>
            <w:vAlign w:val="bottom"/>
            <w:shd w:val="clear" w:color="auto" w:fill="CFF0FC"/>
          </w:tcPr>
          <w:p>
            <w:pPr>
              <w:spacing w:after="0"/>
              <w:rPr>
                <w:sz w:val="15"/>
                <w:szCs w:val="15"/>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2,363,349</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possible redemption</w:t>
            </w: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(0.04 )</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weighted average shares outstanding, non-redeemable common stock</w:t>
            </w: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5,709,500</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5,709,500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(0.04 )</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-1782445</wp:posOffset>
            </wp:positionV>
            <wp:extent cx="6858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-1216660</wp:posOffset>
            </wp:positionV>
            <wp:extent cx="6858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-934085</wp:posOffset>
            </wp:positionV>
            <wp:extent cx="6858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-513715</wp:posOffset>
            </wp:positionV>
            <wp:extent cx="6858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6858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0" w:name="page241"/>
    <w:bookmarkEnd w:id="24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160" w:type="dxa"/>
            <w:vAlign w:val="bottom"/>
            <w:gridSpan w:val="3"/>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216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6"/>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12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4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(8,486,582 )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agreement liability (see note 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(467,884 )</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(467,884 )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(360,314 )</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(360,314 )</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159,036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(9,314,780 )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(9,155,176 )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480" w:type="dxa"/>
            <w:vAlign w:val="bottom"/>
            <w:gridSpan w:val="8"/>
          </w:tcPr>
          <w:p>
            <w:pPr>
              <w:ind w:left="322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740" w:type="dxa"/>
            <w:vAlign w:val="bottom"/>
          </w:tcPr>
          <w:p>
            <w:pPr>
              <w:spacing w:after="0"/>
              <w:rPr>
                <w:sz w:val="24"/>
                <w:szCs w:val="24"/>
                <w:color w:val="auto"/>
              </w:rPr>
            </w:pPr>
          </w:p>
        </w:tc>
        <w:tc>
          <w:tcPr>
            <w:tcW w:w="2160" w:type="dxa"/>
            <w:vAlign w:val="bottom"/>
            <w:gridSpan w:val="3"/>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216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6"/>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12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 (audited)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4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(4,091,693 )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(3,149,327 )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(2,479,343 )</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(2,479,343 )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969,759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(5,964,009 )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(4,993,680 )</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-1765300</wp:posOffset>
            </wp:positionV>
            <wp:extent cx="6858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-1765300</wp:posOffset>
            </wp:positionV>
            <wp:extent cx="6858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-1765300</wp:posOffset>
            </wp:positionV>
            <wp:extent cx="6858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-1765300</wp:posOffset>
            </wp:positionV>
            <wp:extent cx="6858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-1765300</wp:posOffset>
            </wp:positionV>
            <wp:extent cx="7747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-24765</wp:posOffset>
            </wp:positionV>
            <wp:extent cx="6858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6858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858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1" w:name="page242"/>
    <w:bookmarkEnd w:id="2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17"/>
        </w:trPr>
        <w:tc>
          <w:tcPr>
            <w:tcW w:w="77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292"/>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(360,314 )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(334,836 )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(1,289,673 )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424,300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260,331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Franchise tax payable</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(115,339 )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(264,331 )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(212,701 )</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(212,701 )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(1,500,000 )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promissory notes to related party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212,161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322,161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1,950,000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(5,879 )</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185,669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54,405</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363,247</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2,479,343</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Cost of issuance of debt under Polar agreement</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108,634</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-2056765</wp:posOffset>
            </wp:positionV>
            <wp:extent cx="6858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-1482090</wp:posOffset>
            </wp:positionV>
            <wp:extent cx="6858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-916940</wp:posOffset>
            </wp:positionV>
            <wp:extent cx="6858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-633730</wp:posOffset>
            </wp:positionV>
            <wp:extent cx="6858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2" w:name="page243"/>
    <w:bookmarkEnd w:id="2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not commenced any operations. All activity for the period from November 5, 2020 (inception) through December 31,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9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3" w:name="page244"/>
    <w:bookmarkEnd w:id="243"/>
    <w:p>
      <w:pPr>
        <w:ind w:firstLine="509"/>
        <w:spacing w:after="0" w:line="257"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w:t>
      </w:r>
    </w:p>
    <w:p>
      <w:pPr>
        <w:spacing w:after="0" w:line="1" w:lineRule="exact"/>
        <w:rPr>
          <w:sz w:val="20"/>
          <w:szCs w:val="20"/>
          <w:color w:val="auto"/>
        </w:rPr>
      </w:pPr>
    </w:p>
    <w:p>
      <w:pPr>
        <w:ind w:right="40" w:firstLine="8"/>
        <w:spacing w:after="0" w:line="253" w:lineRule="auto"/>
        <w:tabs>
          <w:tab w:leader="none" w:pos="2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February17, 2024.</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4" w:name="page245"/>
    <w:bookmarkEnd w:id="244"/>
    <w:p>
      <w:pPr>
        <w:ind w:firstLine="509"/>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w:t>
      </w:r>
    </w:p>
    <w:p>
      <w:pPr>
        <w:spacing w:after="0" w:line="3" w:lineRule="exact"/>
        <w:rPr>
          <w:sz w:val="20"/>
          <w:szCs w:val="20"/>
          <w:color w:val="auto"/>
        </w:rPr>
      </w:pPr>
    </w:p>
    <w:p>
      <w:pPr>
        <w:ind w:right="820" w:firstLine="8"/>
        <w:spacing w:after="0" w:line="260" w:lineRule="auto"/>
        <w:tabs>
          <w:tab w:leader="none" w:pos="26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5" w:name="page246"/>
    <w:bookmarkEnd w:id="245"/>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approximately $54,000 of cash in its bank operating account and a working capital deficiency of approximately $9.1 million (excluding income tax payable and franchise tax payable).</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62"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$2,776,600 and $2,564,439 as of December 31, 2023, and September 30, 2023, respectively. The balance of subscription agreement liability (net of debt discount) was $6,752 as of December 31, 2023, and $0 as of September 30, 2023.</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6" w:name="page247"/>
    <w:bookmarkEnd w:id="246"/>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at a redemption price of approximately $10.98 per share, for an aggregate redemption amount of $10,384,496.</w:t>
      </w:r>
    </w:p>
    <w:p>
      <w:pPr>
        <w:spacing w:after="0" w:line="18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$1,291,751 is required to be recorded as a liability on the Company’s balance sheet as of December 31, 2023. This liability will be reevaluated and remeasured at the end of each quarterly period.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months ended December 31, 2023, are not necessarily indicative of the results that may be expected through September 30, 2024.</w:t>
      </w:r>
    </w:p>
    <w:p>
      <w:pPr>
        <w:spacing w:after="0" w:line="18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Form10-K, as filed with SEC on December 4,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$54,405 and $60,284 in cash as of December 31, 2023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both December 31, 2023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72" w:lineRule="exact"/>
        <w:rPr>
          <w:sz w:val="20"/>
          <w:szCs w:val="20"/>
          <w:color w:val="auto"/>
        </w:rPr>
      </w:pPr>
    </w:p>
    <w:p>
      <w:pPr>
        <w:ind w:left="900" w:hanging="383"/>
        <w:spacing w:after="0"/>
        <w:tabs>
          <w:tab w:leader="none" w:pos="9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3" w:lineRule="exact"/>
        <w:rPr>
          <w:rFonts w:ascii="Times New Roman" w:cs="Times New Roman" w:eastAsia="Times New Roman" w:hAnsi="Times New Roman"/>
          <w:sz w:val="18"/>
          <w:szCs w:val="18"/>
          <w:color w:val="auto"/>
        </w:rPr>
      </w:pPr>
    </w:p>
    <w:p>
      <w:pPr>
        <w:ind w:left="900" w:right="160" w:hanging="383"/>
        <w:spacing w:after="0" w:line="312" w:lineRule="auto"/>
        <w:tabs>
          <w:tab w:leader="none" w:pos="90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December 31, 2023 and September 30, 2023, the Company has not experienced losses on this account and management believes the Company is not exposed to significant risks on such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2,363,349 shares of common stock as of September 30, 2023 and December 31,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49" w:name="page250"/>
    <w:bookmarkEnd w:id="249"/>
    <w:p>
      <w:pPr>
        <w:ind w:left="520"/>
        <w:spacing w:after="0"/>
        <w:rPr>
          <w:sz w:val="20"/>
          <w:szCs w:val="20"/>
          <w:color w:val="auto"/>
        </w:rPr>
      </w:pPr>
      <w:r>
        <w:rPr>
          <w:rFonts w:ascii="Times New Roman" w:cs="Times New Roman" w:eastAsia="Times New Roman" w:hAnsi="Times New Roman"/>
          <w:sz w:val="18"/>
          <w:szCs w:val="18"/>
          <w:color w:val="auto"/>
        </w:rPr>
        <w:t>At December 31, 2023 and September 30, 2023, the common stock reflected in the balance sheets are reconciled in the following table:</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150,000,000</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7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(11,700,000 )</w:t>
            </w: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7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(3,261,589 )</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7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14,961,589</w:t>
            </w:r>
          </w:p>
        </w:tc>
      </w:tr>
      <w:tr>
        <w:trPr>
          <w:trHeight w:val="198"/>
        </w:trPr>
        <w:tc>
          <w:tcPr>
            <w:tcW w:w="48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w:t>
            </w:r>
          </w:p>
        </w:tc>
        <w:tc>
          <w:tcPr>
            <w:tcW w:w="7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16"/>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value – Trust interest income (excluding the amount that</w:t>
            </w:r>
          </w:p>
        </w:tc>
        <w:tc>
          <w:tcPr>
            <w:tcW w:w="7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34"/>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can be withdrawn from Trust Account for taxes)</w:t>
            </w:r>
          </w:p>
        </w:tc>
        <w:tc>
          <w:tcPr>
            <w:tcW w:w="7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548,862</w:t>
            </w:r>
          </w:p>
        </w:tc>
      </w:tr>
      <w:tr>
        <w:trPr>
          <w:trHeight w:val="194"/>
        </w:trPr>
        <w:tc>
          <w:tcPr>
            <w:tcW w:w="48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8"/>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7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150,548,862</w:t>
            </w: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Redemptions</w:t>
            </w:r>
          </w:p>
        </w:tc>
        <w:tc>
          <w:tcPr>
            <w:tcW w:w="7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(129,175,094 )</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7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3,943,038</w:t>
            </w:r>
          </w:p>
        </w:tc>
      </w:tr>
      <w:tr>
        <w:trPr>
          <w:trHeight w:val="194"/>
        </w:trPr>
        <w:tc>
          <w:tcPr>
            <w:tcW w:w="480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7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238"/>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25,316,806</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7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467,884</w:t>
            </w:r>
          </w:p>
        </w:tc>
      </w:tr>
      <w:tr>
        <w:trPr>
          <w:trHeight w:val="194"/>
        </w:trPr>
        <w:tc>
          <w:tcPr>
            <w:tcW w:w="480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7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238"/>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25,784,690</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the Company did not have any dilutive securities or other contracts that could, potentially, be exercised or converted into common stock and then share in the earnings of the Company. As a result, diluted net (loss) income per common stock is the same as basic net loss per common stock for the periods presented.</w:t>
      </w:r>
    </w:p>
    <w:p>
      <w:pPr>
        <w:spacing w:after="0" w:line="183"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68"/>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0"/>
                <w:szCs w:val="10"/>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0"/>
                <w:szCs w:val="10"/>
                <w:color w:val="auto"/>
              </w:rPr>
            </w:pPr>
          </w:p>
        </w:tc>
        <w:tc>
          <w:tcPr>
            <w:tcW w:w="11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(105,483 )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(254,831 )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439,673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2,363,349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(0.04 )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50" w:name="page251"/>
    <w:bookmarkEnd w:id="250"/>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December 31, 2023, all shares under the June 16, 2021 grant were vested.</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$50,400 of stock-based compensation related to this grant for the three months ended December 31, 2023.</w:t>
      </w:r>
    </w:p>
    <w:p>
      <w:pPr>
        <w:spacing w:after="0" w:line="18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$50,400 and $27,963 of stock-based compensation for the three-month periods ended December 31, 2023 and December 31,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and September 30, 2023, the Company’s deferred tax asset had a full valuation allowance recorded against it. Our effective tax rate was 23.19% and 30.01% for the three months ended December 31, 2023 and 2022. The effective tax rate differs from the statutory tax rate of 21% for three months ended December 31, 2023, and 2022, due to the valuation allowance on the deferred tax assets and permanent differences related to the business acquisition and stock-based compensation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Debt discounts relate to the issuance costs of some of the promissory notes to related parties, and are included in the condensed consolidated balance sheets as a direct deduction from the face amount of the promissory notes. Debt discounts are amortized over the term of the related promissory notes and included in the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7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period ended December 31, 2023 and September 30, 2023, respectively. These amounts were applied against the balance owing to the Sponsor under the remaining promissory note. As of December 31, 2023 and September 30, 2023, the net amount outstanding under the promissory note was $247,454 and $247,454, respectively.</w:t>
      </w:r>
    </w:p>
    <w:p>
      <w:pPr>
        <w:spacing w:after="0" w:line="18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52" w:name="page253"/>
    <w:bookmarkEnd w:id="252"/>
    <w:p>
      <w:pPr>
        <w:ind w:right="460"/>
        <w:spacing w:after="0" w:line="282" w:lineRule="auto"/>
        <w:rPr>
          <w:sz w:val="20"/>
          <w:szCs w:val="20"/>
          <w:color w:val="auto"/>
        </w:rPr>
      </w:pPr>
      <w:r>
        <w:rPr>
          <w:rFonts w:ascii="Times New Roman" w:cs="Times New Roman" w:eastAsia="Times New Roman" w:hAnsi="Times New Roman"/>
          <w:sz w:val="18"/>
          <w:szCs w:val="18"/>
          <w:color w:val="auto"/>
        </w:rPr>
        <w:t>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December 31, 2023.</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December 31, 2023,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9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December 31, 2023.</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December 31, 2023.</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December 31, 2023.</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December 31, 2023.</w:t>
      </w:r>
    </w:p>
    <w:p>
      <w:pPr>
        <w:spacing w:after="0" w:line="1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53" w:name="page254"/>
    <w:bookmarkEnd w:id="253"/>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 with Polar (as described in the Not 4 below) was $2,776,600 and $2,564,439 as of December 31, 2023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months ended December 31, 2023, the Company incurred $30,000 in administrative service fees which were not paid and which were recorded in the accounts payable and accrued liabilities in the Company’s balance sheet, and for the three months ended December 31, 2022, the Company incurred and paid $30,000 in administrative service fees.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Subscription Agreement Liability</w:t>
      </w:r>
    </w:p>
    <w:p>
      <w:pPr>
        <w:spacing w:after="0" w:line="12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The initial Investor Capital Contribution of $110,000 has been funded to the Sponsor, on January 16, 2024, the second Investor Capital Contribution of $110,000 was funded to the Sponsor, and on February 13, 2024, the third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9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7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balance sheet. The Company recognized $108,634 of cost of borrowing attributable to the draw under the Subscription Agreement in December 2023. Such cost of borrowing is amortized over the term of the Subscription Agreement and is included in the Company’s statement of operations as interest expense. For the three months ended December 31, 2023, the Company recorded $5,384 of interest expense attributable to the previously recognized cost of borrowing. The net amount of subscription liability is presented as a separate line item in the Company’s balance sheet as of December 31, 2023.</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55" w:name="page256"/>
    <w:bookmarkEnd w:id="255"/>
    <w:p>
      <w:pPr>
        <w:ind w:right="20"/>
        <w:spacing w:after="0" w:line="258" w:lineRule="auto"/>
        <w:rPr>
          <w:sz w:val="20"/>
          <w:szCs w:val="20"/>
          <w:color w:val="auto"/>
        </w:rPr>
      </w:pPr>
      <w:r>
        <w:rPr>
          <w:rFonts w:ascii="Times New Roman" w:cs="Times New Roman" w:eastAsia="Times New Roman" w:hAnsi="Times New Roman"/>
          <w:sz w:val="18"/>
          <w:szCs w:val="18"/>
          <w:color w:val="auto"/>
        </w:rPr>
        <w:t>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83"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color w:val="auto"/>
        </w:rPr>
        <w:t>Note 6 — 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December 31, 2023 and September 30, 2023,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December 31, 2023 and September 30, 2023, there were 5,709,500 shares of common stock issued and outstanding, excluding 2,363,349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w:t>
      </w:r>
    </w:p>
    <w:p>
      <w:pPr>
        <w:spacing w:after="0" w:line="176"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17" w:lineRule="exact"/>
        <w:rPr>
          <w:sz w:val="20"/>
          <w:szCs w:val="20"/>
          <w:color w:val="auto"/>
        </w:rPr>
      </w:pPr>
    </w:p>
    <w:p>
      <w:pPr>
        <w:ind w:left="900" w:hanging="383"/>
        <w:spacing w:after="0"/>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57" w:name="page258"/>
    <w:bookmarkEnd w:id="257"/>
    <w:p>
      <w:pPr>
        <w:ind w:left="900" w:right="540"/>
        <w:spacing w:after="0" w:line="282" w:lineRule="auto"/>
        <w:rPr>
          <w:sz w:val="20"/>
          <w:szCs w:val="20"/>
          <w:color w:val="auto"/>
        </w:rPr>
      </w:pPr>
      <w:r>
        <w:rPr>
          <w:rFonts w:ascii="Times New Roman" w:cs="Times New Roman" w:eastAsia="Times New Roman" w:hAnsi="Times New Roman"/>
          <w:sz w:val="18"/>
          <w:szCs w:val="18"/>
          <w:color w:val="auto"/>
        </w:rPr>
        <w:t>commencing at any time after the warrants become exercisable and ending on the third business day prior to the notice of redemption to warrant holders; and</w:t>
      </w:r>
    </w:p>
    <w:p>
      <w:pPr>
        <w:spacing w:after="0" w:line="54" w:lineRule="exact"/>
        <w:rPr>
          <w:sz w:val="20"/>
          <w:szCs w:val="20"/>
          <w:color w:val="auto"/>
        </w:rPr>
      </w:pPr>
    </w:p>
    <w:p>
      <w:pPr>
        <w:ind w:left="900" w:hanging="383"/>
        <w:spacing w:after="0"/>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Subsequent Events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7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above.</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above).</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58" w:name="page259"/>
    <w:bookmarkEnd w:id="258"/>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8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Extension Note were attributable to a draw down under the Subscription Agreement with Polar described in Note 4 above.</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above.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59" w:name="page260"/>
    <w:bookmarkEnd w:id="259"/>
    <w:p>
      <w:pPr>
        <w:ind w:right="2540" w:firstLine="2510"/>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Board of Directors of Armada Acquisition Corp. I</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Armada Acquisition Corp. I (the “Company”) as of September 30, 2023 and 2022, the related statements of operations, changes in stockholders’ equity (deficit) and cash flows for each of the two years in the period ended September 30, 2023, and the related notes (collectively referred to as the “financial statements”). In our opinion, the financial statements present fairly, in all material respects, the financial position of the Company as of September 30, 2023 and 2022, and the results of its operations and its cash flows for each of the two years in the period ended September 30, 2023, in conformity with accounting principles generally accepted in the United States of America.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 has a significant working capital deficiency, has incurred significant costs and needs to raise additional funds to meet its obligations and sustain its operations. Additionally, the Company’s business plan is dependent on the completion of a business combination.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Hanover, NJ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4, 2023</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60" w:name="page261"/>
    <w:bookmarkEnd w:id="26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150,844,925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151,084,445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2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4,708,050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3,137,535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2,564,439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Excise tax payable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3,684,910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4)</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2,363,349 and 15,000,000 shares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redemption value of approximately $10.71 and $10.04 per share at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September 30, 2023 and 2022, 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25,316,806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150,548,862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issued and outstanding (excluding 2,363,349 and 15,000,000 shares subject to</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possible redemption) at September 30, 2023 and 2022, 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(8,486,582 )</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(4,091,693 )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(8,486,012 )</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(3,149,327 )</w:t>
            </w:r>
          </w:p>
        </w:tc>
        <w:tc>
          <w:tcPr>
            <w:tcW w:w="0" w:type="dxa"/>
            <w:vAlign w:val="bottom"/>
          </w:tcPr>
          <w:p>
            <w:pPr>
              <w:spacing w:after="0"/>
              <w:rPr>
                <w:sz w:val="1"/>
                <w:szCs w:val="1"/>
                <w:color w:val="auto"/>
              </w:rPr>
            </w:pPr>
          </w:p>
        </w:tc>
      </w:tr>
      <w:tr>
        <w:trPr>
          <w:trHeight w:val="187"/>
        </w:trPr>
        <w:tc>
          <w:tcPr>
            <w:tcW w:w="772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20" w:type="dxa"/>
            <w:vAlign w:val="bottom"/>
            <w:tcBorders>
              <w:top w:val="single" w:sz="8" w:color="auto"/>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280" w:type="dxa"/>
            <w:vAlign w:val="bottom"/>
            <w:shd w:val="clear" w:color="auto" w:fill="CFF0FC"/>
          </w:tcPr>
          <w:p>
            <w:pPr>
              <w:spacing w:after="0"/>
              <w:rPr>
                <w:sz w:val="16"/>
                <w:szCs w:val="16"/>
                <w:color w:val="auto"/>
              </w:rPr>
            </w:pPr>
          </w:p>
        </w:tc>
        <w:tc>
          <w:tcPr>
            <w:tcW w:w="220" w:type="dxa"/>
            <w:vAlign w:val="bottom"/>
            <w:tcBorders>
              <w:top w:val="single" w:sz="8" w:color="auto"/>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151,084,445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720" w:type="dxa"/>
            <w:vAlign w:val="bottom"/>
            <w:tcBorders>
              <w:bottom w:val="single" w:sz="8" w:color="CFF0FC"/>
            </w:tcBorders>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Stockholders’ Deficit</w:t>
            </w: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13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-3771265</wp:posOffset>
            </wp:positionV>
            <wp:extent cx="6858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-3488055</wp:posOffset>
            </wp:positionV>
            <wp:extent cx="6858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-2219960</wp:posOffset>
            </wp:positionV>
            <wp:extent cx="6858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-2219960</wp:posOffset>
            </wp:positionV>
            <wp:extent cx="6858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-427990</wp:posOffset>
            </wp:positionV>
            <wp:extent cx="6858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1" w:name="page262"/>
    <w:bookmarkEnd w:id="261"/>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2,570,872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4,391,263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218,254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(2,789,126 )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(4,503,115 )</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Trust interest income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3,084,260</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1,025,942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3,084,260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 provision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295,134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(3,477,173 )</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(615,284 )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(145,621 )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(320,150 )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(3,622,794 )</w:t>
            </w:r>
          </w:p>
        </w:tc>
        <w:tc>
          <w:tcPr>
            <w:tcW w:w="0" w:type="dxa"/>
            <w:vAlign w:val="bottom"/>
          </w:tcPr>
          <w:p>
            <w:pPr>
              <w:spacing w:after="0"/>
              <w:rPr>
                <w:sz w:val="1"/>
                <w:szCs w:val="1"/>
                <w:color w:val="auto"/>
              </w:rPr>
            </w:pPr>
          </w:p>
        </w:tc>
      </w:tr>
      <w:tr>
        <w:trPr>
          <w:trHeight w:val="178"/>
        </w:trPr>
        <w:tc>
          <w:tcPr>
            <w:tcW w:w="772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7,259,013</w:t>
            </w:r>
          </w:p>
        </w:tc>
        <w:tc>
          <w:tcPr>
            <w:tcW w:w="28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7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possible redemption</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(0.02 )</w:t>
            </w:r>
          </w:p>
        </w:tc>
        <w:tc>
          <w:tcPr>
            <w:tcW w:w="380" w:type="dxa"/>
            <w:vAlign w:val="bottom"/>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(0.17 )</w:t>
            </w:r>
          </w:p>
        </w:tc>
        <w:tc>
          <w:tcPr>
            <w:tcW w:w="0" w:type="dxa"/>
            <w:vAlign w:val="bottom"/>
          </w:tcPr>
          <w:p>
            <w:pPr>
              <w:spacing w:after="0"/>
              <w:rPr>
                <w:sz w:val="1"/>
                <w:szCs w:val="1"/>
                <w:color w:val="auto"/>
              </w:rPr>
            </w:pPr>
          </w:p>
        </w:tc>
      </w:tr>
      <w:tr>
        <w:trPr>
          <w:trHeight w:val="197"/>
        </w:trPr>
        <w:tc>
          <w:tcPr>
            <w:tcW w:w="77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weighted average shares outstanding, non-redeemable common stock</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5,709,500</w:t>
            </w: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5,709,500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(0.02 )</w:t>
            </w:r>
          </w:p>
        </w:tc>
        <w:tc>
          <w:tcPr>
            <w:tcW w:w="380" w:type="dxa"/>
            <w:vAlign w:val="bottom"/>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(0.17 )</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-1353820</wp:posOffset>
            </wp:positionV>
            <wp:extent cx="6858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-788035</wp:posOffset>
            </wp:positionV>
            <wp:extent cx="6858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-770890</wp:posOffset>
            </wp:positionV>
            <wp:extent cx="6858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-351155</wp:posOffset>
            </wp:positionV>
            <wp:extent cx="6858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-334010</wp:posOffset>
            </wp:positionV>
            <wp:extent cx="6858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2" w:name="page263"/>
    <w:bookmarkEnd w:id="26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(DEFICIT)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640" w:type="dxa"/>
            <w:vAlign w:val="bottom"/>
            <w:gridSpan w:val="5"/>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720" w:type="dxa"/>
            <w:vAlign w:val="bottom"/>
          </w:tcPr>
          <w:p>
            <w:pPr>
              <w:spacing w:after="0"/>
              <w:rPr>
                <w:sz w:val="13"/>
                <w:szCs w:val="13"/>
                <w:color w:val="auto"/>
              </w:rPr>
            </w:pPr>
          </w:p>
        </w:tc>
        <w:tc>
          <w:tcPr>
            <w:tcW w:w="264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6,834,500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1,378,693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(468,899 )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910,477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(1,125,000 )</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(113 )</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(548,862 )</w:t>
            </w:r>
          </w:p>
        </w:tc>
        <w:tc>
          <w:tcPr>
            <w:tcW w:w="1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(548,862 )</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(3,622,794 )</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(3,622,794 )</w:t>
            </w: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(4,091,693 )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(3,149,327 )</w:t>
            </w:r>
          </w:p>
        </w:tc>
        <w:tc>
          <w:tcPr>
            <w:tcW w:w="0" w:type="dxa"/>
            <w:vAlign w:val="bottom"/>
          </w:tcPr>
          <w:p>
            <w:pPr>
              <w:spacing w:after="0"/>
              <w:rPr>
                <w:sz w:val="1"/>
                <w:szCs w:val="1"/>
                <w:color w:val="auto"/>
              </w:rPr>
            </w:pPr>
          </w:p>
        </w:tc>
      </w:tr>
      <w:tr>
        <w:trPr>
          <w:trHeight w:val="191"/>
        </w:trPr>
        <w:tc>
          <w:tcPr>
            <w:tcW w:w="472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Capital contribution made by Sponsor related to</w:t>
            </w:r>
          </w:p>
        </w:tc>
        <w:tc>
          <w:tcPr>
            <w:tcW w:w="11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the stockholder non-redemption agreements</w:t>
            </w: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raising capital related to the stockholder</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non-redemption agreements</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(1,102,909 )</w:t>
            </w:r>
          </w:p>
        </w:tc>
        <w:tc>
          <w:tcPr>
            <w:tcW w:w="1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(1,102,909 )</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Excise tax on redemptions</w:t>
            </w: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(1,160,050 )</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(131,701 )</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(1,291,751 )</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w:t>
            </w: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(3,943,038 )</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(3,943,038 )</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(320,150 )</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(320,150 )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(8,486,582 )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-1559560</wp:posOffset>
            </wp:positionV>
            <wp:extent cx="6858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-1559560</wp:posOffset>
            </wp:positionV>
            <wp:extent cx="6858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-1559560</wp:posOffset>
            </wp:positionV>
            <wp:extent cx="6858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-1559560</wp:posOffset>
            </wp:positionV>
            <wp:extent cx="6858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6858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6858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3" w:name="page264"/>
    <w:bookmarkEnd w:id="263"/>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r>
      <w:tr>
        <w:trPr>
          <w:trHeight w:val="142"/>
        </w:trPr>
        <w:tc>
          <w:tcPr>
            <w:tcW w:w="77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(320,150 )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(3,622,794 )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3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(3,084,260 )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(1,025,942 )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218,254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1,570,515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2,954,179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(137,900 )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124,329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3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(134,838 )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145,621</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(1,860,042 )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(913,835 )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Withdrawals from Trust Account for redemptions of common stock</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129,175,094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Withdrawals from Trust Account to pay for taxes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1,071,864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182,069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Extension deposits in Trust Account</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(1,641,801 )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128,605,157</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182,069</w:t>
            </w:r>
          </w:p>
        </w:tc>
        <w:tc>
          <w:tcPr>
            <w:tcW w:w="100" w:type="dxa"/>
            <w:vAlign w:val="bottom"/>
            <w:tcBorders>
              <w:top w:val="single" w:sz="8" w:color="CFF0FC"/>
            </w:tcBorders>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Promissory Notes to Related Party</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2,316,985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483,034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Promissory Notes to Related Party</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(4,300 )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(231,280 )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Redemptions of common stock</w:t>
            </w:r>
          </w:p>
        </w:tc>
        <w:tc>
          <w:tcPr>
            <w:tcW w:w="3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(129,175,094 )</w:t>
            </w: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(126,862,409 )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251,754</w:t>
            </w:r>
          </w:p>
        </w:tc>
        <w:tc>
          <w:tcPr>
            <w:tcW w:w="100" w:type="dxa"/>
            <w:vAlign w:val="bottom"/>
            <w:shd w:val="clear" w:color="auto" w:fill="CFF0FC"/>
          </w:tcPr>
          <w:p>
            <w:pPr>
              <w:spacing w:after="0"/>
              <w:rPr>
                <w:sz w:val="18"/>
                <w:szCs w:val="18"/>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3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(117,294 )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(480,012 )</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60,284</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177,578</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common stock subject to possible redemption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Excise tax on redemptions</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1,291,751</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-2322195</wp:posOffset>
            </wp:positionV>
            <wp:extent cx="6858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-1765300</wp:posOffset>
            </wp:positionV>
            <wp:extent cx="6858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-916305</wp:posOffset>
            </wp:positionV>
            <wp:extent cx="6858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-633730</wp:posOffset>
            </wp:positionV>
            <wp:extent cx="6858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4" w:name="page265"/>
    <w:bookmarkEnd w:id="26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2023, the Company had not commenced any operations. All activity for the period from November 5, 2020 (inception) through September 30,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$130,246,958 and $182,069 as of September 30, 2023 and 2022, respectively, to the Company to pay its income and franchise tax obligations and in connection with redemptions.</w:t>
      </w:r>
    </w:p>
    <w:p>
      <w:pPr>
        <w:spacing w:after="0" w:line="19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5" w:name="page266"/>
    <w:bookmarkEnd w:id="265"/>
    <w:p>
      <w:pPr>
        <w:ind w:right="80"/>
        <w:spacing w:after="0" w:line="258" w:lineRule="auto"/>
        <w:rPr>
          <w:sz w:val="20"/>
          <w:szCs w:val="20"/>
          <w:color w:val="auto"/>
        </w:rPr>
      </w:pPr>
      <w:r>
        <w:rPr>
          <w:rFonts w:ascii="Times New Roman" w:cs="Times New Roman" w:eastAsia="Times New Roman" w:hAnsi="Times New Roman"/>
          <w:sz w:val="18"/>
          <w:szCs w:val="18"/>
          <w:color w:val="auto"/>
        </w:rPr>
        <w:t>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and on August 2, 2023, the stockholders approved a further amendment to our certificate of incorporation to extend the Combination Period for six monthly periods or until no later than February 17, 2024. On August 8, 2023, the Company deposited $70,900 into the Trust Account thereby extending the Combination Period until September 17, 2023, and on each of September 8, 2023, October 11, 2023 and November 9, 2023, the Company deposited $70,900 into the Trust Account thereby extending the Combination Period for three additional months or until December 17, 2023.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9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6" w:name="page267"/>
    <w:bookmarkEnd w:id="266"/>
    <w:p>
      <w:pPr>
        <w:ind w:right="180"/>
        <w:spacing w:after="0" w:line="261" w:lineRule="auto"/>
        <w:rPr>
          <w:sz w:val="20"/>
          <w:szCs w:val="20"/>
          <w:color w:val="auto"/>
        </w:rPr>
      </w:pPr>
      <w:r>
        <w:rPr>
          <w:rFonts w:ascii="Times New Roman" w:cs="Times New Roman" w:eastAsia="Times New Roman" w:hAnsi="Times New Roman"/>
          <w:sz w:val="18"/>
          <w:szCs w:val="18"/>
          <w:color w:val="auto"/>
        </w:rPr>
        <w:t>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7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8, 2023, October 11, 2023 and November</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67" w:name="page268"/>
    <w:bookmarkEnd w:id="267"/>
    <w:p>
      <w:pPr>
        <w:ind w:right="80"/>
        <w:spacing w:after="0" w:line="282" w:lineRule="auto"/>
        <w:rPr>
          <w:sz w:val="20"/>
          <w:szCs w:val="20"/>
          <w:color w:val="auto"/>
        </w:rPr>
      </w:pPr>
      <w:r>
        <w:rPr>
          <w:rFonts w:ascii="Times New Roman" w:cs="Times New Roman" w:eastAsia="Times New Roman" w:hAnsi="Times New Roman"/>
          <w:sz w:val="18"/>
          <w:szCs w:val="18"/>
          <w:color w:val="auto"/>
        </w:rPr>
        <w:t>9, 2023 the Company borrowed $70,900 under the Extension Note on each such date and deposited the funds into the Trust Account thereby extending the Combination Period for three additional months or until December 17, 2023.</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2023, the Company had approximately $60,000 of cash in its bank operating account and a working capital deficiency of approximately $8.5 million (excluding income tax payable and franchise tax payable).</w:t>
      </w:r>
    </w:p>
    <w:p>
      <w:pPr>
        <w:spacing w:after="0" w:line="16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$2,564,439 and $251,754 as of September 30, 2023 and 2022, respectively.</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this uncertainty.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68" w:name="page269"/>
    <w:bookmarkEnd w:id="268"/>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Management has evaluated the requirements of the IR Act and the Company’s operations, and has determined that $1,291,751 is required to be recorded as a liability on the Company’s balance sheet as of September 30, 2023. This liability will be reevaluated and remeasured at the end of each quarterly period.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(U.S. GAAP) and with the instructions to Form 10-K and Regulation S-X. In the opinion of management, all adjustments (consisting of normal recurring adjustments) have been made that are necessary to present fairly the financial position, and the results of its operations and its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$60,284 and $177,578 in cash as of September 30,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2022, the assets held in the Trust Account were held in U.S. Treasury Bills with a maturity of 185 days or less.</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Management had determined that there has not been an impairment of held-to-maturity securities as of September 30, 2022.</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Premiums and discounts are amortized or accreted over the life of the related held-to-maturity security as an adjustment to yield using the effective-interest method. Such amortization and accretion are included in the “interest income” line item in the statements of operations. Interest income is recognized when earned.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72" w:lineRule="exact"/>
        <w:rPr>
          <w:sz w:val="20"/>
          <w:szCs w:val="20"/>
          <w:color w:val="auto"/>
        </w:rPr>
      </w:pPr>
    </w:p>
    <w:p>
      <w:pPr>
        <w:ind w:left="900" w:hanging="383"/>
        <w:spacing w:after="0"/>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3" w:lineRule="exact"/>
        <w:rPr>
          <w:rFonts w:ascii="Times New Roman" w:cs="Times New Roman" w:eastAsia="Times New Roman" w:hAnsi="Times New Roman"/>
          <w:sz w:val="18"/>
          <w:szCs w:val="18"/>
          <w:color w:val="auto"/>
        </w:rPr>
      </w:pPr>
    </w:p>
    <w:p>
      <w:pPr>
        <w:ind w:left="900" w:right="220" w:hanging="383"/>
        <w:spacing w:after="0" w:line="312" w:lineRule="auto"/>
        <w:tabs>
          <w:tab w:leader="none" w:pos="90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0"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September 30, 2023 and 2022, the Company has not experienced losses on this account and management believes the Company is not exposed to significant risks on such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as of September 30, 2022, and 2,363,349 shares of common stock as of September 30,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2023 and 2022, the common stock reflected in the balance sheets are reconciled in the following table:</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3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(11,700,000 )</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(3,261,589 )</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value – Trust interest income (excluding the amount</w:t>
            </w:r>
          </w:p>
        </w:tc>
        <w:tc>
          <w:tcPr>
            <w:tcW w:w="30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that can be withdrawn from Trust Account for taxes)</w:t>
            </w: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Redemptions</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(129,175,094 )</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18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-839470</wp:posOffset>
            </wp:positionV>
            <wp:extent cx="60325"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Stock</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September 30, 2023 and 2022,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71" w:name="page272"/>
    <w:bookmarkEnd w:id="271"/>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per common stock because the redemption value approximates fair value.</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0"/>
                <w:szCs w:val="10"/>
                <w:color w:val="auto"/>
              </w:rPr>
            </w:pPr>
          </w:p>
        </w:tc>
        <w:tc>
          <w:tcPr>
            <w:tcW w:w="12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0"/>
                <w:szCs w:val="10"/>
                <w:color w:val="auto"/>
              </w:rPr>
            </w:pPr>
          </w:p>
        </w:tc>
        <w:tc>
          <w:tcPr>
            <w:tcW w:w="12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1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5"/>
                <w:szCs w:val="15"/>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1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(179,201 )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(140,949 )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(2,624,009 )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(998,785 )</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7,259,013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(0.17 )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(0.17 )</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September 30, 2023, all shares under the June 16, 2021 grant were vested.</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$106,400 of stock-based compensation related to this grant for the year ended September 30, 2023.</w:t>
      </w:r>
    </w:p>
    <w:p>
      <w:pPr>
        <w:spacing w:after="0" w:line="187"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$218,254 and $111,852 of stock-based compensation for the fiscal years ended September 30,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September 30, 2023 and 2022. The Company is currently not aware of any issues under review that could result in significant payments, accruals or material deviation from its position.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72" w:name="page273"/>
    <w:bookmarkEnd w:id="272"/>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 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7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 within 15 months (or 18 months if extended) from the closing of the IPO.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$4,300 and $44,246 on behalf of the Sponsor for tax services in fiscal years 2023 and 2022, respectively. These amounts were applied against the balance owing to the</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3" w:name="page274"/>
    <w:bookmarkEnd w:id="273"/>
    <w:p>
      <w:pPr>
        <w:ind w:right="240"/>
        <w:spacing w:after="0" w:line="282" w:lineRule="auto"/>
        <w:rPr>
          <w:sz w:val="20"/>
          <w:szCs w:val="20"/>
          <w:color w:val="auto"/>
        </w:rPr>
      </w:pPr>
      <w:r>
        <w:rPr>
          <w:rFonts w:ascii="Times New Roman" w:cs="Times New Roman" w:eastAsia="Times New Roman" w:hAnsi="Times New Roman"/>
          <w:sz w:val="18"/>
          <w:szCs w:val="18"/>
          <w:color w:val="auto"/>
        </w:rPr>
        <w:t>Sponsor under the remaining promissory note. As of September 30, 2023 and 2022, the net amount outstanding under the promissory note was $247,454 and $251,754, respectively.</w:t>
      </w:r>
    </w:p>
    <w:p>
      <w:pPr>
        <w:spacing w:after="0" w:line="16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w:t>
      </w:r>
    </w:p>
    <w:p>
      <w:pPr>
        <w:spacing w:after="0" w:line="1" w:lineRule="exact"/>
        <w:rPr>
          <w:sz w:val="20"/>
          <w:szCs w:val="20"/>
          <w:color w:val="auto"/>
        </w:rPr>
      </w:pPr>
    </w:p>
    <w:p>
      <w:pPr>
        <w:ind w:right="100" w:firstLine="8"/>
        <w:spacing w:after="0" w:line="260" w:lineRule="auto"/>
        <w:tabs>
          <w:tab w:leader="none" w:pos="26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consummates an acquisition, merger or other business combination transaction involving the Company or its affiliates. The principal balance may be prepaid at any time.</w:t>
      </w:r>
    </w:p>
    <w:p>
      <w:pPr>
        <w:spacing w:after="0" w:line="1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extending the Termination Date to September 17, 2023. On September 12, 2023, the Company borrowed an additional $70,900 under the Extension Note and deposited the funds into the Trust Account thereby extending the Termination Date to October 17, 2023. As of September 30, 2023, $141,800 was drawn and outstanding under this note. Management has determined that the conversion feature described above should not be accounted for separately from its host instrument.</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$2,564,439 and $251,754 as of September 30,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two fiscal years ended September 30, 2023 and 2022, the Company incurred and paid $120,000 in administrative service fees.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4" w:name="page275"/>
    <w:bookmarkEnd w:id="274"/>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 in holding meetings with the Company’s stockholders to discuss the potential Business Combination and the target business’ attributes, introduce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potential investors that are interested in purchasing the Company’s securities in connection with the initial Business Combination and assist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with press releases and public filings in connection with the Business Combination. The Company will pay the representative a cash fee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services only upon the consummation of the initial Business Combination in an amount equal to 2.25% of the gross proceeds of the IPO,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$3,375,000. The Company will also pay the representative a separate capital market advisory fee of $2,500,000 only upon the completion of the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Additionally, the Company will pay the representative a cash fee equal to 1.0% of the total consideration payable in the proposed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Combination if the representative introduces the Company to the target business with which the Company completes a Business Combination.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2021, Northland purchased 87,500 shares of common stock at an average purchase price of approximately $0.0001 per share. On May 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Northland returned these 87,500 shares of common stock to the Company, for no consideration, which were subsequently cancelled.</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75" w:name="page276"/>
    <w:bookmarkEnd w:id="275"/>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limited partnership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Recurring Fair Value Measurements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 bearing demand deposit account of September 30, 2023 and measured as Level 1 in the hierarchy of fair value measurements with carrying value approximating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3"/>
            <w:vMerge w:val="restart"/>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8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as of</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tcPr>
          <w:p>
            <w:pPr>
              <w:jc w:val="center"/>
              <w:ind w:right="47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Interest bearing demand deposit account</w:t>
            </w:r>
          </w:p>
        </w:tc>
        <w:tc>
          <w:tcPr>
            <w:tcW w:w="116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9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32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F-144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6" w:name="page277"/>
    <w:bookmarkEnd w:id="276"/>
    <w:p>
      <w:pPr>
        <w:ind w:left="520"/>
        <w:spacing w:after="0"/>
        <w:rPr>
          <w:sz w:val="20"/>
          <w:szCs w:val="20"/>
          <w:color w:val="auto"/>
        </w:rPr>
      </w:pPr>
      <w:r>
        <w:rPr>
          <w:rFonts w:ascii="Times New Roman" w:cs="Times New Roman" w:eastAsia="Times New Roman" w:hAnsi="Times New Roman"/>
          <w:sz w:val="18"/>
          <w:szCs w:val="18"/>
          <w:color w:val="auto"/>
        </w:rPr>
        <w:t>Funds in the Company’s Trust Account were invested in U.S. Treasury securities as of September 30, 2022, and classified as held-to-maturity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 the hierarchy of fair value measurements as follows:</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Value as of</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150,844,605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150,863,847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150,844,925</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150,864,167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-24765</wp:posOffset>
            </wp:positionV>
            <wp:extent cx="596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596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596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596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032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032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years ended September 30, 2023 and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 par value of $0.0001 and with such designations, voting and other rights and preferences as may be determined from time to time by the Company’s board of directors. As of September 30, 2023 and 2022,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September 30, 2023 and 2022, there were 5,709,500 shares of common stock issued and outstanding, excluding 2,363,349 and 15,000,000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7" w:name="page278"/>
    <w:bookmarkEnd w:id="277"/>
    <w:p>
      <w:pPr>
        <w:ind w:right="140"/>
        <w:spacing w:after="0" w:line="282" w:lineRule="auto"/>
        <w:rPr>
          <w:sz w:val="20"/>
          <w:szCs w:val="20"/>
          <w:color w:val="auto"/>
        </w:rPr>
      </w:pPr>
      <w:r>
        <w:rPr>
          <w:rFonts w:ascii="Times New Roman" w:cs="Times New Roman" w:eastAsia="Times New Roman" w:hAnsi="Times New Roman"/>
          <w:sz w:val="18"/>
          <w:szCs w:val="18"/>
          <w:color w:val="auto"/>
        </w:rPr>
        <w:t>day prior to the date of exercise. The warrants will expire on the fifth anniversary of the completion of an initial Business Combination, at 5:00 p.m., New York City time, or earlier upon redemption or liquidation.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17" w:lineRule="exact"/>
        <w:rPr>
          <w:sz w:val="20"/>
          <w:szCs w:val="20"/>
          <w:color w:val="auto"/>
        </w:rPr>
      </w:pPr>
    </w:p>
    <w:p>
      <w:pPr>
        <w:ind w:left="900" w:hanging="383"/>
        <w:spacing w:after="0"/>
        <w:tabs>
          <w:tab w:leader="none" w:pos="9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1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net deferred tax assets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Organizational costs/Startup expenses</w:t>
            </w: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504,667</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351,592</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129,350</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83,517</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634,017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435,209</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(634,017 )</w:t>
            </w:r>
          </w:p>
        </w:tc>
        <w:tc>
          <w:tcPr>
            <w:tcW w:w="3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(435,209 )</w:t>
            </w:r>
          </w:p>
        </w:tc>
        <w:tc>
          <w:tcPr>
            <w:tcW w:w="1680" w:type="dxa"/>
            <w:vAlign w:val="bottom"/>
          </w:tcPr>
          <w:p>
            <w:pPr>
              <w:spacing w:after="0"/>
              <w:rPr>
                <w:sz w:val="18"/>
                <w:szCs w:val="18"/>
                <w:color w:val="auto"/>
              </w:rPr>
            </w:pPr>
          </w:p>
        </w:tc>
      </w:tr>
      <w:tr>
        <w:trPr>
          <w:trHeight w:val="238"/>
        </w:trPr>
        <w:tc>
          <w:tcPr>
            <w:tcW w:w="17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 net of allowance</w:t>
            </w: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437"/>
        </w:trPr>
        <w:tc>
          <w:tcPr>
            <w:tcW w:w="4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income tax provision consists of the following:</w:t>
            </w: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91"/>
        </w:trPr>
        <w:tc>
          <w:tcPr>
            <w:tcW w:w="1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42"/>
        </w:trPr>
        <w:tc>
          <w:tcPr>
            <w:tcW w:w="1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2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615,284</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145,621</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2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(198,808 )</w:t>
            </w:r>
          </w:p>
        </w:tc>
        <w:tc>
          <w:tcPr>
            <w:tcW w:w="3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(336,741 )</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198,808</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336,741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38"/>
        </w:trPr>
        <w:tc>
          <w:tcPr>
            <w:tcW w:w="17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615,284</w:t>
            </w:r>
          </w:p>
        </w:tc>
        <w:tc>
          <w:tcPr>
            <w:tcW w:w="2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145,621</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18"/>
        </w:trPr>
        <w:tc>
          <w:tcPr>
            <w:tcW w:w="1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340" w:type="dxa"/>
            <w:vAlign w:val="bottom"/>
            <w:gridSpan w:val="2"/>
          </w:tcPr>
          <w:p>
            <w:pPr>
              <w:jc w:val="right"/>
              <w:ind w:right="1420"/>
              <w:spacing w:after="0"/>
              <w:rPr>
                <w:sz w:val="20"/>
                <w:szCs w:val="20"/>
                <w:color w:val="auto"/>
              </w:rPr>
            </w:pPr>
            <w:r>
              <w:rPr>
                <w:rFonts w:ascii="Times New Roman" w:cs="Times New Roman" w:eastAsia="Times New Roman" w:hAnsi="Times New Roman"/>
                <w:sz w:val="18"/>
                <w:szCs w:val="18"/>
                <w:color w:val="auto"/>
              </w:rPr>
              <w:t>F-146</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8" w:name="page279"/>
    <w:bookmarkEnd w:id="278"/>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2023 and 2022, the Company had $0 of U.S. federal net operating loss carryovers, which do not expire, and no state net operating loss carryovers available to offset future taxable income.</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at September 30, 2023. For the years ended September 30, 2023 and 2022, the change in the valuation allowance was $198,808 and $336,741, respectively.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September 30, 2023 and 2022 are as follows: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7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108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21.00 %</w:t>
            </w:r>
          </w:p>
        </w:tc>
        <w:tc>
          <w:tcPr>
            <w:tcW w:w="3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21.00 %</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0.00 %</w:t>
            </w:r>
          </w:p>
        </w:tc>
        <w:tc>
          <w:tcPr>
            <w:tcW w:w="3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year true up</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0.99 %</w:t>
            </w:r>
          </w:p>
        </w:tc>
        <w:tc>
          <w:tcPr>
            <w:tcW w:w="3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expenses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119.13 %</w:t>
            </w: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(15.50 )%</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67.40 %</w:t>
            </w:r>
          </w:p>
        </w:tc>
        <w:tc>
          <w:tcPr>
            <w:tcW w:w="3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(9.70 )%</w:t>
            </w: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207.49 %</w:t>
            </w:r>
          </w:p>
        </w:tc>
        <w:tc>
          <w:tcPr>
            <w:tcW w:w="3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(4.25 )%</w:t>
            </w:r>
          </w:p>
        </w:tc>
      </w:tr>
    </w:tbl>
    <w:p>
      <w:pPr>
        <w:spacing w:after="0" w:line="20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in various state and local jurisdictions and is subject to examination by the various taxing authorities.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October 11, 2023, the Company borrowed $70,900 under the Extension Note and deposited the funds into the Trust Account thereby extending the Termination Date to November 17, 2023.</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On November 9, 2023, the Company borrowed $70,900 under the Extension Note and deposited the funds into the Trust Account thereby extending the Termination Date to December 17, 2023.</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79" w:name="page280"/>
    <w:bookmarkEnd w:id="2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FFCA11"/>
    <w:multiLevelType w:val="hybridMultilevel"/>
    <w:lvl w:ilvl="0">
      <w:lvlJc w:val="left"/>
      <w:lvlText w:val="(%1)"/>
      <w:numFmt w:val="lowerRoman"/>
      <w:start w:val="2"/>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1"/>
      <w:numFmt w:val="bullet"/>
      <w:start w:val="1"/>
    </w:lvl>
  </w:abstractNum>
  <w:abstractNum w:abstractNumId="6">
    <w:nsid w:val="6F6DD9AC"/>
    <w:multiLevelType w:val="hybridMultilevel"/>
    <w:lvl w:ilvl="0">
      <w:lvlJc w:val="left"/>
      <w:lvlText w:val="(%1)"/>
      <w:numFmt w:val="lowerRoman"/>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
      <w:numFmt w:val="bullet"/>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
      <w:numFmt w:val="bullet"/>
      <w:start w:val="1"/>
    </w:lvl>
  </w:abstractNum>
  <w:abstractNum w:abstractNumId="13">
    <w:nsid w:val="3222E7CD"/>
    <w:multiLevelType w:val="hybridMultilevel"/>
    <w:lvl w:ilvl="0">
      <w:lvlJc w:val="left"/>
      <w:lvlText w:val="•"/>
      <w:numFmt w:val="bullet"/>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1)"/>
      <w:numFmt w:val="lowerRoman"/>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
      <w:numFmt w:val="bullet"/>
      <w:start w:val="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
      <w:numFmt w:val="bullet"/>
      <w:start w:val="1"/>
    </w:lvl>
    <w:lvl w:ilvl="1">
      <w:lvlJc w:val="left"/>
      <w:lvlText w:val="(%2)"/>
      <w:numFmt w:val="lowerLetter"/>
      <w:start w:val="9"/>
    </w:lvl>
  </w:abstractNum>
  <w:abstractNum w:abstractNumId="24">
    <w:nsid w:val="26F324BA"/>
    <w:multiLevelType w:val="hybridMultilevel"/>
    <w:lvl w:ilvl="0">
      <w:lvlJc w:val="left"/>
      <w:lvlText w:val="•"/>
      <w:numFmt w:val="bullet"/>
      <w:start w:val="1"/>
    </w:lvl>
    <w:lvl w:ilvl="1">
      <w:lvlJc w:val="left"/>
      <w:lvlText w:val="(%2)"/>
      <w:numFmt w:val="lowerRoman"/>
      <w:start w:val="2"/>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1)"/>
      <w:numFmt w:val="lowerLetter"/>
      <w:start w:val="1"/>
    </w:lvl>
    <w:lvl w:ilvl="1">
      <w:lvlJc w:val="left"/>
      <w:lvlText w:val="•"/>
      <w:numFmt w:val="bullet"/>
      <w:start w:val="1"/>
    </w:lvl>
  </w:abstractNum>
  <w:abstractNum w:abstractNumId="27">
    <w:nsid w:val="7055A5F5"/>
    <w:multiLevelType w:val="hybridMultilevel"/>
    <w:lvl w:ilvl="0">
      <w:lvlJc w:val="left"/>
      <w:lvlText w:val="(%1)"/>
      <w:numFmt w:val="lowerLetter"/>
      <w:start w:val="13"/>
    </w:lvl>
  </w:abstractNum>
  <w:abstractNum w:abstractNumId="28">
    <w:nsid w:val="5FB8370B"/>
    <w:multiLevelType w:val="hybridMultilevel"/>
    <w:lvl w:ilvl="0">
      <w:lvlJc w:val="left"/>
      <w:lvlText w:val="(%1)"/>
      <w:numFmt w:val="lowerLetter"/>
      <w:start w:val="27"/>
    </w:lvl>
  </w:abstractNum>
  <w:abstractNum w:abstractNumId="29">
    <w:nsid w:val="50801EE1"/>
    <w:multiLevelType w:val="hybridMultilevel"/>
    <w:lvl w:ilvl="0">
      <w:lvlJc w:val="left"/>
      <w:lvlText w:val="2"/>
      <w:numFmt w:val="bullet"/>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
      <w:numFmt w:val="bullet"/>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
      <w:numFmt w:val="bullet"/>
      <w:start w:val="1"/>
    </w:lvl>
  </w:abstractNum>
  <w:abstractNum w:abstractNumId="36">
    <w:nsid w:val="7D5E18F8"/>
    <w:multiLevelType w:val="hybridMultilevel"/>
    <w:lvl w:ilvl="0">
      <w:lvlJc w:val="left"/>
      <w:lvlText w:val="•"/>
      <w:numFmt w:val="bullet"/>
      <w:start w:val="1"/>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
      <w:numFmt w:val="bullet"/>
      <w:start w:val="1"/>
    </w:lvl>
  </w:abstractNum>
  <w:abstractNum w:abstractNumId="39">
    <w:nsid w:val="7DE67713"/>
    <w:multiLevelType w:val="hybridMultilevel"/>
    <w:lvl w:ilvl="0">
      <w:lvlJc w:val="left"/>
      <w:lvlText w:val="•"/>
      <w:numFmt w:val="bullet"/>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
      <w:numFmt w:val="bullet"/>
      <w:start w:val="1"/>
    </w:lvl>
  </w:abstractNum>
  <w:abstractNum w:abstractNumId="42">
    <w:nsid w:val="14FCE74E"/>
    <w:multiLevelType w:val="hybridMultilevel"/>
    <w:lvl w:ilvl="0">
      <w:lvlJc w:val="left"/>
      <w:lvlText w:val="2"/>
      <w:numFmt w:val="bullet"/>
      <w:start w:val="1"/>
    </w:lvl>
  </w:abstractNum>
  <w:abstractNum w:abstractNumId="43">
    <w:nsid w:val="6A3DD3E8"/>
    <w:multiLevelType w:val="hybridMultilevel"/>
    <w:lvl w:ilvl="0">
      <w:lvlJc w:val="left"/>
      <w:lvlText w:val="•"/>
      <w:numFmt w:val="bullet"/>
      <w:start w:val="1"/>
    </w:lvl>
  </w:abstractNum>
  <w:abstractNum w:abstractNumId="44">
    <w:nsid w:val="71C91298"/>
    <w:multiLevelType w:val="hybridMultilevel"/>
    <w:lvl w:ilvl="0">
      <w:lvlJc w:val="left"/>
      <w:lvlText w:val="•"/>
      <w:numFmt w:val="bullet"/>
      <w:start w:val="1"/>
    </w:lvl>
  </w:abstractNum>
  <w:abstractNum w:abstractNumId="45">
    <w:nsid w:val="9DAF632"/>
    <w:multiLevelType w:val="hybridMultilevel"/>
    <w:lvl w:ilvl="0">
      <w:lvlJc w:val="left"/>
      <w:lvlText w:val="•"/>
      <w:numFmt w:val="bullet"/>
      <w:start w:val="1"/>
    </w:lvl>
  </w:abstractNum>
  <w:abstractNum w:abstractNumId="46">
    <w:nsid w:val="53299938"/>
    <w:multiLevelType w:val="hybridMultilevel"/>
    <w:lvl w:ilvl="0">
      <w:lvlJc w:val="left"/>
      <w:lvlText w:val="•"/>
      <w:numFmt w:val="bullet"/>
      <w:start w:val="1"/>
    </w:lvl>
  </w:abstractNum>
  <w:abstractNum w:abstractNumId="47">
    <w:nsid w:val="1FBFE8E0"/>
    <w:multiLevelType w:val="hybridMultilevel"/>
    <w:lvl w:ilvl="0">
      <w:lvlJc w:val="left"/>
      <w:lvlText w:val="•"/>
      <w:numFmt w:val="bullet"/>
      <w:start w:val="1"/>
    </w:lvl>
  </w:abstractNum>
  <w:abstractNum w:abstractNumId="48">
    <w:nsid w:val="5092CA79"/>
    <w:multiLevelType w:val="hybridMultilevel"/>
    <w:lvl w:ilvl="0">
      <w:lvlJc w:val="left"/>
      <w:lvlText w:val="0"/>
      <w:numFmt w:val="bullet"/>
      <w:start w:val="1"/>
    </w:lvl>
  </w:abstractNum>
  <w:abstractNum w:abstractNumId="49">
    <w:nsid w:val="1D545C4D"/>
    <w:multiLevelType w:val="hybridMultilevel"/>
    <w:lvl w:ilvl="0">
      <w:lvlJc w:val="left"/>
      <w:lvlText w:val="•"/>
      <w:numFmt w:val="bullet"/>
      <w:start w:val="1"/>
    </w:lvl>
  </w:abstractNum>
  <w:abstractNum w:abstractNumId="50">
    <w:nsid w:val="59ADEA3D"/>
    <w:multiLevelType w:val="hybridMultilevel"/>
    <w:lvl w:ilvl="0">
      <w:lvlJc w:val="left"/>
      <w:lvlText w:val="•"/>
      <w:numFmt w:val="bullet"/>
      <w:start w:val="1"/>
    </w:lvl>
  </w:abstractNum>
  <w:abstractNum w:abstractNumId="51">
    <w:nsid w:val="288F1A34"/>
    <w:multiLevelType w:val="hybridMultilevel"/>
    <w:lvl w:ilvl="0">
      <w:lvlJc w:val="left"/>
      <w:lvlText w:val="•"/>
      <w:numFmt w:val="bullet"/>
      <w:start w:val="1"/>
    </w:lvl>
  </w:abstractNum>
  <w:abstractNum w:abstractNumId="52">
    <w:nsid w:val="2A155DBC"/>
    <w:multiLevelType w:val="hybridMultilevel"/>
    <w:lvl w:ilvl="0">
      <w:lvlJc w:val="left"/>
      <w:lvlText w:val="•"/>
      <w:numFmt w:val="bullet"/>
      <w:start w:val="1"/>
    </w:lvl>
  </w:abstractNum>
  <w:abstractNum w:abstractNumId="53">
    <w:nsid w:val="1D9F6E5F"/>
    <w:multiLevelType w:val="hybridMultilevel"/>
    <w:lvl w:ilvl="0">
      <w:lvlJc w:val="left"/>
      <w:lvlText w:val="•"/>
      <w:numFmt w:val="bullet"/>
      <w:start w:val="1"/>
    </w:lvl>
  </w:abstractNum>
  <w:abstractNum w:abstractNumId="54">
    <w:nsid w:val="97E1B4E"/>
    <w:multiLevelType w:val="hybridMultilevel"/>
    <w:lvl w:ilvl="0">
      <w:lvlJc w:val="left"/>
      <w:lvlText w:val="•"/>
      <w:numFmt w:val="bullet"/>
      <w:start w:val="1"/>
    </w:lvl>
  </w:abstractNum>
  <w:abstractNum w:abstractNumId="55">
    <w:nsid w:val="51088277"/>
    <w:multiLevelType w:val="hybridMultilevel"/>
    <w:lvl w:ilvl="0">
      <w:lvlJc w:val="left"/>
      <w:lvlText w:val="•"/>
      <w:numFmt w:val="bullet"/>
      <w:start w:val="1"/>
    </w:lvl>
  </w:abstractNum>
  <w:abstractNum w:abstractNumId="56">
    <w:nsid w:val="1CA0C5FA"/>
    <w:multiLevelType w:val="hybridMultilevel"/>
    <w:lvl w:ilvl="0">
      <w:lvlJc w:val="left"/>
      <w:lvlText w:val="•"/>
      <w:numFmt w:val="bullet"/>
      <w:start w:val="1"/>
    </w:lvl>
  </w:abstractNum>
  <w:abstractNum w:abstractNumId="57">
    <w:nsid w:val="53584BCB"/>
    <w:multiLevelType w:val="hybridMultilevel"/>
    <w:lvl w:ilvl="0">
      <w:lvlJc w:val="left"/>
      <w:lvlText w:val="3"/>
      <w:numFmt w:val="bullet"/>
      <w:start w:val="1"/>
    </w:lvl>
  </w:abstractNum>
  <w:abstractNum w:abstractNumId="58">
    <w:nsid w:val="415E286C"/>
    <w:multiLevelType w:val="hybridMultilevel"/>
    <w:lvl w:ilvl="0">
      <w:lvlJc w:val="left"/>
      <w:lvlText w:val="•"/>
      <w:numFmt w:val="bullet"/>
      <w:start w:val="1"/>
    </w:lvl>
  </w:abstractNum>
  <w:abstractNum w:abstractNumId="59">
    <w:nsid w:val="7C58FD05"/>
    <w:multiLevelType w:val="hybridMultilevel"/>
    <w:lvl w:ilvl="0">
      <w:lvlJc w:val="left"/>
      <w:lvlText w:val="•"/>
      <w:numFmt w:val="bullet"/>
      <w:start w:val="1"/>
    </w:lvl>
  </w:abstractNum>
  <w:abstractNum w:abstractNumId="60">
    <w:nsid w:val="23D86AAC"/>
    <w:multiLevelType w:val="hybridMultilevel"/>
    <w:lvl w:ilvl="0">
      <w:lvlJc w:val="left"/>
      <w:lvlText w:val="•"/>
      <w:numFmt w:val="bullet"/>
      <w:start w:val="1"/>
    </w:lvl>
  </w:abstractNum>
  <w:abstractNum w:abstractNumId="61">
    <w:nsid w:val="45E6D486"/>
    <w:multiLevelType w:val="hybridMultilevel"/>
    <w:lvl w:ilvl="0">
      <w:lvlJc w:val="left"/>
      <w:lvlText w:val="•"/>
      <w:numFmt w:val="bullet"/>
      <w:start w:val="1"/>
    </w:lvl>
  </w:abstractNum>
  <w:abstractNum w:abstractNumId="62">
    <w:nsid w:val="5C10FE21"/>
    <w:multiLevelType w:val="hybridMultilevel"/>
    <w:lvl w:ilvl="0">
      <w:lvlJc w:val="left"/>
      <w:lvlText w:val="•"/>
      <w:numFmt w:val="bullet"/>
      <w:start w:val="1"/>
    </w:lvl>
  </w:abstractNum>
  <w:abstractNum w:abstractNumId="63">
    <w:nsid w:val="E7FFA2B"/>
    <w:multiLevelType w:val="hybridMultilevel"/>
    <w:lvl w:ilvl="0">
      <w:lvlJc w:val="left"/>
      <w:lvlText w:val="•"/>
      <w:numFmt w:val="bullet"/>
      <w:start w:val="1"/>
    </w:lvl>
  </w:abstractNum>
  <w:abstractNum w:abstractNumId="64">
    <w:nsid w:val="3C5991AA"/>
    <w:multiLevelType w:val="hybridMultilevel"/>
    <w:lvl w:ilvl="0">
      <w:lvlJc w:val="left"/>
      <w:lvlText w:val="•"/>
      <w:numFmt w:val="bullet"/>
      <w:start w:val="1"/>
    </w:lvl>
  </w:abstractNum>
  <w:abstractNum w:abstractNumId="65">
    <w:nsid w:val="4BD8591A"/>
    <w:multiLevelType w:val="hybridMultilevel"/>
    <w:lvl w:ilvl="0">
      <w:lvlJc w:val="left"/>
      <w:lvlText w:val="•"/>
      <w:numFmt w:val="bullet"/>
      <w:start w:val="1"/>
    </w:lvl>
  </w:abstractNum>
  <w:abstractNum w:abstractNumId="66">
    <w:nsid w:val="78DF6A55"/>
    <w:multiLevelType w:val="hybridMultilevel"/>
    <w:lvl w:ilvl="0">
      <w:lvlJc w:val="left"/>
      <w:lvlText w:val="•"/>
      <w:numFmt w:val="bullet"/>
      <w:start w:val="1"/>
    </w:lvl>
  </w:abstractNum>
  <w:abstractNum w:abstractNumId="67">
    <w:nsid w:val="39B7AAA2"/>
    <w:multiLevelType w:val="hybridMultilevel"/>
    <w:lvl w:ilvl="0">
      <w:lvlJc w:val="left"/>
      <w:lvlText w:val="•"/>
      <w:numFmt w:val="bullet"/>
      <w:start w:val="1"/>
    </w:lvl>
  </w:abstractNum>
  <w:abstractNum w:abstractNumId="68">
    <w:nsid w:val="2B0D8DBE"/>
    <w:multiLevelType w:val="hybridMultilevel"/>
    <w:lvl w:ilvl="0">
      <w:lvlJc w:val="left"/>
      <w:lvlText w:val="•"/>
      <w:numFmt w:val="bullet"/>
      <w:start w:val="1"/>
    </w:lvl>
  </w:abstractNum>
  <w:abstractNum w:abstractNumId="69">
    <w:nsid w:val="6C80EC70"/>
    <w:multiLevelType w:val="hybridMultilevel"/>
    <w:lvl w:ilvl="0">
      <w:lvlJc w:val="left"/>
      <w:lvlText w:val="•"/>
      <w:numFmt w:val="bullet"/>
      <w:start w:val="1"/>
    </w:lvl>
  </w:abstractNum>
  <w:abstractNum w:abstractNumId="70">
    <w:nsid w:val="379E21B5"/>
    <w:multiLevelType w:val="hybridMultilevel"/>
    <w:lvl w:ilvl="0">
      <w:lvlJc w:val="left"/>
      <w:lvlText w:val="•"/>
      <w:numFmt w:val="bullet"/>
      <w:start w:val="1"/>
    </w:lvl>
  </w:abstractNum>
  <w:abstractNum w:abstractNumId="71">
    <w:nsid w:val="69E373"/>
    <w:multiLevelType w:val="hybridMultilevel"/>
    <w:lvl w:ilvl="0">
      <w:lvlJc w:val="left"/>
      <w:lvlText w:val="•"/>
      <w:numFmt w:val="bullet"/>
      <w:start w:val="1"/>
    </w:lvl>
  </w:abstractNum>
  <w:abstractNum w:abstractNumId="72">
    <w:nsid w:val="2C27173B"/>
    <w:multiLevelType w:val="hybridMultilevel"/>
    <w:lvl w:ilvl="0">
      <w:lvlJc w:val="left"/>
      <w:lvlText w:val="•"/>
      <w:numFmt w:val="bullet"/>
      <w:start w:val="1"/>
    </w:lvl>
  </w:abstractNum>
  <w:abstractNum w:abstractNumId="73">
    <w:nsid w:val="4C9B0904"/>
    <w:multiLevelType w:val="hybridMultilevel"/>
    <w:lvl w:ilvl="0">
      <w:lvlJc w:val="left"/>
      <w:lvlText w:val="•"/>
      <w:numFmt w:val="bullet"/>
      <w:start w:val="1"/>
    </w:lvl>
  </w:abstractNum>
  <w:abstractNum w:abstractNumId="74">
    <w:nsid w:val="6AA7B75C"/>
    <w:multiLevelType w:val="hybridMultilevel"/>
    <w:lvl w:ilvl="0">
      <w:lvlJc w:val="left"/>
      <w:lvlText w:val="•"/>
      <w:numFmt w:val="bullet"/>
      <w:start w:val="1"/>
    </w:lvl>
  </w:abstractNum>
  <w:abstractNum w:abstractNumId="75">
    <w:nsid w:val="1DF029D3"/>
    <w:multiLevelType w:val="hybridMultilevel"/>
    <w:lvl w:ilvl="0">
      <w:lvlJc w:val="left"/>
      <w:lvlText w:val="•"/>
      <w:numFmt w:val="bullet"/>
      <w:start w:val="1"/>
    </w:lvl>
  </w:abstractNum>
  <w:abstractNum w:abstractNumId="76">
    <w:nsid w:val="5675FF36"/>
    <w:multiLevelType w:val="hybridMultilevel"/>
    <w:lvl w:ilvl="0">
      <w:lvlJc w:val="left"/>
      <w:lvlText w:val="•"/>
      <w:numFmt w:val="bullet"/>
      <w:start w:val="1"/>
    </w:lvl>
  </w:abstractNum>
  <w:abstractNum w:abstractNumId="77">
    <w:nsid w:val="3DD15094"/>
    <w:multiLevelType w:val="hybridMultilevel"/>
    <w:lvl w:ilvl="0">
      <w:lvlJc w:val="left"/>
      <w:lvlText w:val="•"/>
      <w:numFmt w:val="bullet"/>
      <w:start w:val="1"/>
    </w:lvl>
  </w:abstractNum>
  <w:abstractNum w:abstractNumId="78">
    <w:nsid w:val="3DB012B3"/>
    <w:multiLevelType w:val="hybridMultilevel"/>
    <w:lvl w:ilvl="0">
      <w:lvlJc w:val="left"/>
      <w:lvlText w:val="(%1)"/>
      <w:numFmt w:val="decimal"/>
      <w:start w:val="1"/>
    </w:lvl>
  </w:abstractNum>
  <w:abstractNum w:abstractNumId="79">
    <w:nsid w:val="2708C9AF"/>
    <w:multiLevelType w:val="hybridMultilevel"/>
    <w:lvl w:ilvl="0">
      <w:lvlJc w:val="left"/>
      <w:lvlText w:val="(%1)"/>
      <w:numFmt w:val="decimal"/>
      <w:start w:val="2"/>
    </w:lvl>
  </w:abstractNum>
  <w:abstractNum w:abstractNumId="80">
    <w:nsid w:val="5B25ACE2"/>
    <w:multiLevelType w:val="hybridMultilevel"/>
    <w:lvl w:ilvl="0">
      <w:lvlJc w:val="left"/>
      <w:lvlText w:val="(%1)"/>
      <w:numFmt w:val="decimal"/>
      <w:start w:val="1"/>
    </w:lvl>
  </w:abstractNum>
  <w:abstractNum w:abstractNumId="81">
    <w:nsid w:val="175DFCF0"/>
    <w:multiLevelType w:val="hybridMultilevel"/>
    <w:lvl w:ilvl="0">
      <w:lvlJc w:val="left"/>
      <w:lvlText w:val="(%1)"/>
      <w:numFmt w:val="decimal"/>
      <w:start w:val="7"/>
    </w:lvl>
  </w:abstractNum>
  <w:abstractNum w:abstractNumId="82">
    <w:nsid w:val="4F97E3E4"/>
    <w:multiLevelType w:val="hybridMultilevel"/>
    <w:lvl w:ilvl="0">
      <w:lvlJc w:val="left"/>
      <w:lvlText w:val="(%1)"/>
      <w:numFmt w:val="decimal"/>
      <w:start w:val="18"/>
    </w:lvl>
  </w:abstractNum>
  <w:abstractNum w:abstractNumId="83">
    <w:nsid w:val="53B0A9E"/>
    <w:multiLevelType w:val="hybridMultilevel"/>
    <w:lvl w:ilvl="0">
      <w:lvlJc w:val="left"/>
      <w:lvlText w:val="•"/>
      <w:numFmt w:val="bullet"/>
      <w:start w:val="1"/>
    </w:lvl>
  </w:abstractNum>
  <w:abstractNum w:abstractNumId="84">
    <w:nsid w:val="34FD6B4F"/>
    <w:multiLevelType w:val="hybridMultilevel"/>
    <w:lvl w:ilvl="0">
      <w:lvlJc w:val="left"/>
      <w:lvlText w:val="•"/>
      <w:numFmt w:val="bullet"/>
      <w:start w:val="1"/>
    </w:lvl>
  </w:abstractNum>
  <w:abstractNum w:abstractNumId="85">
    <w:nsid w:val="5915FF32"/>
    <w:multiLevelType w:val="hybridMultilevel"/>
    <w:lvl w:ilvl="0">
      <w:lvlJc w:val="left"/>
      <w:lvlText w:val="•"/>
      <w:numFmt w:val="bullet"/>
      <w:start w:val="1"/>
    </w:lvl>
  </w:abstractNum>
  <w:abstractNum w:abstractNumId="86">
    <w:nsid w:val="56438D15"/>
    <w:multiLevelType w:val="hybridMultilevel"/>
    <w:lvl w:ilvl="0">
      <w:lvlJc w:val="left"/>
      <w:lvlText w:val="(%1)"/>
      <w:numFmt w:val="lowerRoman"/>
      <w:start w:val="1"/>
    </w:lvl>
  </w:abstractNum>
  <w:abstractNum w:abstractNumId="87">
    <w:nsid w:val="519E3149"/>
    <w:multiLevelType w:val="hybridMultilevel"/>
    <w:lvl w:ilvl="0">
      <w:lvlJc w:val="left"/>
      <w:lvlText w:val="•"/>
      <w:numFmt w:val="bullet"/>
      <w:start w:val="1"/>
    </w:lvl>
  </w:abstractNum>
  <w:abstractNum w:abstractNumId="88">
    <w:nsid w:val="2C6E4AFD"/>
    <w:multiLevelType w:val="hybridMultilevel"/>
    <w:lvl w:ilvl="0">
      <w:lvlJc w:val="left"/>
      <w:lvlText w:val="•"/>
      <w:numFmt w:val="bullet"/>
      <w:start w:val="1"/>
    </w:lvl>
  </w:abstractNum>
  <w:abstractNum w:abstractNumId="89">
    <w:nsid w:val="17A1B582"/>
    <w:multiLevelType w:val="hybridMultilevel"/>
    <w:lvl w:ilvl="0">
      <w:lvlJc w:val="left"/>
      <w:lvlText w:val="•"/>
      <w:numFmt w:val="bullet"/>
      <w:start w:val="1"/>
    </w:lvl>
  </w:abstractNum>
  <w:abstractNum w:abstractNumId="90">
    <w:nsid w:val="4DF72E4E"/>
    <w:multiLevelType w:val="hybridMultilevel"/>
    <w:lvl w:ilvl="0">
      <w:lvlJc w:val="left"/>
      <w:lvlText w:val="•"/>
      <w:numFmt w:val="bullet"/>
      <w:start w:val="1"/>
    </w:lvl>
  </w:abstractNum>
  <w:abstractNum w:abstractNumId="91">
    <w:nsid w:val="5046B5A9"/>
    <w:multiLevelType w:val="hybridMultilevel"/>
    <w:lvl w:ilvl="0">
      <w:lvlJc w:val="left"/>
      <w:lvlText w:val="•"/>
      <w:numFmt w:val="bullet"/>
      <w:start w:val="1"/>
    </w:lvl>
  </w:abstractNum>
  <w:abstractNum w:abstractNumId="92">
    <w:nsid w:val="5D888A08"/>
    <w:multiLevelType w:val="hybridMultilevel"/>
    <w:lvl w:ilvl="0">
      <w:lvlJc w:val="left"/>
      <w:lvlText w:val="•"/>
      <w:numFmt w:val="bullet"/>
      <w:start w:val="1"/>
    </w:lvl>
  </w:abstractNum>
  <w:abstractNum w:abstractNumId="93">
    <w:nsid w:val="2A082C70"/>
    <w:multiLevelType w:val="hybridMultilevel"/>
    <w:lvl w:ilvl="0">
      <w:lvlJc w:val="left"/>
      <w:lvlText w:val="•"/>
      <w:numFmt w:val="bullet"/>
      <w:start w:val="1"/>
    </w:lvl>
  </w:abstractNum>
  <w:abstractNum w:abstractNumId="94">
    <w:nsid w:val="5EC6AFD4"/>
    <w:multiLevelType w:val="hybridMultilevel"/>
    <w:lvl w:ilvl="0">
      <w:lvlJc w:val="left"/>
      <w:lvlText w:val="•"/>
      <w:numFmt w:val="bullet"/>
      <w:start w:val="1"/>
    </w:lvl>
  </w:abstractNum>
  <w:abstractNum w:abstractNumId="95">
    <w:nsid w:val="19E21BB2"/>
    <w:multiLevelType w:val="hybridMultilevel"/>
    <w:lvl w:ilvl="0">
      <w:lvlJc w:val="left"/>
      <w:lvlText w:val="(%1)"/>
      <w:numFmt w:val="lowerRoman"/>
      <w:start w:val="3"/>
    </w:lvl>
  </w:abstractNum>
  <w:abstractNum w:abstractNumId="96">
    <w:nsid w:val="75E0858A"/>
    <w:multiLevelType w:val="hybridMultilevel"/>
    <w:lvl w:ilvl="0">
      <w:lvlJc w:val="left"/>
      <w:lvlText w:val="•"/>
      <w:numFmt w:val="bullet"/>
      <w:start w:val="1"/>
    </w:lvl>
  </w:abstractNum>
  <w:abstractNum w:abstractNumId="97">
    <w:nsid w:val="57A61A29"/>
    <w:multiLevelType w:val="hybridMultilevel"/>
    <w:lvl w:ilvl="0">
      <w:lvlJc w:val="left"/>
      <w:lvlText w:val="•"/>
      <w:numFmt w:val="bullet"/>
      <w:start w:val="1"/>
    </w:lvl>
  </w:abstractNum>
  <w:abstractNum w:abstractNumId="98">
    <w:nsid w:val="5399C654"/>
    <w:multiLevelType w:val="hybridMultilevel"/>
    <w:lvl w:ilvl="0">
      <w:lvlJc w:val="left"/>
      <w:lvlText w:val="*"/>
      <w:numFmt w:val="bullet"/>
      <w:start w:val="1"/>
    </w:lvl>
  </w:abstractNum>
  <w:abstractNum w:abstractNumId="99">
    <w:nsid w:val="20EE1348"/>
    <w:multiLevelType w:val="hybridMultilevel"/>
    <w:lvl w:ilvl="0">
      <w:lvlJc w:val="left"/>
      <w:lvlText w:val="%1."/>
      <w:numFmt w:val="decimal"/>
      <w:start w:val="1"/>
    </w:lvl>
  </w:abstractNum>
  <w:abstractNum w:abstractNumId="100">
    <w:nsid w:val="4427069A"/>
    <w:multiLevelType w:val="hybridMultilevel"/>
    <w:lvl w:ilvl="0">
      <w:lvlJc w:val="left"/>
      <w:lvlText w:val="%1."/>
      <w:numFmt w:val="decimal"/>
      <w:start w:val="2"/>
    </w:lvl>
  </w:abstractNum>
  <w:abstractNum w:abstractNumId="101">
    <w:nsid w:val="B37E80A"/>
    <w:multiLevelType w:val="hybridMultilevel"/>
    <w:lvl w:ilvl="0">
      <w:lvlJc w:val="left"/>
      <w:lvlText w:val="•"/>
      <w:numFmt w:val="bullet"/>
      <w:start w:val="1"/>
    </w:lvl>
  </w:abstractNum>
  <w:abstractNum w:abstractNumId="102">
    <w:nsid w:val="2157F6BC"/>
    <w:multiLevelType w:val="hybridMultilevel"/>
    <w:lvl w:ilvl="0">
      <w:lvlJc w:val="left"/>
      <w:lvlText w:val="(%1)"/>
      <w:numFmt w:val="decimal"/>
      <w:start w:val="1"/>
    </w:lvl>
  </w:abstractNum>
  <w:abstractNum w:abstractNumId="103">
    <w:nsid w:val="704E1DD5"/>
    <w:multiLevelType w:val="hybridMultilevel"/>
    <w:lvl w:ilvl="0">
      <w:lvlJc w:val="left"/>
      <w:lvlText w:val="•"/>
      <w:numFmt w:val="bullet"/>
      <w:start w:val="1"/>
    </w:lvl>
  </w:abstractNum>
  <w:abstractNum w:abstractNumId="104">
    <w:nsid w:val="57D2F10E"/>
    <w:multiLevelType w:val="hybridMultilevel"/>
    <w:lvl w:ilvl="0">
      <w:lvlJc w:val="left"/>
      <w:lvlText w:val="•"/>
      <w:numFmt w:val="bullet"/>
      <w:start w:val="1"/>
    </w:lvl>
  </w:abstractNum>
  <w:abstractNum w:abstractNumId="105">
    <w:nsid w:val="BFFAE18"/>
    <w:multiLevelType w:val="hybridMultilevel"/>
    <w:lvl w:ilvl="0">
      <w:lvlJc w:val="left"/>
      <w:lvlText w:val="•"/>
      <w:numFmt w:val="bullet"/>
      <w:start w:val="1"/>
    </w:lvl>
  </w:abstractNum>
  <w:abstractNum w:abstractNumId="106">
    <w:nsid w:val="E3E47A8"/>
    <w:multiLevelType w:val="hybridMultilevel"/>
    <w:lvl w:ilvl="0">
      <w:lvlJc w:val="left"/>
      <w:lvlText w:val="•"/>
      <w:numFmt w:val="bullet"/>
      <w:start w:val="1"/>
    </w:lvl>
    <w:lvl w:ilvl="1">
      <w:lvlJc w:val="left"/>
      <w:lvlText w:val="•"/>
      <w:numFmt w:val="bullet"/>
      <w:start w:val="1"/>
    </w:lvl>
  </w:abstractNum>
  <w:abstractNum w:abstractNumId="107">
    <w:nsid w:val="2E48F044"/>
    <w:multiLevelType w:val="hybridMultilevel"/>
    <w:lvl w:ilvl="0">
      <w:lvlJc w:val="left"/>
      <w:lvlText w:val="•"/>
      <w:numFmt w:val="bullet"/>
      <w:start w:val="1"/>
    </w:lvl>
  </w:abstractNum>
  <w:abstractNum w:abstractNumId="108">
    <w:nsid w:val="49D0FEAC"/>
    <w:multiLevelType w:val="hybridMultilevel"/>
    <w:lvl w:ilvl="0">
      <w:lvlJc w:val="left"/>
      <w:lvlText w:val="(%1)"/>
      <w:numFmt w:val="lowerRoman"/>
      <w:start w:val="1"/>
    </w:lvl>
  </w:abstractNum>
  <w:abstractNum w:abstractNumId="109">
    <w:nsid w:val="4BEE5A5B"/>
    <w:multiLevelType w:val="hybridMultilevel"/>
    <w:lvl w:ilvl="0">
      <w:lvlJc w:val="left"/>
      <w:lvlText w:val="%1."/>
      <w:numFmt w:val="decimal"/>
      <w:start w:val="7"/>
    </w:lvl>
  </w:abstractNum>
  <w:abstractNum w:abstractNumId="110">
    <w:nsid w:val="5551B9F3"/>
    <w:multiLevelType w:val="hybridMultilevel"/>
    <w:lvl w:ilvl="0">
      <w:lvlJc w:val="left"/>
      <w:lvlText w:val="(%1)"/>
      <w:numFmt w:val="decimal"/>
      <w:start w:val="1"/>
    </w:lvl>
  </w:abstractNum>
  <w:abstractNum w:abstractNumId="111">
    <w:nsid w:val="24F6AB8E"/>
    <w:multiLevelType w:val="hybridMultilevel"/>
    <w:lvl w:ilvl="0">
      <w:lvlJc w:val="left"/>
      <w:lvlText w:val="(%1)"/>
      <w:numFmt w:val="decimal"/>
      <w:start w:val="1"/>
    </w:lvl>
  </w:abstractNum>
  <w:abstractNum w:abstractNumId="112">
    <w:nsid w:val="634C574C"/>
    <w:multiLevelType w:val="hybridMultilevel"/>
    <w:lvl w:ilvl="0">
      <w:lvlJc w:val="left"/>
      <w:lvlText w:val="%1."/>
      <w:numFmt w:val="decimal"/>
      <w:start w:val="9"/>
    </w:lvl>
  </w:abstractNum>
  <w:abstractNum w:abstractNumId="113">
    <w:nsid w:val="24E99DD7"/>
    <w:multiLevelType w:val="hybridMultilevel"/>
    <w:lvl w:ilvl="0">
      <w:lvlJc w:val="left"/>
      <w:lvlText w:val="%1."/>
      <w:numFmt w:val="decimal"/>
      <w:start w:val="10"/>
    </w:lvl>
  </w:abstractNum>
  <w:abstractNum w:abstractNumId="114">
    <w:nsid w:val="2A31B62D"/>
    <w:multiLevelType w:val="hybridMultilevel"/>
    <w:lvl w:ilvl="0">
      <w:lvlJc w:val="left"/>
      <w:lvlText w:val="%1."/>
      <w:numFmt w:val="decimal"/>
      <w:start w:val="1"/>
    </w:lvl>
  </w:abstractNum>
  <w:abstractNum w:abstractNumId="115">
    <w:nsid w:val="1849C29B"/>
    <w:multiLevelType w:val="hybridMultilevel"/>
    <w:lvl w:ilvl="0">
      <w:lvlJc w:val="left"/>
      <w:lvlText w:val="%1."/>
      <w:numFmt w:val="decimal"/>
      <w:start w:val="2"/>
    </w:lvl>
  </w:abstractNum>
  <w:abstractNum w:abstractNumId="116">
    <w:nsid w:val="7DFF9D09"/>
    <w:multiLevelType w:val="hybridMultilevel"/>
    <w:lvl w:ilvl="0">
      <w:lvlJc w:val="left"/>
      <w:lvlText w:val="2.%1."/>
      <w:numFmt w:val="decimal"/>
      <w:start w:val="1"/>
    </w:lvl>
  </w:abstractNum>
  <w:abstractNum w:abstractNumId="117">
    <w:nsid w:val="754342"/>
    <w:multiLevelType w:val="hybridMultilevel"/>
    <w:lvl w:ilvl="0">
      <w:lvlJc w:val="left"/>
      <w:lvlText w:val="•"/>
      <w:numFmt w:val="bullet"/>
      <w:start w:val="1"/>
    </w:lvl>
  </w:abstractNum>
  <w:abstractNum w:abstractNumId="118">
    <w:nsid w:val="69E7F3E5"/>
    <w:multiLevelType w:val="hybridMultilevel"/>
    <w:lvl w:ilvl="0">
      <w:lvlJc w:val="left"/>
      <w:lvlText w:val="•"/>
      <w:numFmt w:val="bullet"/>
      <w:start w:val="1"/>
    </w:lvl>
  </w:abstractNum>
  <w:abstractNum w:abstractNumId="119">
    <w:nsid w:val="2A6DE806"/>
    <w:multiLevelType w:val="hybridMultilevel"/>
    <w:lvl w:ilvl="0">
      <w:lvlJc w:val="left"/>
      <w:lvlText w:val="•"/>
      <w:numFmt w:val="bullet"/>
      <w:start w:val="1"/>
    </w:lvl>
  </w:abstractNum>
  <w:abstractNum w:abstractNumId="120">
    <w:nsid w:val="1816F8C4"/>
    <w:multiLevelType w:val="hybridMultilevel"/>
    <w:lvl w:ilvl="0">
      <w:lvlJc w:val="left"/>
      <w:lvlText w:val="•"/>
      <w:numFmt w:val="bullet"/>
      <w:start w:val="1"/>
    </w:lvl>
  </w:abstractNum>
  <w:abstractNum w:abstractNumId="121">
    <w:nsid w:val="37DF2233"/>
    <w:multiLevelType w:val="hybridMultilevel"/>
    <w:lvl w:ilvl="0">
      <w:lvlJc w:val="left"/>
      <w:lvlText w:val="(%1)"/>
      <w:numFmt w:val="decimal"/>
      <w:start w:val="1"/>
    </w:lvl>
  </w:abstractNum>
  <w:abstractNum w:abstractNumId="122">
    <w:nsid w:val="7AB49DAF"/>
    <w:multiLevelType w:val="hybridMultilevel"/>
    <w:lvl w:ilvl="0">
      <w:lvlJc w:val="left"/>
      <w:lvlText w:val="%1."/>
      <w:numFmt w:val="decimal"/>
      <w:start w:val="3"/>
    </w:lvl>
  </w:abstractNum>
  <w:abstractNum w:abstractNumId="123">
    <w:nsid w:val="759F82CD"/>
    <w:multiLevelType w:val="hybridMultilevel"/>
    <w:lvl w:ilvl="0">
      <w:lvlJc w:val="left"/>
      <w:lvlText w:val="•"/>
      <w:numFmt w:val="bullet"/>
      <w:start w:val="1"/>
    </w:lvl>
  </w:abstractNum>
  <w:abstractNum w:abstractNumId="124">
    <w:nsid w:val="61E74EA3"/>
    <w:multiLevelType w:val="hybridMultilevel"/>
    <w:lvl w:ilvl="0">
      <w:lvlJc w:val="left"/>
      <w:lvlText w:val="•"/>
      <w:numFmt w:val="bullet"/>
      <w:start w:val="1"/>
    </w:lvl>
  </w:abstractNum>
  <w:abstractNum w:abstractNumId="125">
    <w:nsid w:val="597B4D84"/>
    <w:multiLevelType w:val="hybridMultilevel"/>
    <w:lvl w:ilvl="0">
      <w:lvlJc w:val="left"/>
      <w:lvlText w:val="•"/>
      <w:numFmt w:val="bullet"/>
      <w:start w:val="1"/>
    </w:lvl>
  </w:abstractNum>
  <w:abstractNum w:abstractNumId="126">
    <w:nsid w:val="F819E7F"/>
    <w:multiLevelType w:val="hybridMultilevel"/>
    <w:lvl w:ilvl="0">
      <w:lvlJc w:val="left"/>
      <w:lvlText w:val="•"/>
      <w:numFmt w:val="bullet"/>
      <w:start w:val="1"/>
    </w:lvl>
  </w:abstractNum>
  <w:abstractNum w:abstractNumId="127">
    <w:nsid w:val="57C7D42D"/>
    <w:multiLevelType w:val="hybridMultilevel"/>
    <w:lvl w:ilvl="0">
      <w:lvlJc w:val="left"/>
      <w:lvlText w:val="(%1)"/>
      <w:numFmt w:val="decimal"/>
    </w:lvl>
    <w:lvl w:ilvl="1">
      <w:lvlJc w:val="left"/>
      <w:lvlText w:val="•"/>
      <w:numFmt w:val="bullet"/>
      <w:start w:val="1"/>
    </w:lvl>
    <w:lvl w:ilvl="2">
      <w:lvlJc w:val="left"/>
      <w:lvlText w:val="(%3)"/>
      <w:numFmt w:val="lowerRoman"/>
      <w:start w:val="2"/>
    </w:lvl>
    <w:lvl w:ilvl="3">
      <w:lvlJc w:val="left"/>
      <w:lvlText w:val="•"/>
      <w:numFmt w:val="bullet"/>
      <w:start w:val="1"/>
    </w:lvl>
  </w:abstractNum>
  <w:abstractNum w:abstractNumId="128">
    <w:nsid w:val="312167AD"/>
    <w:multiLevelType w:val="hybridMultilevel"/>
    <w:lvl w:ilvl="0">
      <w:lvlJc w:val="left"/>
      <w:lvlText w:val="%1."/>
      <w:numFmt w:val="decimal"/>
      <w:start w:val="9"/>
    </w:lvl>
  </w:abstractNum>
  <w:abstractNum w:abstractNumId="129">
    <w:nsid w:val="631B64D4"/>
    <w:multiLevelType w:val="hybridMultilevel"/>
    <w:lvl w:ilvl="0">
      <w:lvlJc w:val="left"/>
      <w:lvlText w:val="%1."/>
      <w:numFmt w:val="decimal"/>
      <w:start w:val="10"/>
    </w:lvl>
  </w:abstractNum>
  <w:abstractNum w:abstractNumId="130">
    <w:nsid w:val="78B5E776"/>
    <w:multiLevelType w:val="hybridMultilevel"/>
    <w:lvl w:ilvl="0">
      <w:lvlJc w:val="left"/>
      <w:lvlText w:val="%1."/>
      <w:numFmt w:val="decimal"/>
      <w:start w:val="11"/>
    </w:lvl>
  </w:abstractNum>
  <w:abstractNum w:abstractNumId="131">
    <w:nsid w:val="75486E47"/>
    <w:multiLevelType w:val="hybridMultilevel"/>
    <w:lvl w:ilvl="0">
      <w:lvlJc w:val="left"/>
      <w:lvlText w:val="(%1)"/>
      <w:numFmt w:val="decimal"/>
      <w:start w:val="1"/>
    </w:lvl>
  </w:abstractNum>
  <w:abstractNum w:abstractNumId="132">
    <w:nsid w:val="6E534CDE"/>
    <w:multiLevelType w:val="hybridMultilevel"/>
    <w:lvl w:ilvl="0">
      <w:lvlJc w:val="left"/>
      <w:lvlText w:val="•"/>
      <w:numFmt w:val="bullet"/>
      <w:start w:val="1"/>
    </w:lvl>
  </w:abstractNum>
  <w:abstractNum w:abstractNumId="133">
    <w:nsid w:val="1A0DDE32"/>
    <w:multiLevelType w:val="hybridMultilevel"/>
    <w:lvl w:ilvl="0">
      <w:lvlJc w:val="left"/>
      <w:lvlText w:val="•"/>
      <w:numFmt w:val="bullet"/>
      <w:start w:val="1"/>
    </w:lvl>
  </w:abstractNum>
  <w:abstractNum w:abstractNumId="134">
    <w:nsid w:val="65968C1C"/>
    <w:multiLevelType w:val="hybridMultilevel"/>
    <w:lvl w:ilvl="0">
      <w:lvlJc w:val="left"/>
      <w:lvlText w:val="(%1)"/>
      <w:numFmt w:val="decimal"/>
      <w:start w:val="1"/>
    </w:lvl>
  </w:abstractNum>
  <w:abstractNum w:abstractNumId="135">
    <w:nsid w:val="46263DEC"/>
    <w:multiLevelType w:val="hybridMultilevel"/>
    <w:lvl w:ilvl="0">
      <w:lvlJc w:val="left"/>
      <w:lvlText w:val="%1."/>
      <w:numFmt w:val="decimal"/>
      <w:start w:val="13"/>
    </w:lvl>
  </w:abstractNum>
  <w:abstractNum w:abstractNumId="136">
    <w:nsid w:val="260D8C4A"/>
    <w:multiLevelType w:val="hybridMultilevel"/>
    <w:lvl w:ilvl="0">
      <w:lvlJc w:val="left"/>
      <w:lvlText w:val="%1."/>
      <w:numFmt w:val="decimal"/>
      <w:start w:val="14"/>
    </w:lvl>
  </w:abstractNum>
  <w:abstractNum w:abstractNumId="137">
    <w:nsid w:val="73D4D3C4"/>
    <w:multiLevelType w:val="hybridMultilevel"/>
    <w:lvl w:ilvl="0">
      <w:lvlJc w:val="left"/>
      <w:lvlText w:val="(%1)"/>
      <w:numFmt w:val="decimal"/>
      <w:start w:val="1"/>
    </w:lvl>
  </w:abstractNum>
  <w:abstractNum w:abstractNumId="138">
    <w:nsid w:val="746F2E30"/>
    <w:multiLevelType w:val="hybridMultilevel"/>
    <w:lvl w:ilvl="0">
      <w:lvlJc w:val="left"/>
      <w:lvlText w:val="(%1)"/>
      <w:numFmt w:val="decimal"/>
      <w:start w:val="2"/>
    </w:lvl>
  </w:abstractNum>
  <w:abstractNum w:abstractNumId="139">
    <w:nsid w:val="6FDE8AF6"/>
    <w:multiLevelType w:val="hybridMultilevel"/>
    <w:lvl w:ilvl="0">
      <w:lvlJc w:val="left"/>
      <w:lvlText w:val="(%1)"/>
      <w:numFmt w:val="decimal"/>
      <w:start w:val="2"/>
    </w:lvl>
  </w:abstractNum>
  <w:abstractNum w:abstractNumId="140">
    <w:nsid w:val="3FC32E20"/>
    <w:multiLevelType w:val="hybridMultilevel"/>
    <w:lvl w:ilvl="0">
      <w:lvlJc w:val="left"/>
      <w:lvlText w:val="%1."/>
      <w:numFmt w:val="decimal"/>
      <w:start w:val="15"/>
    </w:lvl>
  </w:abstractNum>
  <w:abstractNum w:abstractNumId="141">
    <w:nsid w:val="49C0E823"/>
    <w:multiLevelType w:val="hybridMultilevel"/>
    <w:lvl w:ilvl="0">
      <w:lvlJc w:val="left"/>
      <w:lvlText w:val="%1."/>
      <w:numFmt w:val="decimal"/>
      <w:start w:val="16"/>
    </w:lvl>
  </w:abstractNum>
  <w:abstractNum w:abstractNumId="142">
    <w:nsid w:val="14D53685"/>
    <w:multiLevelType w:val="hybridMultilevel"/>
    <w:lvl w:ilvl="0">
      <w:lvlJc w:val="left"/>
      <w:lvlText w:val="(%1)"/>
      <w:numFmt w:val="lowerLetter"/>
      <w:start w:val="1"/>
    </w:lvl>
  </w:abstractNum>
  <w:abstractNum w:abstractNumId="143">
    <w:nsid w:val="230F856C"/>
    <w:multiLevelType w:val="hybridMultilevel"/>
    <w:lvl w:ilvl="0">
      <w:lvlJc w:val="left"/>
      <w:lvlText w:val="(%1)"/>
      <w:numFmt w:val="decimal"/>
      <w:start w:val="1"/>
    </w:lvl>
  </w:abstractNum>
  <w:abstractNum w:abstractNumId="144">
    <w:nsid w:val="6EAA85FB"/>
    <w:multiLevelType w:val="hybridMultilevel"/>
    <w:lvl w:ilvl="0">
      <w:lvlJc w:val="left"/>
      <w:lvlText w:val="%1."/>
      <w:numFmt w:val="decimal"/>
      <w:start w:val="17"/>
    </w:lvl>
  </w:abstractNum>
  <w:abstractNum w:abstractNumId="145">
    <w:nsid w:val="3F06ECB2"/>
    <w:multiLevelType w:val="hybridMultilevel"/>
    <w:lvl w:ilvl="0">
      <w:lvlJc w:val="left"/>
      <w:lvlText w:val="•"/>
      <w:numFmt w:val="bullet"/>
      <w:start w:val="1"/>
    </w:lvl>
  </w:abstractNum>
  <w:abstractNum w:abstractNumId="146">
    <w:nsid w:val="3B594807"/>
    <w:multiLevelType w:val="hybridMultilevel"/>
    <w:lvl w:ilvl="0">
      <w:lvlJc w:val="left"/>
      <w:lvlText w:val="(%1)"/>
      <w:numFmt w:val="decimal"/>
      <w:start w:val="2"/>
    </w:lvl>
  </w:abstractNum>
  <w:abstractNum w:abstractNumId="147">
    <w:nsid w:val="6CAA2304"/>
    <w:multiLevelType w:val="hybridMultilevel"/>
    <w:lvl w:ilvl="0">
      <w:lvlJc w:val="left"/>
      <w:lvlText w:val="(%1)"/>
      <w:numFmt w:val="lowerRoman"/>
      <w:start w:val="2"/>
    </w:lvl>
  </w:abstractNum>
  <w:abstractNum w:abstractNumId="148">
    <w:nsid w:val="3F7C2FF4"/>
    <w:multiLevelType w:val="hybridMultilevel"/>
    <w:lvl w:ilvl="0">
      <w:lvlJc w:val="left"/>
      <w:lvlText w:val="•"/>
      <w:numFmt w:val="bullet"/>
      <w:start w:val="1"/>
    </w:lvl>
  </w:abstractNum>
  <w:abstractNum w:abstractNumId="149">
    <w:nsid w:val="25413BEC"/>
    <w:multiLevelType w:val="hybridMultilevel"/>
    <w:lvl w:ilvl="0">
      <w:lvlJc w:val="left"/>
      <w:lvlText w:val="(%1)"/>
      <w:numFmt w:val="lowerRoman"/>
      <w:start w:val="2"/>
    </w:lvl>
  </w:abstractNum>
  <w:abstractNum w:abstractNumId="150">
    <w:nsid w:val="17180B0B"/>
    <w:multiLevelType w:val="hybridMultilevel"/>
    <w:lvl w:ilvl="0">
      <w:lvlJc w:val="left"/>
      <w:lvlText w:val="•"/>
      <w:numFmt w:val="bullet"/>
      <w:start w:val="1"/>
    </w:lvl>
  </w:abstractNum>
  <w:abstractNum w:abstractNumId="151">
    <w:nsid w:val="579328B9"/>
    <w:multiLevelType w:val="hybridMultilevel"/>
    <w:lvl w:ilvl="0">
      <w:lvlJc w:val="left"/>
      <w:lvlText w:val="(%1)"/>
      <w:numFmt w:val="decimal"/>
      <w:start w:val="2"/>
    </w:lvl>
  </w:abstractNum>
  <w:abstractNum w:abstractNumId="152">
    <w:nsid w:val="5D205E20"/>
    <w:multiLevelType w:val="hybridMultilevel"/>
    <w:lvl w:ilvl="0">
      <w:lvlJc w:val="left"/>
      <w:lvlText w:val="(%1)"/>
      <w:numFmt w:val="lowerRoman"/>
      <w:start w:val="2"/>
    </w:lvl>
  </w:abstractNum>
  <w:abstractNum w:abstractNumId="153">
    <w:nsid w:val="11CCA8BA"/>
    <w:multiLevelType w:val="hybridMultilevel"/>
    <w:lvl w:ilvl="0">
      <w:lvlJc w:val="left"/>
      <w:lvlText w:val="•"/>
      <w:numFmt w:val="bullet"/>
      <w:start w:val="1"/>
    </w:lvl>
  </w:abstractNum>
  <w:abstractNum w:abstractNumId="154">
    <w:nsid w:val="4D32AB86"/>
    <w:multiLevelType w:val="hybridMultilevel"/>
    <w:lvl w:ilvl="0">
      <w:lvlJc w:val="left"/>
      <w:lvlText w:val="(%1)"/>
      <w:numFmt w:val="lowerRoman"/>
      <w:start w:val="2"/>
    </w:lvl>
  </w:abstractNum>
  <w:abstractNum w:abstractNumId="155">
    <w:nsid w:val="3F07ACC3"/>
    <w:multiLevelType w:val="hybridMultilevel"/>
    <w:lvl w:ilvl="0">
      <w:lvlJc w:val="left"/>
      <w:lvlText w:val="•"/>
      <w:numFmt w:val="bullet"/>
      <w:start w:val="1"/>
    </w:lvl>
  </w:abstractNum>
  <w:abstractNum w:abstractNumId="156">
    <w:nsid w:val="6B47F63E"/>
    <w:multiLevelType w:val="hybridMultilevel"/>
    <w:lvl w:ilvl="0">
      <w:lvlJc w:val="left"/>
      <w:lvlText w:val="(%1)"/>
      <w:numFmt w:val="decimal"/>
      <w:start w:val="2"/>
    </w:lvl>
  </w:abstractNum>
  <w:abstractNum w:abstractNumId="157">
    <w:nsid w:val="5CB44A05"/>
    <w:multiLevelType w:val="hybridMultilevel"/>
    <w:lvl w:ilvl="0">
      <w:lvlJc w:val="left"/>
      <w:lvlText w:val="(%1)"/>
      <w:numFmt w:val="lowerRoman"/>
      <w:start w:val="2"/>
    </w:lvl>
  </w:abstractNum>
  <w:abstractNum w:abstractNumId="158">
    <w:nsid w:val="16CF80F1"/>
    <w:multiLevelType w:val="hybridMultilevel"/>
    <w:lvl w:ilvl="0">
      <w:lvlJc w:val="left"/>
      <w:lvlText w:val="•"/>
      <w:numFmt w:val="bullet"/>
      <w:start w:val="1"/>
    </w:lvl>
  </w:abstractNum>
  <w:abstractNum w:abstractNumId="159">
    <w:nsid w:val="1C695DEC"/>
    <w:multiLevelType w:val="hybridMultilevel"/>
    <w:lvl w:ilvl="0">
      <w:lvlJc w:val="left"/>
      <w:lvlText w:val="•"/>
      <w:numFmt w:val="bullet"/>
      <w:start w:val="1"/>
    </w:lvl>
  </w:abstractNum>
  <w:abstractNum w:abstractNumId="160">
    <w:nsid w:val="3FCFAED9"/>
    <w:multiLevelType w:val="hybridMultilevel"/>
    <w:lvl w:ilvl="0">
      <w:lvlJc w:val="left"/>
      <w:lvlText w:val="•"/>
      <w:numFmt w:val="bullet"/>
      <w:start w:val="1"/>
    </w:lvl>
  </w:abstractNum>
  <w:abstractNum w:abstractNumId="161">
    <w:nsid w:val="F856867"/>
    <w:multiLevelType w:val="hybridMultilevel"/>
    <w:lvl w:ilvl="0">
      <w:lvlJc w:val="left"/>
      <w:lvlText w:val="•"/>
      <w:numFmt w:val="bullet"/>
      <w:start w:val="1"/>
    </w:lvl>
  </w:abstractNum>
  <w:abstractNum w:abstractNumId="162">
    <w:nsid w:val="11B1CC33"/>
    <w:multiLevelType w:val="hybridMultilevel"/>
    <w:lvl w:ilvl="0">
      <w:lvlJc w:val="left"/>
      <w:lvlText w:val="(%1)"/>
      <w:numFmt w:val="lowerRoman"/>
      <w:start w:val="2"/>
    </w:lvl>
  </w:abstractNum>
  <w:abstractNum w:abstractNumId="163">
    <w:nsid w:val="2E22FB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2025-02-03T05:29:13Z</dcterms:created>
  <dcterms:modified xsi:type="dcterms:W3CDTF">2025-02-03T05:29:13Z</dcterms:modified>
</cp:coreProperties>
</file>