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9"/>
          <w:szCs w:val="9"/>
          <w:b w:val="1"/>
          <w:bCs w:val="1"/>
          <w:color w:val="auto"/>
        </w:rPr>
        <w:t>As filed with the Securities and Exchange Commission on December 19, 2024.</w:t>
      </w:r>
    </w:p>
    <w:p>
      <w:pPr>
        <w:spacing w:after="0" w:line="21" w:lineRule="exact"/>
        <w:rPr>
          <w:sz w:val="24"/>
          <w:szCs w:val="24"/>
          <w:color w:val="auto"/>
        </w:rPr>
      </w:pPr>
    </w:p>
    <w:p>
      <w:pPr>
        <w:ind w:left="9000"/>
        <w:spacing w:after="0"/>
        <w:rPr>
          <w:sz w:val="20"/>
          <w:szCs w:val="20"/>
          <w:color w:val="auto"/>
        </w:rPr>
      </w:pPr>
      <w:r>
        <w:rPr>
          <w:rFonts w:ascii="Times New Roman" w:cs="Times New Roman" w:eastAsia="Times New Roman" w:hAnsi="Times New Roman"/>
          <w:sz w:val="9"/>
          <w:szCs w:val="9"/>
          <w:b w:val="1"/>
          <w:bCs w:val="1"/>
          <w:color w:val="auto"/>
        </w:rPr>
        <w:t>Registration Statement No. 333-283622</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AMENDMENT NO. 2</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 F-1</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REGISTRATION STATEMENT</w:t>
      </w:r>
    </w:p>
    <w:p>
      <w:pPr>
        <w:jc w:val="center"/>
        <w:spacing w:after="0" w:line="235" w:lineRule="auto"/>
        <w:rPr>
          <w:sz w:val="20"/>
          <w:szCs w:val="20"/>
          <w:color w:val="auto"/>
        </w:rPr>
      </w:pPr>
      <w:r>
        <w:rPr>
          <w:rFonts w:ascii="Times New Roman" w:cs="Times New Roman" w:eastAsia="Times New Roman" w:hAnsi="Times New Roman"/>
          <w:sz w:val="10"/>
          <w:szCs w:val="1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0"/>
          <w:szCs w:val="10"/>
          <w:b w:val="1"/>
          <w:bCs w:val="1"/>
          <w:i w:val="1"/>
          <w:iCs w:val="1"/>
          <w:color w:val="auto"/>
        </w:rPr>
        <w:t>THE SECURITIES ACT OF 1933</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ectPr>
          <w:pgSz w:w="11900" w:h="16840" w:orient="portrait"/>
          <w:cols w:equalWidth="0" w:num="1">
            <w:col w:w="10620"/>
          </w:cols>
          <w:pgMar w:left="640" w:top="1033" w:right="640" w:bottom="1440" w:gutter="0" w:footer="0" w:header="0"/>
        </w:sectPr>
      </w:pPr>
    </w:p>
    <w:p>
      <w:pPr>
        <w:spacing w:after="0" w:line="5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0"/>
          <w:szCs w:val="10"/>
          <w:b w:val="1"/>
          <w:bCs w:val="1"/>
          <w:color w:val="auto"/>
        </w:rPr>
        <w:t>United Kingdom</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9"/>
          <w:szCs w:val="9"/>
          <w:b w:val="1"/>
          <w:bCs w:val="1"/>
          <w:color w:val="auto"/>
        </w:rPr>
        <w:t>(State or other jurisdiction of</w:t>
      </w:r>
    </w:p>
    <w:p>
      <w:pPr>
        <w:spacing w:after="0" w:line="9"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0"/>
          <w:szCs w:val="10"/>
          <w:b w:val="1"/>
          <w:bCs w:val="1"/>
          <w:color w:val="auto"/>
        </w:rPr>
        <w:t>7370</w:t>
      </w:r>
    </w:p>
    <w:p>
      <w:pPr>
        <w:spacing w:after="0" w:line="1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9"/>
          <w:szCs w:val="9"/>
          <w:b w:val="1"/>
          <w:bCs w:val="1"/>
          <w:color w:val="auto"/>
        </w:rPr>
        <w:t>(Primary Standard Industrial</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0"/>
          <w:szCs w:val="10"/>
          <w:b w:val="1"/>
          <w:bCs w:val="1"/>
          <w:color w:val="auto"/>
        </w:rPr>
        <w:t>Not Applicable</w:t>
      </w:r>
    </w:p>
    <w:p>
      <w:pPr>
        <w:spacing w:after="0" w:line="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50" w:lineRule="exact"/>
        <w:rPr>
          <w:sz w:val="24"/>
          <w:szCs w:val="24"/>
          <w:color w:val="auto"/>
        </w:rPr>
      </w:pPr>
    </w:p>
    <w:p>
      <w:pPr>
        <w:sectPr>
          <w:pgSz w:w="11900" w:h="16840" w:orient="portrait"/>
          <w:cols w:equalWidth="0" w:num="3">
            <w:col w:w="3960" w:space="720"/>
            <w:col w:w="3240" w:space="720"/>
            <w:col w:w="1980"/>
          </w:cols>
          <w:pgMar w:left="640" w:top="1033" w:right="640" w:bottom="1440" w:gutter="0" w:footer="0" w:header="0"/>
          <w:type w:val="continuous"/>
        </w:sectPr>
      </w:pPr>
    </w:p>
    <w:p>
      <w:pPr>
        <w:ind w:left="4680"/>
        <w:spacing w:after="0"/>
        <w:rPr>
          <w:sz w:val="20"/>
          <w:szCs w:val="20"/>
          <w:color w:val="auto"/>
        </w:rPr>
      </w:pPr>
      <w:r>
        <w:rPr>
          <w:rFonts w:ascii="Times New Roman" w:cs="Times New Roman" w:eastAsia="Times New Roman" w:hAnsi="Times New Roman"/>
          <w:sz w:val="10"/>
          <w:szCs w:val="10"/>
          <w:b w:val="1"/>
          <w:bCs w:val="1"/>
          <w:color w:val="auto"/>
        </w:rPr>
        <w:t>3rd Floor, 80 New Bond Street</w:t>
      </w:r>
    </w:p>
    <w:p>
      <w:pPr>
        <w:spacing w:after="0" w:line="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0"/>
          <w:szCs w:val="10"/>
          <w:b w:val="1"/>
          <w:bCs w:val="1"/>
          <w:color w:val="auto"/>
        </w:rPr>
        <w:t>London, W1S 1SB</w:t>
      </w:r>
    </w:p>
    <w:p>
      <w:pPr>
        <w:ind w:left="4960"/>
        <w:spacing w:after="0" w:line="234" w:lineRule="auto"/>
        <w:rPr>
          <w:sz w:val="20"/>
          <w:szCs w:val="20"/>
          <w:color w:val="auto"/>
        </w:rPr>
      </w:pPr>
      <w:r>
        <w:rPr>
          <w:rFonts w:ascii="Times New Roman" w:cs="Times New Roman" w:eastAsia="Times New Roman" w:hAnsi="Times New Roman"/>
          <w:sz w:val="10"/>
          <w:szCs w:val="10"/>
          <w:b w:val="1"/>
          <w:bCs w:val="1"/>
          <w:color w:val="auto"/>
        </w:rPr>
        <w:t>United Kingdom</w:t>
      </w:r>
    </w:p>
    <w:p>
      <w:pPr>
        <w:ind w:left="4920"/>
        <w:spacing w:after="0" w:line="235" w:lineRule="auto"/>
        <w:rPr>
          <w:sz w:val="20"/>
          <w:szCs w:val="20"/>
          <w:color w:val="auto"/>
        </w:rPr>
      </w:pPr>
      <w:r>
        <w:rPr>
          <w:rFonts w:ascii="Times New Roman" w:cs="Times New Roman" w:eastAsia="Times New Roman" w:hAnsi="Times New Roman"/>
          <w:sz w:val="10"/>
          <w:szCs w:val="10"/>
          <w:b w:val="1"/>
          <w:bCs w:val="1"/>
          <w:color w:val="auto"/>
        </w:rPr>
        <w:t>(+44 77 8094 7233)</w:t>
      </w:r>
    </w:p>
    <w:p>
      <w:pPr>
        <w:ind w:left="2920"/>
        <w:spacing w:after="0"/>
        <w:rPr>
          <w:sz w:val="20"/>
          <w:szCs w:val="20"/>
          <w:color w:val="auto"/>
        </w:rPr>
      </w:pPr>
      <w:r>
        <w:rPr>
          <w:rFonts w:ascii="Times New Roman" w:cs="Times New Roman" w:eastAsia="Times New Roman" w:hAnsi="Times New Roman"/>
          <w:sz w:val="9"/>
          <w:szCs w:val="9"/>
          <w:b w:val="1"/>
          <w:bCs w:val="1"/>
          <w:color w:val="auto"/>
        </w:rPr>
        <w:t>(Address, including zip code and telephone number, including area code, of registrant’s principal executive offices)</w:t>
      </w:r>
    </w:p>
    <w:p>
      <w:pPr>
        <w:spacing w:after="0" w:line="3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0"/>
          <w:szCs w:val="10"/>
          <w:b w:val="1"/>
          <w:bCs w:val="1"/>
          <w:color w:val="auto"/>
        </w:rPr>
        <w:t>122 East 42nd Street, 18th Floor</w:t>
      </w:r>
    </w:p>
    <w:p>
      <w:pPr>
        <w:ind w:left="4840"/>
        <w:spacing w:after="0" w:line="234" w:lineRule="auto"/>
        <w:rPr>
          <w:sz w:val="20"/>
          <w:szCs w:val="20"/>
          <w:color w:val="auto"/>
        </w:rPr>
      </w:pPr>
      <w:r>
        <w:rPr>
          <w:rFonts w:ascii="Times New Roman" w:cs="Times New Roman" w:eastAsia="Times New Roman" w:hAnsi="Times New Roman"/>
          <w:sz w:val="10"/>
          <w:szCs w:val="10"/>
          <w:b w:val="1"/>
          <w:bCs w:val="1"/>
          <w:color w:val="auto"/>
        </w:rPr>
        <w:t>New York, N.Y. 10016</w:t>
      </w:r>
    </w:p>
    <w:p>
      <w:pPr>
        <w:ind w:left="4840"/>
        <w:spacing w:after="0" w:line="235" w:lineRule="auto"/>
        <w:rPr>
          <w:sz w:val="20"/>
          <w:szCs w:val="20"/>
          <w:color w:val="auto"/>
        </w:rPr>
      </w:pPr>
      <w:r>
        <w:rPr>
          <w:rFonts w:ascii="Times New Roman" w:cs="Times New Roman" w:eastAsia="Times New Roman" w:hAnsi="Times New Roman"/>
          <w:sz w:val="10"/>
          <w:szCs w:val="10"/>
          <w:b w:val="1"/>
          <w:bCs w:val="1"/>
          <w:color w:val="auto"/>
        </w:rPr>
        <w:t>Tel: +1 (212) 947-7200</w:t>
      </w:r>
    </w:p>
    <w:p>
      <w:pPr>
        <w:ind w:left="322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Copies to:</w:t>
      </w:r>
    </w:p>
    <w:p>
      <w:pPr>
        <w:sectPr>
          <w:pgSz w:w="11900" w:h="16840" w:orient="portrait"/>
          <w:cols w:equalWidth="0" w:num="1">
            <w:col w:w="10620"/>
          </w:cols>
          <w:pgMar w:left="640" w:top="1033" w:right="640" w:bottom="1440" w:gutter="0" w:footer="0" w:header="0"/>
          <w:type w:val="continuous"/>
        </w:sectPr>
      </w:pP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Gerry Williams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Penny Minna</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DLA Piper LLP (US)</w:t>
      </w:r>
    </w:p>
    <w:p>
      <w:pPr>
        <w:jc w:val="center"/>
        <w:spacing w:after="0" w:line="235" w:lineRule="auto"/>
        <w:rPr>
          <w:sz w:val="20"/>
          <w:szCs w:val="20"/>
          <w:color w:val="auto"/>
        </w:rPr>
      </w:pPr>
      <w:r>
        <w:rPr>
          <w:rFonts w:ascii="Times New Roman" w:cs="Times New Roman" w:eastAsia="Times New Roman" w:hAnsi="Times New Roman"/>
          <w:sz w:val="10"/>
          <w:szCs w:val="10"/>
          <w:b w:val="1"/>
          <w:bCs w:val="1"/>
          <w:color w:val="auto"/>
        </w:rPr>
        <w:t>1201 W Peachtree St NE #2800</w:t>
      </w:r>
    </w:p>
    <w:p>
      <w:pPr>
        <w:jc w:val="center"/>
        <w:spacing w:after="0" w:line="235" w:lineRule="auto"/>
        <w:rPr>
          <w:sz w:val="20"/>
          <w:szCs w:val="20"/>
          <w:color w:val="auto"/>
        </w:rPr>
      </w:pPr>
      <w:r>
        <w:rPr>
          <w:rFonts w:ascii="Times New Roman" w:cs="Times New Roman" w:eastAsia="Times New Roman" w:hAnsi="Times New Roman"/>
          <w:sz w:val="10"/>
          <w:szCs w:val="10"/>
          <w:b w:val="1"/>
          <w:bCs w:val="1"/>
          <w:color w:val="auto"/>
        </w:rPr>
        <w:t>Atlanta, GA 30309</w:t>
      </w:r>
    </w:p>
    <w:p>
      <w:pPr>
        <w:ind w:left="5240" w:hanging="236"/>
        <w:spacing w:after="0"/>
        <w:tabs>
          <w:tab w:leader="none" w:pos="5240" w:val="left"/>
        </w:tabs>
        <w:numPr>
          <w:ilvl w:val="0"/>
          <w:numId w:val="1"/>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736-7800</w:t>
      </w:r>
    </w:p>
    <w:p>
      <w:pPr>
        <w:spacing w:after="0" w:line="23" w:lineRule="exact"/>
        <w:rPr>
          <w:rFonts w:ascii="Times New Roman" w:cs="Times New Roman" w:eastAsia="Times New Roman" w:hAnsi="Times New Roman"/>
          <w:sz w:val="10"/>
          <w:szCs w:val="10"/>
          <w:b w:val="1"/>
          <w:bCs w:val="1"/>
          <w:color w:val="auto"/>
        </w:rPr>
      </w:pPr>
    </w:p>
    <w:p>
      <w:pPr>
        <w:spacing w:after="0"/>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b w:val="1"/>
          <w:bCs w:val="1"/>
          <w:color w:val="auto"/>
        </w:rPr>
        <w:t xml:space="preserve">Approximate date of commencement of proposed sale to the public: </w:t>
      </w:r>
      <w:r>
        <w:rPr>
          <w:rFonts w:ascii="Times New Roman" w:cs="Times New Roman" w:eastAsia="Times New Roman" w:hAnsi="Times New Roman"/>
          <w:sz w:val="10"/>
          <w:szCs w:val="10"/>
          <w:color w:val="auto"/>
        </w:rPr>
        <w:t>As soon as practicable after this Registration Statement becomes effective.</w:t>
      </w:r>
    </w:p>
    <w:p>
      <w:pPr>
        <w:spacing w:after="0" w:line="37" w:lineRule="exact"/>
        <w:rPr>
          <w:rFonts w:ascii="Times New Roman" w:cs="Times New Roman" w:eastAsia="Times New Roman" w:hAnsi="Times New Roman"/>
          <w:sz w:val="10"/>
          <w:szCs w:val="10"/>
          <w:b w:val="1"/>
          <w:bCs w:val="1"/>
          <w:color w:val="auto"/>
        </w:rPr>
      </w:pPr>
    </w:p>
    <w:p>
      <w:pPr>
        <w:spacing w:after="0" w:line="115" w:lineRule="exact"/>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35" w:lineRule="exact"/>
        <w:rPr>
          <w:sz w:val="24"/>
          <w:szCs w:val="24"/>
          <w:color w:val="auto"/>
        </w:rPr>
      </w:pPr>
    </w:p>
    <w:p>
      <w:pPr>
        <w:ind w:right="40"/>
        <w:spacing w:after="0" w:line="127"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3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0"/>
          <w:szCs w:val="10"/>
          <w:color w:val="auto"/>
        </w:rPr>
        <w:t>☐</w:t>
      </w:r>
    </w:p>
    <w:p>
      <w:pPr>
        <w:spacing w:after="0" w:line="44"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Emerging growth company</w:t>
      </w:r>
      <w:r>
        <w:rPr>
          <w:rFonts w:ascii="MS PGothic" w:cs="MS PGothic" w:eastAsia="MS PGothic" w:hAnsi="MS PGothic"/>
          <w:sz w:val="10"/>
          <w:szCs w:val="10"/>
          <w:color w:val="auto"/>
        </w:rPr>
        <w:t>☒</w:t>
      </w:r>
    </w:p>
    <w:p>
      <w:pPr>
        <w:spacing w:after="0" w:line="13"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55" w:lineRule="exact"/>
        <w:rPr>
          <w:sz w:val="24"/>
          <w:szCs w:val="24"/>
          <w:color w:val="auto"/>
        </w:rPr>
      </w:pPr>
    </w:p>
    <w:p>
      <w:pPr>
        <w:ind w:right="140"/>
        <w:spacing w:after="0" w:line="247"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153035</wp:posOffset>
            </wp:positionV>
            <wp:extent cx="677862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type w:val="continuous"/>
        </w:sectPr>
      </w:pPr>
    </w:p>
    <w:bookmarkStart w:id="1" w:name="page2"/>
    <w:bookmarkEnd w:id="1"/>
    <w:p>
      <w:pPr>
        <w:jc w:val="center"/>
        <w:ind w:right="20"/>
        <w:spacing w:after="0" w:line="259" w:lineRule="auto"/>
        <w:rPr>
          <w:sz w:val="20"/>
          <w:szCs w:val="20"/>
          <w:color w:val="auto"/>
        </w:rPr>
      </w:pPr>
      <w:r>
        <w:rPr>
          <w:rFonts w:ascii="Times New Roman" w:cs="Times New Roman" w:eastAsia="Times New Roman" w:hAnsi="Times New Roman"/>
          <w:sz w:val="10"/>
          <w:szCs w:val="10"/>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FC0000"/>
        </w:rPr>
        <w:t>SUBJECT TO COMPLETION, DATED December 19, 2024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FC0000"/>
        </w:rPr>
        <w:t>PRELIMINARY PROSPECTUS</w:t>
      </w:r>
    </w:p>
    <w:p>
      <w:pPr>
        <w:spacing w:after="0" w:line="118" w:lineRule="exact"/>
        <w:rPr>
          <w:sz w:val="20"/>
          <w:szCs w:val="20"/>
          <w:color w:val="auto"/>
        </w:rPr>
      </w:pPr>
    </w:p>
    <w:p>
      <w:pPr>
        <w:jc w:val="center"/>
        <w:spacing w:after="0" w:line="247" w:lineRule="auto"/>
        <w:rPr>
          <w:sz w:val="20"/>
          <w:szCs w:val="20"/>
          <w:color w:val="auto"/>
        </w:rPr>
      </w:pPr>
      <w:r>
        <w:rPr>
          <w:rFonts w:ascii="Times New Roman" w:cs="Times New Roman" w:eastAsia="Times New Roman" w:hAnsi="Times New Roman"/>
          <w:sz w:val="10"/>
          <w:szCs w:val="10"/>
          <w:b w:val="1"/>
          <w:bCs w:val="1"/>
          <w:color w:val="auto"/>
        </w:rPr>
        <w:t>For the purpose of the law of the United Kingdom, this document does not constitute an offer or any part of an offer of transferable securities to the public within the meaning of sections 85 and 102B of Financial Services and Markets Act 2000 of the United Kingdom, as amended ("FSMA"), the UK Companies Act 2006 or otherwise. Accordingly, this document does not constitute a prospectus within the meaning of section 85 of FSMA and has not been drawn up in accordance with the Prospectus Regulation Rules and has not been nor will it be approved by, or filed with, the UK Financial Conduct Authority (“FCA”).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Up to 7,598,784 Ordinary Shares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Up to 7,598,784 Warrants to Purchase Ordinary Shares</w:t>
      </w:r>
    </w:p>
    <w:p>
      <w:pPr>
        <w:jc w:val="center"/>
        <w:spacing w:after="0" w:line="234" w:lineRule="auto"/>
        <w:rPr>
          <w:sz w:val="20"/>
          <w:szCs w:val="20"/>
          <w:color w:val="auto"/>
        </w:rPr>
      </w:pPr>
      <w:r>
        <w:rPr>
          <w:rFonts w:ascii="Times New Roman" w:cs="Times New Roman" w:eastAsia="Times New Roman" w:hAnsi="Times New Roman"/>
          <w:sz w:val="10"/>
          <w:szCs w:val="10"/>
          <w:b w:val="1"/>
          <w:bCs w:val="1"/>
          <w:color w:val="auto"/>
        </w:rPr>
        <w:t>Up to 7,598,784 Pre-Funded Warrants to Purchase Ordinary Shares</w:t>
      </w:r>
    </w:p>
    <w:p>
      <w:pPr>
        <w:jc w:val="center"/>
        <w:spacing w:after="0"/>
        <w:rPr>
          <w:sz w:val="20"/>
          <w:szCs w:val="20"/>
          <w:color w:val="auto"/>
        </w:rPr>
      </w:pPr>
      <w:r>
        <w:rPr>
          <w:rFonts w:ascii="Times New Roman" w:cs="Times New Roman" w:eastAsia="Times New Roman" w:hAnsi="Times New Roman"/>
          <w:sz w:val="10"/>
          <w:szCs w:val="10"/>
          <w:b w:val="1"/>
          <w:bCs w:val="1"/>
          <w:color w:val="212529"/>
        </w:rPr>
        <w:t>Up to 15,197,568 Ordinary Shares Underlying the Warrants and Pre-Funded Warrants</w:t>
      </w:r>
    </w:p>
    <w:p>
      <w:pPr>
        <w:spacing w:after="0" w:line="10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9"/>
          <w:szCs w:val="9"/>
          <w:color w:val="auto"/>
        </w:rPr>
        <w:t>We are offering on a best-efforts basis up to 7,598,784 Ordinary Shares, par value £0.0001 (the “</w:t>
      </w:r>
      <w:r>
        <w:rPr>
          <w:rFonts w:ascii="Times New Roman" w:cs="Times New Roman" w:eastAsia="Times New Roman" w:hAnsi="Times New Roman"/>
          <w:sz w:val="9"/>
          <w:szCs w:val="9"/>
          <w:b w:val="1"/>
          <w:bCs w:val="1"/>
          <w:i w:val="1"/>
          <w:iCs w:val="1"/>
          <w:color w:val="auto"/>
        </w:rPr>
        <w:t>Ordinary Shares</w:t>
      </w:r>
      <w:r>
        <w:rPr>
          <w:rFonts w:ascii="Times New Roman" w:cs="Times New Roman" w:eastAsia="Times New Roman" w:hAnsi="Times New Roman"/>
          <w:sz w:val="9"/>
          <w:szCs w:val="9"/>
          <w:color w:val="auto"/>
        </w:rPr>
        <w:t>”), together with warrants to purchase up to 7,598,784 Ordinary Shares. Each Ordinary Share, or a pre-funded warrant in lieu thereof, is being sold together with a warrant to purchase one Ordinary Share (the “</w:t>
      </w:r>
      <w:r>
        <w:rPr>
          <w:rFonts w:ascii="Times New Roman" w:cs="Times New Roman" w:eastAsia="Times New Roman" w:hAnsi="Times New Roman"/>
          <w:sz w:val="9"/>
          <w:szCs w:val="9"/>
          <w:b w:val="1"/>
          <w:bCs w:val="1"/>
          <w:i w:val="1"/>
          <w:iCs w:val="1"/>
          <w:color w:val="auto"/>
        </w:rPr>
        <w:t>Offering Warrant</w:t>
      </w:r>
      <w:r>
        <w:rPr>
          <w:rFonts w:ascii="Times New Roman" w:cs="Times New Roman" w:eastAsia="Times New Roman" w:hAnsi="Times New Roman"/>
          <w:sz w:val="9"/>
          <w:szCs w:val="9"/>
          <w:color w:val="auto"/>
        </w:rPr>
        <w:t>”). The Ordinary Shares and Offering Warrants are immediately separable and will be issued separately in this offering, but must be purchased together in this offering. The assumed offering price for</w:t>
      </w:r>
    </w:p>
    <w:p>
      <w:pPr>
        <w:spacing w:after="0" w:line="1"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0"/>
          <w:szCs w:val="10"/>
          <w:color w:val="auto"/>
        </w:rPr>
        <w:t>each Ordinary Share and accompanying Offering Warrant is $3.29. Each Offering Warrant will have an exercise price per share of $ , will be exercisable upon issuance and have a term of five years from the date of issuance. However, if at any time the 5-Day VWAP is at or above ______, the Offering Warrants shall expire in 30 days.</w:t>
      </w:r>
    </w:p>
    <w:p>
      <w:pPr>
        <w:spacing w:after="0" w:line="10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0"/>
          <w:szCs w:val="10"/>
          <w:color w:val="auto"/>
        </w:rPr>
        <w:t>We are also offering to each purchaser whose purchase of our Ordinary Shares in this offering would otherwise result in the purchaser, together with its affiliates and certain related parties, beneficially owning more than 4.99% (or, at the election of the holder, 9.99%) of our outstanding Ordinary Shares immediately following consummation of this offering, the opportunity to purchase, if the purchaser so chooses, pre-funded warrants to purchase Ordinary Shares (the “</w:t>
      </w:r>
      <w:r>
        <w:rPr>
          <w:rFonts w:ascii="Times New Roman" w:cs="Times New Roman" w:eastAsia="Times New Roman" w:hAnsi="Times New Roman"/>
          <w:sz w:val="10"/>
          <w:szCs w:val="10"/>
          <w:b w:val="1"/>
          <w:bCs w:val="1"/>
          <w:i w:val="1"/>
          <w:iCs w:val="1"/>
          <w:color w:val="auto"/>
        </w:rPr>
        <w:t>Pre-Funded Warrants</w:t>
      </w:r>
      <w:r>
        <w:rPr>
          <w:rFonts w:ascii="Times New Roman" w:cs="Times New Roman" w:eastAsia="Times New Roman" w:hAnsi="Times New Roman"/>
          <w:sz w:val="10"/>
          <w:szCs w:val="10"/>
          <w:color w:val="auto"/>
        </w:rPr>
        <w:t>”), in lieu of Ordinary Shares. Each Pre-Funded Warrant will be exercisable for one Ordinary Share. The purchase price of each Pre-Funded Warrant will equal the price per Ordinary Share being sold to the public in this offering, minus $ 0.001, and the exercise price of each Pre-Funded Warrant will be $0.001 per share. For each Pre-Funded Warrant that we sell, the number of Ordinary Shares that we are offering will be decreased on a one-for-one basis. We are also registering the Ordinary Shares issuable upon exercise of the Offering Warrants and Pre-Funded Warrants pursuant to this prospectus.</w:t>
      </w:r>
    </w:p>
    <w:p>
      <w:pPr>
        <w:spacing w:after="0" w:line="10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0"/>
          <w:szCs w:val="10"/>
          <w:color w:val="auto"/>
        </w:rPr>
        <w:t>We have engaged H.C. Wainwright &amp; Co., LLC (the “</w:t>
      </w:r>
      <w:r>
        <w:rPr>
          <w:rFonts w:ascii="Times New Roman" w:cs="Times New Roman" w:eastAsia="Times New Roman" w:hAnsi="Times New Roman"/>
          <w:sz w:val="10"/>
          <w:szCs w:val="10"/>
          <w:b w:val="1"/>
          <w:bCs w:val="1"/>
          <w:i w:val="1"/>
          <w:iCs w:val="1"/>
          <w:color w:val="auto"/>
        </w:rPr>
        <w:t>Placement Agent</w:t>
      </w:r>
      <w:r>
        <w:rPr>
          <w:rFonts w:ascii="Times New Roman" w:cs="Times New Roman" w:eastAsia="Times New Roman" w:hAnsi="Times New Roman"/>
          <w:sz w:val="10"/>
          <w:szCs w:val="10"/>
          <w:color w:val="auto"/>
        </w:rPr>
        <w:t>”), to act as our exclusive placement agent,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w:t>
      </w:r>
    </w:p>
    <w:p>
      <w:pPr>
        <w:spacing w:after="0" w:line="9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0"/>
          <w:szCs w:val="10"/>
          <w:color w:val="auto"/>
        </w:rPr>
        <w:t>The securities will be offered at a fixed price and are expected to be issued in a single closing. The offering will terminate on December 31, 2024, unless (i) the closing occurs prior thereto or (ii) we decide to terminate the offering prior thereto (which we may do at any time in our discretion). Investors purchasing securities offered hereby will be required to execute a securities purchase agreement with us. The offer of securities is only open to acceptance (by way of the entering the securities purchase agreement) to fewer than 150 Qualified Investors. We expect that the closing of the offering will occur one trading day after we price the securities offered hereby. When we price the securities, we will simultaneously enter into securities purchase agreements relating to the offering with those investors who so choose.</w:t>
      </w:r>
    </w:p>
    <w:p>
      <w:pPr>
        <w:spacing w:after="0" w:line="10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0"/>
          <w:szCs w:val="10"/>
          <w:color w:val="auto"/>
        </w:rPr>
        <w:t>Since we will deliver the securities to be issued in this offering upon our receipt of investor funds, we and the Placement Agent have not made any arrangements to place investor funds in an escrow account or trust account. Because this is a best-efforts offering, the Placement Agent does not have an obligation to purchase any securities, and, as a result, there is a possibility that we may not be able to sell the securities. There is no minimum offering requirement as a condition of closing of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155575</wp:posOffset>
            </wp:positionV>
            <wp:extent cx="6778625" cy="34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3" w:right="640" w:bottom="1440" w:gutter="0" w:footer="0" w:header="0"/>
        </w:sectPr>
      </w:pPr>
    </w:p>
    <w:bookmarkStart w:id="2" w:name="page3"/>
    <w:bookmarkEnd w:id="2"/>
    <w:p>
      <w:pPr>
        <w:ind w:left="10" w:right="40"/>
        <w:spacing w:after="0" w:line="245" w:lineRule="auto"/>
        <w:rPr>
          <w:sz w:val="20"/>
          <w:szCs w:val="20"/>
          <w:color w:val="auto"/>
        </w:rPr>
      </w:pPr>
      <w:r>
        <w:rPr>
          <w:rFonts w:ascii="Times New Roman" w:cs="Times New Roman" w:eastAsia="Times New Roman" w:hAnsi="Times New Roman"/>
          <w:sz w:val="10"/>
          <w:szCs w:val="10"/>
          <w:color w:val="auto"/>
        </w:rPr>
        <w:t>because there is no escrow account and no minimum offering amount, investors could be in a position where they have invested in our company, but we are unable to fulfill all of our contemplated objectives due to a lack of interest in this offering. Further, any proceeds from the sale of securities offered by us will be available for our immediate use, despite uncertainty about whether we would be able to use such funds to effectively implement our business plan. We will bear all costs associated with the offering. See “Plan of Distribution” on page 124 of this prospectus for more information regarding these arrangements.</w:t>
      </w:r>
    </w:p>
    <w:p>
      <w:pPr>
        <w:spacing w:after="0" w:line="1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Our Ordinary Shares and public warrants trade are on the Nasdaq Stock Market LLC (“</w:t>
      </w:r>
      <w:r>
        <w:rPr>
          <w:rFonts w:ascii="Times New Roman" w:cs="Times New Roman" w:eastAsia="Times New Roman" w:hAnsi="Times New Roman"/>
          <w:sz w:val="9"/>
          <w:szCs w:val="9"/>
          <w:b w:val="1"/>
          <w:bCs w:val="1"/>
          <w:i w:val="1"/>
          <w:iCs w:val="1"/>
          <w:color w:val="auto"/>
        </w:rPr>
        <w:t>Nasdaq</w:t>
      </w:r>
      <w:r>
        <w:rPr>
          <w:rFonts w:ascii="Times New Roman" w:cs="Times New Roman" w:eastAsia="Times New Roman" w:hAnsi="Times New Roman"/>
          <w:sz w:val="9"/>
          <w:szCs w:val="9"/>
          <w:color w:val="auto"/>
        </w:rPr>
        <w:t>”) under the symbols “RZLV” and “RZLVW”, respectively. On December 17, 2024, the last reported sale price of our Ordinary Shares and public warrants on Nasdaq were</w:t>
      </w:r>
    </w:p>
    <w:p>
      <w:pPr>
        <w:spacing w:after="0" w:line="21" w:lineRule="exact"/>
        <w:rPr>
          <w:sz w:val="20"/>
          <w:szCs w:val="20"/>
          <w:color w:val="auto"/>
        </w:rPr>
      </w:pPr>
    </w:p>
    <w:p>
      <w:pPr>
        <w:ind w:left="10" w:right="20"/>
        <w:spacing w:after="0" w:line="236" w:lineRule="auto"/>
        <w:rPr>
          <w:sz w:val="20"/>
          <w:szCs w:val="20"/>
          <w:color w:val="auto"/>
        </w:rPr>
      </w:pPr>
      <w:r>
        <w:rPr>
          <w:rFonts w:ascii="Times New Roman" w:cs="Times New Roman" w:eastAsia="Times New Roman" w:hAnsi="Times New Roman"/>
          <w:sz w:val="10"/>
          <w:szCs w:val="10"/>
          <w:color w:val="auto"/>
        </w:rPr>
        <w:t>$3.29 and $0.37, respectively. The actual offering price per Ordinary Share and accompanying Offering Warrant, and per Pre-Funded Warrant and accompanying Offering Warrant, will be determined between us, the Placement Agent and the investors in this offering at the time of pricing, and may be at a discount to the current market price for the Ordinary Shares. Therefore, the recent market price used throughout this preliminary prospectus as an assumed offering price per Ordinary Share and accompanying Offering Warrant may not be indicative of the final offering price. There is no established public trading market for the Offering Warrants and Pre-Funded Warrants, and we do not expect such a market to develop. Without an active trading market, the liquidity of the Offering Warrants and Pre-Funded Warrants will be limited. In addition, we do not intend to list the Offering Warrants and Pre-Funded Warrants on Nasdaq, any other national securities exchange or any other trading system.</w:t>
      </w:r>
    </w:p>
    <w:p>
      <w:pPr>
        <w:spacing w:after="0" w:line="2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We are an “emerging growth company,” as that term is used in the Jumpstart Our Business Startups Act of 2012, or JOBS Act, and, as such, we have elected to comply with certain reduced public company reporting requirements.</w:t>
      </w:r>
    </w:p>
    <w:p>
      <w:pPr>
        <w:spacing w:after="0" w:line="1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 xml:space="preserve">Investing in our securities involves risks. See </w:t>
      </w:r>
      <w:r>
        <w:rPr>
          <w:rFonts w:ascii="Times New Roman" w:cs="Times New Roman" w:eastAsia="Times New Roman" w:hAnsi="Times New Roman"/>
          <w:sz w:val="10"/>
          <w:szCs w:val="10"/>
          <w:b w:val="1"/>
          <w:bCs w:val="1"/>
          <w:i w:val="1"/>
          <w:iCs w:val="1"/>
          <w:color w:val="auto"/>
        </w:rPr>
        <w:t>“Risk Factors”</w:t>
      </w:r>
      <w:r>
        <w:rPr>
          <w:rFonts w:ascii="Times New Roman" w:cs="Times New Roman" w:eastAsia="Times New Roman" w:hAnsi="Times New Roman"/>
          <w:sz w:val="10"/>
          <w:szCs w:val="10"/>
          <w:b w:val="1"/>
          <w:bCs w:val="1"/>
          <w:color w:val="auto"/>
        </w:rPr>
        <w:t xml:space="preserve"> beginning on page 8 and in any applicable prospectus supplement.</w:t>
      </w:r>
    </w:p>
    <w:p>
      <w:pPr>
        <w:spacing w:after="0" w:line="1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gridSpan w:val="4"/>
          </w:tcPr>
          <w:p>
            <w:pPr>
              <w:jc w:val="center"/>
              <w:ind w:right="696"/>
              <w:spacing w:after="0"/>
              <w:rPr>
                <w:sz w:val="20"/>
                <w:szCs w:val="20"/>
                <w:color w:val="auto"/>
              </w:rPr>
            </w:pPr>
            <w:r>
              <w:rPr>
                <w:rFonts w:ascii="Times New Roman" w:cs="Times New Roman" w:eastAsia="Times New Roman" w:hAnsi="Times New Roman"/>
                <w:sz w:val="10"/>
                <w:szCs w:val="10"/>
                <w:b w:val="1"/>
                <w:bCs w:val="1"/>
                <w:color w:val="auto"/>
                <w:w w:val="96"/>
              </w:rPr>
              <w:t>Per Ordinary</w:t>
            </w:r>
          </w:p>
        </w:tc>
        <w:tc>
          <w:tcPr>
            <w:tcW w:w="2700" w:type="dxa"/>
            <w:vAlign w:val="bottom"/>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3"/>
              </w:rPr>
              <w:t>Per</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1"/>
        </w:trPr>
        <w:tc>
          <w:tcPr>
            <w:tcW w:w="4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0"/>
                <w:szCs w:val="10"/>
                <w:b w:val="1"/>
                <w:bCs w:val="1"/>
                <w:color w:val="auto"/>
                <w:w w:val="97"/>
              </w:rPr>
              <w:t>Share and Offering Warrant</w:t>
            </w:r>
          </w:p>
        </w:tc>
        <w:tc>
          <w:tcPr>
            <w:tcW w:w="220" w:type="dxa"/>
            <w:vAlign w:val="bottom"/>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8"/>
              </w:rPr>
              <w:t>Pre-Funded Warrant and Offering Warrant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2"/>
                <w:szCs w:val="12"/>
                <w:color w:val="auto"/>
              </w:rPr>
            </w:pPr>
          </w:p>
        </w:tc>
      </w:tr>
      <w:tr>
        <w:trPr>
          <w:trHeight w:val="103"/>
        </w:trPr>
        <w:tc>
          <w:tcPr>
            <w:tcW w:w="4320" w:type="dxa"/>
            <w:vAlign w:val="bottom"/>
            <w:tcBorders>
              <w:top w:val="single" w:sz="8" w:color="CCEEFF"/>
            </w:tcBorders>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Offering price</w:t>
            </w:r>
          </w:p>
        </w:tc>
        <w:tc>
          <w:tcPr>
            <w:tcW w:w="220" w:type="dxa"/>
            <w:vAlign w:val="bottom"/>
            <w:tcBorders>
              <w:top w:val="single" w:sz="8" w:color="CCEEFF"/>
            </w:tcBorders>
            <w:shd w:val="clear" w:color="auto" w:fill="CCEEFF"/>
          </w:tcPr>
          <w:p>
            <w:pPr>
              <w:jc w:val="right"/>
              <w:ind w:right="111"/>
              <w:spacing w:after="0" w:line="103" w:lineRule="exact"/>
              <w:rPr>
                <w:sz w:val="20"/>
                <w:szCs w:val="20"/>
                <w:color w:val="auto"/>
              </w:rPr>
            </w:pPr>
            <w:r>
              <w:rPr>
                <w:rFonts w:ascii="Times New Roman" w:cs="Times New Roman" w:eastAsia="Times New Roman" w:hAnsi="Times New Roman"/>
                <w:sz w:val="10"/>
                <w:szCs w:val="10"/>
                <w:color w:val="auto"/>
                <w:w w:val="79"/>
              </w:rPr>
              <w:t>$</w:t>
            </w:r>
          </w:p>
        </w:tc>
        <w:tc>
          <w:tcPr>
            <w:tcW w:w="1820" w:type="dxa"/>
            <w:vAlign w:val="bottom"/>
            <w:tcBorders>
              <w:top w:val="single" w:sz="8" w:color="CCEEFF"/>
            </w:tcBorders>
            <w:gridSpan w:val="2"/>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270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gridSpan w:val="2"/>
            <w:shd w:val="clear" w:color="auto" w:fill="CCEEFF"/>
          </w:tcPr>
          <w:p>
            <w:pPr>
              <w:jc w:val="right"/>
              <w:ind w:right="731"/>
              <w:spacing w:after="0" w:line="10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8"/>
                <w:szCs w:val="8"/>
                <w:color w:val="auto"/>
              </w:rPr>
            </w:pPr>
          </w:p>
        </w:tc>
      </w:tr>
      <w:tr>
        <w:trPr>
          <w:trHeight w:val="135"/>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0"/>
                <w:szCs w:val="10"/>
                <w:color w:val="auto"/>
              </w:rPr>
              <w:t>Placement Agent Fees</w:t>
            </w:r>
            <w:r>
              <w:rPr>
                <w:rFonts w:ascii="Times New Roman" w:cs="Times New Roman" w:eastAsia="Times New Roman" w:hAnsi="Times New Roman"/>
                <w:sz w:val="13"/>
                <w:szCs w:val="13"/>
                <w:color w:val="auto"/>
                <w:vertAlign w:val="superscript"/>
              </w:rPr>
              <w:t>(1)</w:t>
            </w: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2240" w:type="dxa"/>
            <w:vAlign w:val="bottom"/>
            <w:gridSpan w:val="4"/>
          </w:tcPr>
          <w:p>
            <w:pPr>
              <w:jc w:val="right"/>
              <w:ind w:right="236"/>
              <w:spacing w:after="0"/>
              <w:rPr>
                <w:sz w:val="20"/>
                <w:szCs w:val="20"/>
                <w:color w:val="auto"/>
              </w:rPr>
            </w:pPr>
            <w:r>
              <w:rPr>
                <w:rFonts w:ascii="Times New Roman" w:cs="Times New Roman" w:eastAsia="Times New Roman" w:hAnsi="Times New Roman"/>
                <w:sz w:val="10"/>
                <w:szCs w:val="10"/>
                <w:color w:val="auto"/>
              </w:rPr>
              <w:t>$</w:t>
            </w:r>
          </w:p>
        </w:tc>
        <w:tc>
          <w:tcPr>
            <w:tcW w:w="2700" w:type="dxa"/>
            <w:vAlign w:val="bottom"/>
          </w:tcPr>
          <w:p>
            <w:pPr>
              <w:spacing w:after="0"/>
              <w:rPr>
                <w:sz w:val="11"/>
                <w:szCs w:val="11"/>
                <w:color w:val="auto"/>
              </w:rPr>
            </w:pPr>
          </w:p>
        </w:tc>
        <w:tc>
          <w:tcPr>
            <w:tcW w:w="1040" w:type="dxa"/>
            <w:vAlign w:val="bottom"/>
            <w:gridSpan w:val="2"/>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r>
      <w:tr>
        <w:trPr>
          <w:trHeight w:val="135"/>
        </w:trPr>
        <w:tc>
          <w:tcPr>
            <w:tcW w:w="4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Proceeds to us, before expenses</w:t>
            </w:r>
            <w:r>
              <w:rPr>
                <w:rFonts w:ascii="Times New Roman" w:cs="Times New Roman" w:eastAsia="Times New Roman" w:hAnsi="Times New Roman"/>
                <w:sz w:val="13"/>
                <w:szCs w:val="13"/>
                <w:color w:val="auto"/>
                <w:vertAlign w:val="superscript"/>
              </w:rPr>
              <w:t>(2)</w:t>
            </w:r>
          </w:p>
        </w:tc>
        <w:tc>
          <w:tcPr>
            <w:tcW w:w="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2240" w:type="dxa"/>
            <w:vAlign w:val="bottom"/>
            <w:gridSpan w:val="4"/>
            <w:shd w:val="clear" w:color="auto" w:fill="CCEEFF"/>
          </w:tcPr>
          <w:p>
            <w:pPr>
              <w:jc w:val="right"/>
              <w:ind w:right="236"/>
              <w:spacing w:after="0"/>
              <w:rPr>
                <w:sz w:val="20"/>
                <w:szCs w:val="20"/>
                <w:color w:val="auto"/>
              </w:rPr>
            </w:pPr>
            <w:r>
              <w:rPr>
                <w:rFonts w:ascii="Times New Roman" w:cs="Times New Roman" w:eastAsia="Times New Roman" w:hAnsi="Times New Roman"/>
                <w:sz w:val="10"/>
                <w:szCs w:val="10"/>
                <w:color w:val="auto"/>
              </w:rPr>
              <w:t>$</w:t>
            </w:r>
          </w:p>
        </w:tc>
        <w:tc>
          <w:tcPr>
            <w:tcW w:w="27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r>
    </w:tbl>
    <w:p>
      <w:pPr>
        <w:spacing w:after="0" w:line="106" w:lineRule="exact"/>
        <w:rPr>
          <w:sz w:val="20"/>
          <w:szCs w:val="20"/>
          <w:color w:val="auto"/>
        </w:rPr>
      </w:pPr>
    </w:p>
    <w:p>
      <w:pPr>
        <w:ind w:left="10" w:hanging="10"/>
        <w:spacing w:after="0" w:line="255" w:lineRule="auto"/>
        <w:tabs>
          <w:tab w:leader="none" w:pos="148"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have agreed to pay the Placement Agent a cash fee equal to 5.5% of the gross proceeds raised in this offering. We have also agreed to reimburse the Placement Agent for certain of its offering-related expenses, including reimbursement for legal fees and other out-of-pocket expenses in the amount of up to $150,000, and for its clearing expenses in the amount of up to $15,950. For more information about the compensation to be received by the placement agent, see “Plan of Distribution”.</w:t>
      </w:r>
    </w:p>
    <w:p>
      <w:pPr>
        <w:spacing w:after="0" w:line="93" w:lineRule="exact"/>
        <w:rPr>
          <w:rFonts w:ascii="Times New Roman" w:cs="Times New Roman" w:eastAsia="Times New Roman" w:hAnsi="Times New Roman"/>
          <w:sz w:val="10"/>
          <w:szCs w:val="10"/>
          <w:color w:val="auto"/>
        </w:rPr>
      </w:pPr>
    </w:p>
    <w:p>
      <w:pPr>
        <w:ind w:left="10" w:right="80" w:hanging="10"/>
        <w:spacing w:after="0" w:line="255" w:lineRule="auto"/>
        <w:tabs>
          <w:tab w:leader="none" w:pos="148"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For more information, see “Plan of Distribution.”</w:t>
      </w:r>
    </w:p>
    <w:p>
      <w:pPr>
        <w:spacing w:after="0" w:line="93" w:lineRule="exact"/>
        <w:rPr>
          <w:sz w:val="20"/>
          <w:szCs w:val="20"/>
          <w:color w:val="auto"/>
        </w:rPr>
      </w:pPr>
    </w:p>
    <w:p>
      <w:pPr>
        <w:ind w:left="10"/>
        <w:spacing w:after="0"/>
        <w:tabs>
          <w:tab w:leader="none" w:pos="6170" w:val="left"/>
        </w:tabs>
        <w:rPr>
          <w:sz w:val="20"/>
          <w:szCs w:val="20"/>
          <w:color w:val="auto"/>
        </w:rPr>
      </w:pPr>
      <w:r>
        <w:rPr>
          <w:rFonts w:ascii="Times New Roman" w:cs="Times New Roman" w:eastAsia="Times New Roman" w:hAnsi="Times New Roman"/>
          <w:sz w:val="10"/>
          <w:szCs w:val="10"/>
          <w:color w:val="auto"/>
        </w:rPr>
        <w:t>The delivery to purchasers of the Ordinary Shares, Pre-Funded Warrants and Offering Warrants in this offering is expected to be made on or about</w:t>
      </w:r>
      <w:r>
        <w:rPr>
          <w:sz w:val="20"/>
          <w:szCs w:val="20"/>
          <w:color w:val="auto"/>
        </w:rPr>
        <w:tab/>
      </w:r>
      <w:r>
        <w:rPr>
          <w:rFonts w:ascii="Times New Roman" w:cs="Times New Roman" w:eastAsia="Times New Roman" w:hAnsi="Times New Roman"/>
          <w:sz w:val="9"/>
          <w:szCs w:val="9"/>
          <w:color w:val="auto"/>
        </w:rPr>
        <w:t>, 2024, subject to satisfaction of certain customary closing conditions.</w:t>
      </w:r>
    </w:p>
    <w:p>
      <w:pPr>
        <w:spacing w:after="0" w:line="110" w:lineRule="exact"/>
        <w:rPr>
          <w:sz w:val="20"/>
          <w:szCs w:val="20"/>
          <w:color w:val="auto"/>
        </w:rPr>
      </w:pPr>
    </w:p>
    <w:p>
      <w:pPr>
        <w:jc w:val="both"/>
        <w:ind w:left="10" w:right="100"/>
        <w:spacing w:after="0" w:line="245" w:lineRule="auto"/>
        <w:rPr>
          <w:sz w:val="20"/>
          <w:szCs w:val="20"/>
          <w:color w:val="auto"/>
        </w:rPr>
      </w:pPr>
      <w:r>
        <w:rPr>
          <w:rFonts w:ascii="Times New Roman" w:cs="Times New Roman" w:eastAsia="Times New Roman" w:hAnsi="Times New Roman"/>
          <w:sz w:val="10"/>
          <w:szCs w:val="10"/>
          <w:color w:val="auto"/>
        </w:rPr>
        <w:t>For the purpose of the law of the United Kingdom, this document does not constitute an offer or any part of an offer of transferable securities to the public within the meaning of sections 85 and 102B of Financial Services and Markets Act 2000 of the United Kingdom, as amended ("</w:t>
      </w:r>
      <w:r>
        <w:rPr>
          <w:rFonts w:ascii="Times New Roman" w:cs="Times New Roman" w:eastAsia="Times New Roman" w:hAnsi="Times New Roman"/>
          <w:sz w:val="10"/>
          <w:szCs w:val="10"/>
          <w:b w:val="1"/>
          <w:bCs w:val="1"/>
          <w:color w:val="auto"/>
        </w:rPr>
        <w:t>FSMA</w:t>
      </w:r>
      <w:r>
        <w:rPr>
          <w:rFonts w:ascii="Times New Roman" w:cs="Times New Roman" w:eastAsia="Times New Roman" w:hAnsi="Times New Roman"/>
          <w:sz w:val="10"/>
          <w:szCs w:val="10"/>
          <w:color w:val="auto"/>
        </w:rPr>
        <w:t>"), the UK Companies Act 2006 or otherwise. Accordingly, this document does not constitute a prospectus within the meaning of section 85 of FSMA and has not been drawn up in accordance with the Prospectus Regulation Rules and has not been nor will it be approved by, or filed with, the UK Financial Conduct Authority (“</w:t>
      </w:r>
      <w:r>
        <w:rPr>
          <w:rFonts w:ascii="Times New Roman" w:cs="Times New Roman" w:eastAsia="Times New Roman" w:hAnsi="Times New Roman"/>
          <w:sz w:val="10"/>
          <w:szCs w:val="10"/>
          <w:b w:val="1"/>
          <w:bCs w:val="1"/>
          <w:color w:val="auto"/>
        </w:rPr>
        <w:t>FCA</w:t>
      </w:r>
      <w:r>
        <w:rPr>
          <w:rFonts w:ascii="Times New Roman" w:cs="Times New Roman" w:eastAsia="Times New Roman" w:hAnsi="Times New Roman"/>
          <w:sz w:val="10"/>
          <w:szCs w:val="10"/>
          <w:color w:val="auto"/>
        </w:rPr>
        <w:t>”).</w:t>
      </w:r>
    </w:p>
    <w:p>
      <w:pPr>
        <w:spacing w:after="0" w:line="98" w:lineRule="exact"/>
        <w:rPr>
          <w:sz w:val="20"/>
          <w:szCs w:val="20"/>
          <w:color w:val="auto"/>
        </w:rPr>
      </w:pPr>
    </w:p>
    <w:p>
      <w:pPr>
        <w:ind w:left="10" w:right="140"/>
        <w:spacing w:after="0" w:line="255" w:lineRule="auto"/>
        <w:rPr>
          <w:sz w:val="20"/>
          <w:szCs w:val="20"/>
          <w:color w:val="auto"/>
        </w:rPr>
      </w:pPr>
      <w:r>
        <w:rPr>
          <w:rFonts w:ascii="Times New Roman" w:cs="Times New Roman" w:eastAsia="Times New Roman" w:hAnsi="Times New Roman"/>
          <w:sz w:val="10"/>
          <w:szCs w:val="10"/>
          <w:color w:val="auto"/>
        </w:rPr>
        <w:t>This document (and the information contained herein) does not contain or constitute an offer of securities for sale, or solicitation of an offer to purchase securities, in the United Kingdom, the EEA, Australia, Hong Kong, Canada, Japan or the Republic of South Africa or any other jurisdiction where such an offer or solicitation would be unlawful.</w:t>
      </w:r>
    </w:p>
    <w:p>
      <w:pPr>
        <w:spacing w:after="0" w:line="91" w:lineRule="exact"/>
        <w:rPr>
          <w:sz w:val="20"/>
          <w:szCs w:val="20"/>
          <w:color w:val="auto"/>
        </w:rPr>
      </w:pPr>
    </w:p>
    <w:p>
      <w:pPr>
        <w:ind w:left="10" w:right="80"/>
        <w:spacing w:after="0" w:line="259" w:lineRule="auto"/>
        <w:rPr>
          <w:sz w:val="20"/>
          <w:szCs w:val="20"/>
          <w:color w:val="auto"/>
        </w:rPr>
      </w:pPr>
      <w:r>
        <w:rPr>
          <w:rFonts w:ascii="Times New Roman" w:cs="Times New Roman" w:eastAsia="Times New Roman" w:hAnsi="Times New Roman"/>
          <w:sz w:val="10"/>
          <w:szCs w:val="10"/>
          <w:color w:val="auto"/>
        </w:rPr>
        <w:t xml:space="preserve">For the purpose of the law of the United Kingdom, this document is for information purposes only and the offer of Ordinary Shares referred to herein is strictly made only to Qualifying Investors (and is only capable of acceptance by Qualified Investors). </w:t>
      </w:r>
      <w:r>
        <w:rPr>
          <w:rFonts w:ascii="Times New Roman" w:cs="Times New Roman" w:eastAsia="Times New Roman" w:hAnsi="Times New Roman"/>
          <w:sz w:val="10"/>
          <w:szCs w:val="10"/>
          <w:b w:val="1"/>
          <w:bCs w:val="1"/>
          <w:u w:val="single" w:color="auto"/>
          <w:color w:val="auto"/>
        </w:rPr>
        <w:t>Members of the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u w:val="single" w:color="auto"/>
          <w:color w:val="auto"/>
        </w:rPr>
        <w:t>public</w:t>
      </w:r>
      <w:r>
        <w:rPr>
          <w:rFonts w:ascii="Times New Roman" w:cs="Times New Roman" w:eastAsia="Times New Roman" w:hAnsi="Times New Roman"/>
          <w:sz w:val="10"/>
          <w:szCs w:val="10"/>
          <w:b w:val="1"/>
          <w:bCs w:val="1"/>
          <w:color w:val="auto"/>
        </w:rPr>
        <w:t xml:space="preserve"> within the meaning of sections 85 and 102B of Financial Services and Markets Act 2000 of the United Kingdom, as amended ("FSMA"), the UK Companies Act 2006 or otherwise are not eligible to take part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220980</wp:posOffset>
            </wp:positionV>
            <wp:extent cx="6778625"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-17780</wp:posOffset>
            </wp:positionV>
            <wp:extent cx="1138555" cy="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8555" cy="5080"/>
                    </a:xfrm>
                    <a:prstGeom prst="rect">
                      <a:avLst/>
                    </a:prstGeom>
                    <a:noFill/>
                  </pic:spPr>
                </pic:pic>
              </a:graphicData>
            </a:graphic>
          </wp:anchor>
        </w:drawing>
      </w:r>
    </w:p>
    <w:p>
      <w:pPr>
        <w:sectPr>
          <w:pgSz w:w="11900" w:h="16840" w:orient="portrait"/>
          <w:cols w:equalWidth="0" w:num="1">
            <w:col w:w="10670"/>
          </w:cols>
          <w:pgMar w:left="630" w:top="1155" w:right="600" w:bottom="1440" w:gutter="0" w:footer="0" w:header="0"/>
        </w:sectPr>
      </w:pPr>
    </w:p>
    <w:bookmarkStart w:id="3" w:name="page4"/>
    <w:bookmarkEnd w:id="3"/>
    <w:p>
      <w:pPr>
        <w:ind w:right="100"/>
        <w:spacing w:after="0" w:line="259" w:lineRule="auto"/>
        <w:rPr>
          <w:sz w:val="20"/>
          <w:szCs w:val="20"/>
          <w:color w:val="auto"/>
        </w:rPr>
      </w:pPr>
      <w:r>
        <w:rPr>
          <w:rFonts w:ascii="Times New Roman" w:cs="Times New Roman" w:eastAsia="Times New Roman" w:hAnsi="Times New Roman"/>
          <w:sz w:val="10"/>
          <w:szCs w:val="10"/>
          <w:color w:val="auto"/>
        </w:rPr>
        <w:t>A "</w:t>
      </w:r>
      <w:r>
        <w:rPr>
          <w:rFonts w:ascii="Times New Roman" w:cs="Times New Roman" w:eastAsia="Times New Roman" w:hAnsi="Times New Roman"/>
          <w:sz w:val="10"/>
          <w:szCs w:val="10"/>
          <w:b w:val="1"/>
          <w:bCs w:val="1"/>
          <w:color w:val="auto"/>
        </w:rPr>
        <w:t>Qualifying Investor</w:t>
      </w:r>
      <w:r>
        <w:rPr>
          <w:rFonts w:ascii="Times New Roman" w:cs="Times New Roman" w:eastAsia="Times New Roman" w:hAnsi="Times New Roman"/>
          <w:sz w:val="10"/>
          <w:szCs w:val="10"/>
          <w:color w:val="auto"/>
        </w:rPr>
        <w:t>" means “accredited investor” as defined in Rule 501(a)(1), (a)(2), (a)(3), (a)(7), (a)(8), (a)(9), (a)(12), or (a)(13) under the Securities Act of 1933, as amended, and the rules and regulations promulgated thereunder (the "</w:t>
      </w:r>
      <w:r>
        <w:rPr>
          <w:rFonts w:ascii="Times New Roman" w:cs="Times New Roman" w:eastAsia="Times New Roman" w:hAnsi="Times New Roman"/>
          <w:sz w:val="10"/>
          <w:szCs w:val="10"/>
          <w:b w:val="1"/>
          <w:bCs w:val="1"/>
          <w:color w:val="auto"/>
        </w:rPr>
        <w:t>Securities Act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provided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that:</w:t>
      </w:r>
    </w:p>
    <w:p>
      <w:pPr>
        <w:spacing w:after="0" w:line="151" w:lineRule="exact"/>
        <w:rPr>
          <w:sz w:val="20"/>
          <w:szCs w:val="20"/>
          <w:color w:val="auto"/>
        </w:rPr>
      </w:pPr>
    </w:p>
    <w:p>
      <w:pPr>
        <w:ind w:left="480"/>
        <w:spacing w:after="0" w:line="241" w:lineRule="auto"/>
        <w:rPr>
          <w:sz w:val="20"/>
          <w:szCs w:val="20"/>
          <w:color w:val="auto"/>
        </w:rPr>
      </w:pPr>
      <w:r>
        <w:rPr>
          <w:rFonts w:ascii="Times New Roman" w:cs="Times New Roman" w:eastAsia="Times New Roman" w:hAnsi="Times New Roman"/>
          <w:sz w:val="10"/>
          <w:szCs w:val="10"/>
          <w:color w:val="auto"/>
        </w:rPr>
        <w:t>(i)to the extent a Qualifying Investor is in the UK, they must also qualify as a "qualified investor" within the meaning of Article 2(1)(e) of the Prospectus Regulation, which forms part of retained EU law in the United Kingdom by virtue of the European Union (Withdrawal) Act 2018 (“</w:t>
      </w:r>
      <w:r>
        <w:rPr>
          <w:rFonts w:ascii="Times New Roman" w:cs="Times New Roman" w:eastAsia="Times New Roman" w:hAnsi="Times New Roman"/>
          <w:sz w:val="10"/>
          <w:szCs w:val="10"/>
          <w:b w:val="1"/>
          <w:bCs w:val="1"/>
          <w:color w:val="auto"/>
        </w:rPr>
        <w:t>UK Prospectus Regulation</w:t>
      </w:r>
      <w:r>
        <w:rPr>
          <w:rFonts w:ascii="Times New Roman" w:cs="Times New Roman" w:eastAsia="Times New Roman" w:hAnsi="Times New Roman"/>
          <w:sz w:val="10"/>
          <w:szCs w:val="10"/>
          <w:color w:val="auto"/>
        </w:rPr>
        <w:t>”) (“</w:t>
      </w:r>
      <w:r>
        <w:rPr>
          <w:rFonts w:ascii="Times New Roman" w:cs="Times New Roman" w:eastAsia="Times New Roman" w:hAnsi="Times New Roman"/>
          <w:sz w:val="10"/>
          <w:szCs w:val="10"/>
          <w:b w:val="1"/>
          <w:bCs w:val="1"/>
          <w:color w:val="auto"/>
        </w:rPr>
        <w:t>UK Qualified Investors</w:t>
      </w:r>
      <w:r>
        <w:rPr>
          <w:rFonts w:ascii="Times New Roman" w:cs="Times New Roman" w:eastAsia="Times New Roman" w:hAnsi="Times New Roman"/>
          <w:sz w:val="10"/>
          <w:szCs w:val="10"/>
          <w:color w:val="auto"/>
        </w:rPr>
        <w:t>”). In addition, in the United Kingdom, this document is addressed to, and directed only at, UK Qualified Investors who (i) are persons who have professional experience in matters relating to investments falling within article 19(5) of the Financial Services and Markets Act 2000 (Financial Promotion) Order 2005 (the “</w:t>
      </w:r>
      <w:r>
        <w:rPr>
          <w:rFonts w:ascii="Times New Roman" w:cs="Times New Roman" w:eastAsia="Times New Roman" w:hAnsi="Times New Roman"/>
          <w:sz w:val="10"/>
          <w:szCs w:val="10"/>
          <w:b w:val="1"/>
          <w:bCs w:val="1"/>
          <w:color w:val="auto"/>
        </w:rPr>
        <w:t>Order</w:t>
      </w:r>
      <w:r>
        <w:rPr>
          <w:rFonts w:ascii="Times New Roman" w:cs="Times New Roman" w:eastAsia="Times New Roman" w:hAnsi="Times New Roman"/>
          <w:sz w:val="10"/>
          <w:szCs w:val="10"/>
          <w:color w:val="auto"/>
        </w:rPr>
        <w:t>”), (ii) are persons who are high net worth entities falling within article 49(2)(a) to (d) of the Order, or (iii) are other persons to whom it may otherwise lawfully be communicated; and</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(ii)to the extent a Qualifying Investor is in the European Economic Area (the “</w:t>
      </w:r>
      <w:r>
        <w:rPr>
          <w:rFonts w:ascii="Times New Roman" w:cs="Times New Roman" w:eastAsia="Times New Roman" w:hAnsi="Times New Roman"/>
          <w:sz w:val="9"/>
          <w:szCs w:val="9"/>
          <w:b w:val="1"/>
          <w:bCs w:val="1"/>
          <w:color w:val="auto"/>
        </w:rPr>
        <w:t>EEA</w:t>
      </w:r>
      <w:r>
        <w:rPr>
          <w:rFonts w:ascii="Times New Roman" w:cs="Times New Roman" w:eastAsia="Times New Roman" w:hAnsi="Times New Roman"/>
          <w:sz w:val="9"/>
          <w:szCs w:val="9"/>
          <w:color w:val="auto"/>
        </w:rPr>
        <w:t>”), they must also qualify as a "qualified investor" within the meaning of Article 2(1)(e) of the Prospectus Regulation (Regulation EU 2017/1129 and amendments thereto).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H.C. Wainwright &amp; Co.</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740" w:type="dxa"/>
            <w:vAlign w:val="bottom"/>
          </w:tcPr>
          <w:p>
            <w:pPr>
              <w:ind w:left="4440"/>
              <w:spacing w:after="0"/>
              <w:rPr>
                <w:sz w:val="20"/>
                <w:szCs w:val="20"/>
                <w:color w:val="auto"/>
              </w:rPr>
            </w:pPr>
            <w:r>
              <w:rPr>
                <w:rFonts w:ascii="Times New Roman" w:cs="Times New Roman" w:eastAsia="Times New Roman" w:hAnsi="Times New Roman"/>
                <w:sz w:val="10"/>
                <w:szCs w:val="10"/>
                <w:color w:val="auto"/>
              </w:rPr>
              <w:t>The date of this prospectus is</w:t>
            </w:r>
          </w:p>
        </w:tc>
        <w:tc>
          <w:tcPr>
            <w:tcW w:w="4880" w:type="dxa"/>
            <w:vAlign w:val="bottom"/>
          </w:tcPr>
          <w:p>
            <w:pPr>
              <w:jc w:val="right"/>
              <w:ind w:right="4391"/>
              <w:spacing w:after="0"/>
              <w:rPr>
                <w:sz w:val="20"/>
                <w:szCs w:val="20"/>
                <w:color w:val="auto"/>
              </w:rPr>
            </w:pPr>
            <w:r>
              <w:rPr>
                <w:rFonts w:ascii="Times New Roman" w:cs="Times New Roman" w:eastAsia="Times New Roman" w:hAnsi="Times New Roman"/>
                <w:sz w:val="10"/>
                <w:szCs w:val="10"/>
                <w:color w:val="auto"/>
              </w:rPr>
              <w:t>, 2024.</w:t>
            </w:r>
          </w:p>
        </w:tc>
      </w:tr>
      <w:tr>
        <w:trPr>
          <w:trHeight w:val="497"/>
        </w:trPr>
        <w:tc>
          <w:tcPr>
            <w:tcW w:w="574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27"/>
        </w:trPr>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0" w:type="dxa"/>
            <w:vAlign w:val="bottom"/>
            <w:gridSpan w:val="2"/>
          </w:tcPr>
          <w:p>
            <w:pPr>
              <w:ind w:left="1220"/>
              <w:spacing w:after="0"/>
              <w:rPr>
                <w:sz w:val="20"/>
                <w:szCs w:val="20"/>
                <w:color w:val="auto"/>
              </w:rPr>
            </w:pPr>
            <w:r>
              <w:rPr>
                <w:rFonts w:ascii="Times New Roman" w:cs="Times New Roman" w:eastAsia="Times New Roman" w:hAnsi="Times New Roman"/>
                <w:sz w:val="10"/>
                <w:szCs w:val="10"/>
                <w:b w:val="1"/>
                <w:bCs w:val="1"/>
                <w:color w:val="auto"/>
              </w:rPr>
              <w:t>TABLE OF CONTENTS</w:t>
            </w: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160" w:type="dxa"/>
            <w:vAlign w:val="bottom"/>
            <w:gridSpan w:val="20"/>
          </w:tcPr>
          <w:p>
            <w:pPr>
              <w:spacing w:after="0"/>
              <w:rPr>
                <w:rFonts w:ascii="Times New Roman" w:cs="Times New Roman" w:eastAsia="Times New Roman" w:hAnsi="Times New Roman"/>
                <w:sz w:val="10"/>
                <w:szCs w:val="10"/>
                <w:color w:val="0000FF"/>
              </w:rPr>
            </w:pPr>
            <w:hyperlink w:anchor="page6">
              <w:r>
                <w:rPr>
                  <w:rFonts w:ascii="Times New Roman" w:cs="Times New Roman" w:eastAsia="Times New Roman" w:hAnsi="Times New Roman"/>
                  <w:sz w:val="10"/>
                  <w:szCs w:val="10"/>
                  <w:color w:val="0000FF"/>
                </w:rPr>
                <w:t>ABOUT THIS PROSPECTUS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ii</w:t>
            </w:r>
          </w:p>
        </w:tc>
        <w:tc>
          <w:tcPr>
            <w:tcW w:w="0" w:type="dxa"/>
            <w:vAlign w:val="bottom"/>
          </w:tcPr>
          <w:p>
            <w:pPr>
              <w:spacing w:after="0"/>
              <w:rPr>
                <w:sz w:val="1"/>
                <w:szCs w:val="1"/>
                <w:color w:val="auto"/>
              </w:rPr>
            </w:pPr>
          </w:p>
        </w:tc>
      </w:tr>
      <w:tr>
        <w:trPr>
          <w:trHeight w:val="93"/>
        </w:trPr>
        <w:tc>
          <w:tcPr>
            <w:tcW w:w="1200" w:type="dxa"/>
            <w:vAlign w:val="bottom"/>
            <w:tcBorders>
              <w:top w:val="single" w:sz="8" w:color="0000FF"/>
            </w:tcBorders>
            <w:gridSpan w:val="10"/>
          </w:tcPr>
          <w:p>
            <w:pPr>
              <w:spacing w:after="0" w:line="93" w:lineRule="exact"/>
              <w:rPr>
                <w:rFonts w:ascii="Times New Roman" w:cs="Times New Roman" w:eastAsia="Times New Roman" w:hAnsi="Times New Roman"/>
                <w:sz w:val="10"/>
                <w:szCs w:val="10"/>
                <w:color w:val="0000FF"/>
              </w:rPr>
            </w:pPr>
            <w:hyperlink w:anchor="page7">
              <w:r>
                <w:rPr>
                  <w:rFonts w:ascii="Times New Roman" w:cs="Times New Roman" w:eastAsia="Times New Roman" w:hAnsi="Times New Roman"/>
                  <w:sz w:val="10"/>
                  <w:szCs w:val="10"/>
                  <w:color w:val="0000FF"/>
                </w:rPr>
                <w:t>TRADEMARKS</w:t>
              </w:r>
            </w:hyperlink>
          </w:p>
        </w:tc>
        <w:tc>
          <w:tcPr>
            <w:tcW w:w="6960" w:type="dxa"/>
            <w:vAlign w:val="bottom"/>
            <w:gridSpan w:val="10"/>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iii</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iv</w:t>
            </w:r>
          </w:p>
        </w:tc>
        <w:tc>
          <w:tcPr>
            <w:tcW w:w="0" w:type="dxa"/>
            <w:vAlign w:val="bottom"/>
          </w:tcPr>
          <w:p>
            <w:pPr>
              <w:spacing w:after="0" w:line="20" w:lineRule="exact"/>
              <w:rPr>
                <w:sz w:val="1"/>
                <w:szCs w:val="1"/>
                <w:color w:val="auto"/>
              </w:rPr>
            </w:pPr>
          </w:p>
        </w:tc>
      </w:tr>
      <w:tr>
        <w:trPr>
          <w:trHeight w:val="93"/>
        </w:trPr>
        <w:tc>
          <w:tcPr>
            <w:tcW w:w="112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5"/>
              </w:rPr>
            </w:pPr>
            <w:hyperlink w:anchor="page8">
              <w:r>
                <w:rPr>
                  <w:rFonts w:ascii="Times New Roman" w:cs="Times New Roman" w:eastAsia="Times New Roman" w:hAnsi="Times New Roman"/>
                  <w:sz w:val="10"/>
                  <w:szCs w:val="10"/>
                  <w:color w:val="0000FF"/>
                  <w:w w:val="95"/>
                </w:rPr>
                <w:t>SELECTED DEFINITIONS</w:t>
              </w:r>
            </w:hyperlink>
          </w:p>
        </w:tc>
        <w:tc>
          <w:tcPr>
            <w:tcW w:w="7040" w:type="dxa"/>
            <w:vAlign w:val="bottom"/>
            <w:gridSpan w:val="12"/>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80" w:type="dxa"/>
            <w:vAlign w:val="bottom"/>
            <w:tcBorders>
              <w:bottom w:val="single" w:sz="8" w:color="0000FF"/>
            </w:tcBorders>
            <w:gridSpan w:val="17"/>
          </w:tcPr>
          <w:p>
            <w:pPr>
              <w:spacing w:after="0" w:line="93" w:lineRule="exact"/>
              <w:rPr>
                <w:rFonts w:ascii="Times New Roman" w:cs="Times New Roman" w:eastAsia="Times New Roman" w:hAnsi="Times New Roman"/>
                <w:sz w:val="10"/>
                <w:szCs w:val="10"/>
                <w:color w:val="0000FF"/>
                <w:w w:val="97"/>
              </w:rPr>
            </w:pPr>
            <w:hyperlink w:anchor="page10">
              <w:r>
                <w:rPr>
                  <w:rFonts w:ascii="Times New Roman" w:cs="Times New Roman" w:eastAsia="Times New Roman" w:hAnsi="Times New Roman"/>
                  <w:sz w:val="10"/>
                  <w:szCs w:val="10"/>
                  <w:color w:val="0000FF"/>
                  <w:w w:val="97"/>
                </w:rPr>
                <w:t>CAUTIONARY NOTE REGARDING FORWARD-LOOKING STATEMENTS</w:t>
              </w:r>
            </w:hyperlink>
          </w:p>
        </w:tc>
        <w:tc>
          <w:tcPr>
            <w:tcW w:w="4980" w:type="dxa"/>
            <w:vAlign w:val="bottom"/>
            <w:gridSpan w:val="3"/>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vi</w:t>
            </w:r>
          </w:p>
        </w:tc>
        <w:tc>
          <w:tcPr>
            <w:tcW w:w="0" w:type="dxa"/>
            <w:vAlign w:val="bottom"/>
          </w:tcPr>
          <w:p>
            <w:pPr>
              <w:spacing w:after="0"/>
              <w:rPr>
                <w:sz w:val="1"/>
                <w:szCs w:val="1"/>
                <w:color w:val="auto"/>
              </w:rPr>
            </w:pPr>
          </w:p>
        </w:tc>
      </w:tr>
      <w:tr>
        <w:trPr>
          <w:trHeight w:val="93"/>
        </w:trPr>
        <w:tc>
          <w:tcPr>
            <w:tcW w:w="114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6"/>
              </w:rPr>
            </w:pPr>
            <w:hyperlink w:anchor="page11">
              <w:r>
                <w:rPr>
                  <w:rFonts w:ascii="Times New Roman" w:cs="Times New Roman" w:eastAsia="Times New Roman" w:hAnsi="Times New Roman"/>
                  <w:sz w:val="10"/>
                  <w:szCs w:val="10"/>
                  <w:color w:val="0000FF"/>
                  <w:w w:val="96"/>
                </w:rPr>
                <w:t>PROSPECTUS SUMMARY</w:t>
              </w:r>
            </w:hyperlink>
          </w:p>
        </w:tc>
        <w:tc>
          <w:tcPr>
            <w:tcW w:w="7020" w:type="dxa"/>
            <w:vAlign w:val="bottom"/>
            <w:gridSpan w:val="11"/>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93"/>
        </w:trPr>
        <w:tc>
          <w:tcPr>
            <w:tcW w:w="70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5"/>
              </w:rPr>
            </w:pPr>
            <w:hyperlink w:anchor="page17">
              <w:r>
                <w:rPr>
                  <w:rFonts w:ascii="Times New Roman" w:cs="Times New Roman" w:eastAsia="Times New Roman" w:hAnsi="Times New Roman"/>
                  <w:sz w:val="10"/>
                  <w:szCs w:val="10"/>
                  <w:color w:val="0000FF"/>
                  <w:w w:val="95"/>
                </w:rPr>
                <w:t>THE OFFERING</w:t>
              </w:r>
            </w:hyperlink>
          </w:p>
        </w:tc>
        <w:tc>
          <w:tcPr>
            <w:tcW w:w="7460" w:type="dxa"/>
            <w:vAlign w:val="bottom"/>
            <w:gridSpan w:val="16"/>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9">
              <w:r>
                <w:rPr>
                  <w:rFonts w:ascii="Times New Roman" w:cs="Times New Roman" w:eastAsia="Times New Roman" w:hAnsi="Times New Roman"/>
                  <w:sz w:val="10"/>
                  <w:szCs w:val="10"/>
                  <w:color w:val="0000FF"/>
                </w:rPr>
                <w:t>RISK FACTORS</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35</w:t>
            </w:r>
          </w:p>
        </w:tc>
        <w:tc>
          <w:tcPr>
            <w:tcW w:w="0" w:type="dxa"/>
            <w:vAlign w:val="bottom"/>
          </w:tcPr>
          <w:p>
            <w:pPr>
              <w:spacing w:after="0" w:line="20" w:lineRule="exact"/>
              <w:rPr>
                <w:sz w:val="1"/>
                <w:szCs w:val="1"/>
                <w:color w:val="auto"/>
              </w:rPr>
            </w:pPr>
          </w:p>
        </w:tc>
      </w:tr>
      <w:tr>
        <w:trPr>
          <w:trHeight w:val="93"/>
        </w:trPr>
        <w:tc>
          <w:tcPr>
            <w:tcW w:w="860" w:type="dxa"/>
            <w:vAlign w:val="bottom"/>
            <w:tcBorders>
              <w:bottom w:val="single" w:sz="8" w:color="0000FF"/>
            </w:tcBorders>
            <w:gridSpan w:val="6"/>
          </w:tcPr>
          <w:p>
            <w:pPr>
              <w:spacing w:after="0" w:line="93" w:lineRule="exact"/>
              <w:rPr>
                <w:rFonts w:ascii="Times New Roman" w:cs="Times New Roman" w:eastAsia="Times New Roman" w:hAnsi="Times New Roman"/>
                <w:sz w:val="10"/>
                <w:szCs w:val="10"/>
                <w:color w:val="0000FF"/>
                <w:w w:val="95"/>
              </w:rPr>
            </w:pPr>
            <w:hyperlink w:anchor="page45">
              <w:r>
                <w:rPr>
                  <w:rFonts w:ascii="Times New Roman" w:cs="Times New Roman" w:eastAsia="Times New Roman" w:hAnsi="Times New Roman"/>
                  <w:sz w:val="10"/>
                  <w:szCs w:val="10"/>
                  <w:color w:val="0000FF"/>
                  <w:w w:val="95"/>
                </w:rPr>
                <w:t>USE OF PROCEEDS</w:t>
              </w:r>
            </w:hyperlink>
          </w:p>
        </w:tc>
        <w:tc>
          <w:tcPr>
            <w:tcW w:w="7300" w:type="dxa"/>
            <w:vAlign w:val="bottom"/>
            <w:gridSpan w:val="14"/>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46">
              <w:r>
                <w:rPr>
                  <w:rFonts w:ascii="Times New Roman" w:cs="Times New Roman" w:eastAsia="Times New Roman" w:hAnsi="Times New Roman"/>
                  <w:sz w:val="10"/>
                  <w:szCs w:val="10"/>
                  <w:color w:val="0000FF"/>
                </w:rPr>
                <w:t>DILUTION</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36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40</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50">
              <w:r>
                <w:rPr>
                  <w:rFonts w:ascii="Times New Roman" w:cs="Times New Roman" w:eastAsia="Times New Roman" w:hAnsi="Times New Roman"/>
                  <w:sz w:val="10"/>
                  <w:szCs w:val="10"/>
                  <w:color w:val="0000FF"/>
                </w:rPr>
                <w:t>UNAUDITED PRO FORMA CONDENSED COMBINED FINANCIAL INFORMATION</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line="20" w:lineRule="exact"/>
              <w:rPr>
                <w:sz w:val="1"/>
                <w:szCs w:val="1"/>
                <w:color w:val="auto"/>
              </w:rPr>
            </w:pPr>
          </w:p>
        </w:tc>
      </w:tr>
      <w:tr>
        <w:trPr>
          <w:trHeight w:val="93"/>
        </w:trPr>
        <w:tc>
          <w:tcPr>
            <w:tcW w:w="4860" w:type="dxa"/>
            <w:vAlign w:val="bottom"/>
            <w:tcBorders>
              <w:bottom w:val="single" w:sz="8" w:color="0000FF"/>
            </w:tcBorders>
            <w:gridSpan w:val="19"/>
          </w:tcPr>
          <w:p>
            <w:pPr>
              <w:spacing w:after="0" w:line="93" w:lineRule="exact"/>
              <w:rPr>
                <w:rFonts w:ascii="Times New Roman" w:cs="Times New Roman" w:eastAsia="Times New Roman" w:hAnsi="Times New Roman"/>
                <w:sz w:val="10"/>
                <w:szCs w:val="10"/>
                <w:color w:val="0000FF"/>
                <w:w w:val="97"/>
              </w:rPr>
            </w:pPr>
            <w:hyperlink w:anchor="page58">
              <w:r>
                <w:rPr>
                  <w:rFonts w:ascii="Times New Roman" w:cs="Times New Roman" w:eastAsia="Times New Roman" w:hAnsi="Times New Roman"/>
                  <w:sz w:val="10"/>
                  <w:szCs w:val="10"/>
                  <w:color w:val="0000FF"/>
                  <w:w w:val="97"/>
                </w:rPr>
                <w:t>MANAGEMENT’S DISCUSSION AND ANALYSIS OF FINANCIAL CONDITION AND RESULTS OF OPERATIONS</w:t>
              </w:r>
            </w:hyperlink>
          </w:p>
        </w:tc>
        <w:tc>
          <w:tcPr>
            <w:tcW w:w="3300" w:type="dxa"/>
            <w:vAlign w:val="bottom"/>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04">
              <w:r>
                <w:rPr>
                  <w:rFonts w:ascii="Times New Roman" w:cs="Times New Roman" w:eastAsia="Times New Roman" w:hAnsi="Times New Roman"/>
                  <w:sz w:val="10"/>
                  <w:szCs w:val="10"/>
                  <w:color w:val="0000FF"/>
                </w:rPr>
                <w:t>MANAGEMENT AND COMPENSATION</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94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102</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12">
              <w:r>
                <w:rPr>
                  <w:rFonts w:ascii="Times New Roman" w:cs="Times New Roman" w:eastAsia="Times New Roman" w:hAnsi="Times New Roman"/>
                  <w:sz w:val="10"/>
                  <w:szCs w:val="10"/>
                  <w:color w:val="0000FF"/>
                </w:rPr>
                <w:t>CERTAIN RELATIONSHIPS AND RELATED PARTY TRANSACTIONS</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000" w:type="dxa"/>
            <w:vAlign w:val="bottom"/>
            <w:tcBorders>
              <w:top w:val="single" w:sz="8" w:color="0000FF"/>
            </w:tcBorders>
            <w:gridSpan w:val="16"/>
          </w:tcPr>
          <w:p>
            <w:pPr>
              <w:spacing w:after="0" w:line="93" w:lineRule="exact"/>
              <w:rPr>
                <w:rFonts w:ascii="Times New Roman" w:cs="Times New Roman" w:eastAsia="Times New Roman" w:hAnsi="Times New Roman"/>
                <w:sz w:val="10"/>
                <w:szCs w:val="10"/>
                <w:color w:val="0000FF"/>
              </w:rPr>
            </w:pPr>
            <w:hyperlink w:anchor="page113">
              <w:r>
                <w:rPr>
                  <w:rFonts w:ascii="Times New Roman" w:cs="Times New Roman" w:eastAsia="Times New Roman" w:hAnsi="Times New Roman"/>
                  <w:sz w:val="10"/>
                  <w:szCs w:val="10"/>
                  <w:color w:val="0000FF"/>
                </w:rPr>
                <w:t>BENEFICIAL OWNERSHIP OF SECURITIES</w:t>
              </w:r>
            </w:hyperlink>
          </w:p>
        </w:tc>
        <w:tc>
          <w:tcPr>
            <w:tcW w:w="5160" w:type="dxa"/>
            <w:vAlign w:val="bottom"/>
            <w:gridSpan w:val="4"/>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103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120</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30">
              <w:r>
                <w:rPr>
                  <w:rFonts w:ascii="Times New Roman" w:cs="Times New Roman" w:eastAsia="Times New Roman" w:hAnsi="Times New Roman"/>
                  <w:sz w:val="10"/>
                  <w:szCs w:val="10"/>
                  <w:color w:val="0000FF"/>
                </w:rPr>
                <w:t>MATERIAL INCOME TAX CONSIDERATIONS</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00" w:type="dxa"/>
            <w:vAlign w:val="bottom"/>
            <w:tcBorders>
              <w:top w:val="single" w:sz="8" w:color="0000FF"/>
            </w:tcBorders>
            <w:gridSpan w:val="14"/>
          </w:tcPr>
          <w:p>
            <w:pPr>
              <w:spacing w:after="0" w:line="93" w:lineRule="exact"/>
              <w:rPr>
                <w:rFonts w:ascii="Times New Roman" w:cs="Times New Roman" w:eastAsia="Times New Roman" w:hAnsi="Times New Roman"/>
                <w:sz w:val="10"/>
                <w:szCs w:val="10"/>
                <w:color w:val="0000FF"/>
              </w:rPr>
            </w:pPr>
            <w:hyperlink w:anchor="page136">
              <w:r>
                <w:rPr>
                  <w:rFonts w:ascii="Times New Roman" w:cs="Times New Roman" w:eastAsia="Times New Roman" w:hAnsi="Times New Roman"/>
                  <w:sz w:val="10"/>
                  <w:szCs w:val="10"/>
                  <w:color w:val="0000FF"/>
                </w:rPr>
                <w:t>PLAN OF DISTRIBUTION</w:t>
              </w:r>
            </w:hyperlink>
          </w:p>
        </w:tc>
        <w:tc>
          <w:tcPr>
            <w:tcW w:w="6160" w:type="dxa"/>
            <w:vAlign w:val="bottom"/>
            <w:gridSpan w:val="6"/>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line="20" w:lineRule="exact"/>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39">
              <w:r>
                <w:rPr>
                  <w:rFonts w:ascii="Times New Roman" w:cs="Times New Roman" w:eastAsia="Times New Roman" w:hAnsi="Times New Roman"/>
                  <w:sz w:val="10"/>
                  <w:szCs w:val="10"/>
                  <w:color w:val="0000FF"/>
                </w:rPr>
                <w:t>EXPENSES RELATED TO THIS OFFERING</w:t>
              </w:r>
            </w:hyperlink>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800" w:type="dxa"/>
            <w:vAlign w:val="bottom"/>
            <w:tcBorders>
              <w:top w:val="single" w:sz="8" w:color="0000FF"/>
              <w:bottom w:val="single" w:sz="8" w:color="0000FF"/>
            </w:tcBorders>
            <w:gridSpan w:val="5"/>
          </w:tcPr>
          <w:p>
            <w:pPr>
              <w:spacing w:after="0" w:line="93" w:lineRule="exact"/>
              <w:rPr>
                <w:rFonts w:ascii="Times New Roman" w:cs="Times New Roman" w:eastAsia="Times New Roman" w:hAnsi="Times New Roman"/>
                <w:sz w:val="10"/>
                <w:szCs w:val="10"/>
                <w:color w:val="0000FF"/>
                <w:w w:val="95"/>
              </w:rPr>
            </w:pPr>
            <w:hyperlink w:anchor="page139">
              <w:r>
                <w:rPr>
                  <w:rFonts w:ascii="Times New Roman" w:cs="Times New Roman" w:eastAsia="Times New Roman" w:hAnsi="Times New Roman"/>
                  <w:sz w:val="10"/>
                  <w:szCs w:val="10"/>
                  <w:color w:val="0000FF"/>
                  <w:w w:val="95"/>
                </w:rPr>
                <w:t>LEGAL MATTERS</w:t>
              </w:r>
            </w:hyperlink>
          </w:p>
        </w:tc>
        <w:tc>
          <w:tcPr>
            <w:tcW w:w="1080" w:type="dxa"/>
            <w:vAlign w:val="bottom"/>
            <w:tcBorders>
              <w:top w:val="single" w:sz="8" w:color="0000FF"/>
            </w:tcBorders>
            <w:gridSpan w:val="8"/>
          </w:tcPr>
          <w:p>
            <w:pPr>
              <w:spacing w:after="0"/>
              <w:rPr>
                <w:sz w:val="8"/>
                <w:szCs w:val="8"/>
                <w:color w:val="auto"/>
              </w:rPr>
            </w:pPr>
          </w:p>
        </w:tc>
        <w:tc>
          <w:tcPr>
            <w:tcW w:w="6280" w:type="dxa"/>
            <w:vAlign w:val="bottom"/>
            <w:gridSpan w:val="7"/>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rPr>
                <w:sz w:val="1"/>
                <w:szCs w:val="1"/>
                <w:color w:val="auto"/>
              </w:rPr>
            </w:pPr>
          </w:p>
        </w:tc>
      </w:tr>
      <w:tr>
        <w:trPr>
          <w:trHeight w:val="93"/>
        </w:trPr>
        <w:tc>
          <w:tcPr>
            <w:tcW w:w="460" w:type="dxa"/>
            <w:vAlign w:val="bottom"/>
            <w:tcBorders>
              <w:bottom w:val="single" w:sz="8" w:color="0000FF"/>
            </w:tcBorders>
          </w:tcPr>
          <w:p>
            <w:pPr>
              <w:spacing w:after="0" w:line="93" w:lineRule="exact"/>
              <w:rPr>
                <w:rFonts w:ascii="Times New Roman" w:cs="Times New Roman" w:eastAsia="Times New Roman" w:hAnsi="Times New Roman"/>
                <w:sz w:val="10"/>
                <w:szCs w:val="10"/>
                <w:color w:val="0000FF"/>
                <w:w w:val="96"/>
              </w:rPr>
            </w:pPr>
            <w:hyperlink w:anchor="page139">
              <w:r>
                <w:rPr>
                  <w:rFonts w:ascii="Times New Roman" w:cs="Times New Roman" w:eastAsia="Times New Roman" w:hAnsi="Times New Roman"/>
                  <w:sz w:val="10"/>
                  <w:szCs w:val="10"/>
                  <w:color w:val="0000FF"/>
                  <w:w w:val="96"/>
                </w:rPr>
                <w:t>EXPERTS</w:t>
              </w:r>
            </w:hyperlink>
          </w:p>
        </w:tc>
        <w:tc>
          <w:tcPr>
            <w:tcW w:w="7700" w:type="dxa"/>
            <w:vAlign w:val="bottom"/>
            <w:gridSpan w:val="19"/>
          </w:tcPr>
          <w:p>
            <w:pPr>
              <w:spacing w:after="0"/>
              <w:rPr>
                <w:sz w:val="8"/>
                <w:szCs w:val="8"/>
                <w:color w:val="auto"/>
              </w:rPr>
            </w:pPr>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rPr>
                <w:sz w:val="1"/>
                <w:szCs w:val="1"/>
                <w:color w:val="auto"/>
              </w:rPr>
            </w:pPr>
          </w:p>
        </w:tc>
      </w:tr>
      <w:tr>
        <w:trPr>
          <w:trHeight w:val="93"/>
        </w:trPr>
        <w:tc>
          <w:tcPr>
            <w:tcW w:w="8160" w:type="dxa"/>
            <w:vAlign w:val="bottom"/>
            <w:gridSpan w:val="20"/>
          </w:tcPr>
          <w:p>
            <w:pPr>
              <w:spacing w:after="0" w:line="93" w:lineRule="exact"/>
              <w:rPr>
                <w:rFonts w:ascii="Times New Roman" w:cs="Times New Roman" w:eastAsia="Times New Roman" w:hAnsi="Times New Roman"/>
                <w:sz w:val="10"/>
                <w:szCs w:val="10"/>
                <w:color w:val="0000FF"/>
              </w:rPr>
            </w:pPr>
            <w:hyperlink w:anchor="page139">
              <w:r>
                <w:rPr>
                  <w:rFonts w:ascii="Times New Roman" w:cs="Times New Roman" w:eastAsia="Times New Roman" w:hAnsi="Times New Roman"/>
                  <w:sz w:val="10"/>
                  <w:szCs w:val="10"/>
                  <w:color w:val="0000FF"/>
                </w:rPr>
                <w:t>ENFORCEABILITY OF CIVIL LIABILITY</w:t>
              </w:r>
            </w:hyperlink>
          </w:p>
        </w:tc>
        <w:tc>
          <w:tcPr>
            <w:tcW w:w="24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rPr>
                <w:sz w:val="1"/>
                <w:szCs w:val="1"/>
                <w:color w:val="auto"/>
              </w:rPr>
            </w:pPr>
          </w:p>
        </w:tc>
      </w:tr>
      <w:tr>
        <w:trPr>
          <w:trHeight w:val="20"/>
        </w:trPr>
        <w:tc>
          <w:tcPr>
            <w:tcW w:w="1760" w:type="dxa"/>
            <w:vAlign w:val="bottom"/>
            <w:gridSpan w:val="1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129</w:t>
            </w:r>
          </w:p>
        </w:tc>
        <w:tc>
          <w:tcPr>
            <w:tcW w:w="0" w:type="dxa"/>
            <w:vAlign w:val="bottom"/>
          </w:tcPr>
          <w:p>
            <w:pPr>
              <w:spacing w:after="0" w:line="20" w:lineRule="exact"/>
              <w:rPr>
                <w:sz w:val="1"/>
                <w:szCs w:val="1"/>
                <w:color w:val="auto"/>
              </w:rPr>
            </w:pPr>
          </w:p>
        </w:tc>
      </w:tr>
      <w:tr>
        <w:trPr>
          <w:trHeight w:val="93"/>
        </w:trPr>
        <w:tc>
          <w:tcPr>
            <w:tcW w:w="2080" w:type="dxa"/>
            <w:vAlign w:val="bottom"/>
            <w:tcBorders>
              <w:bottom w:val="single" w:sz="8" w:color="0000FF"/>
            </w:tcBorders>
            <w:gridSpan w:val="15"/>
          </w:tcPr>
          <w:p>
            <w:pPr>
              <w:spacing w:after="0" w:line="93" w:lineRule="exact"/>
              <w:rPr>
                <w:rFonts w:ascii="Times New Roman" w:cs="Times New Roman" w:eastAsia="Times New Roman" w:hAnsi="Times New Roman"/>
                <w:sz w:val="10"/>
                <w:szCs w:val="10"/>
                <w:color w:val="0000FF"/>
                <w:w w:val="96"/>
              </w:rPr>
            </w:pPr>
            <w:hyperlink w:anchor="page139">
              <w:r>
                <w:rPr>
                  <w:rFonts w:ascii="Times New Roman" w:cs="Times New Roman" w:eastAsia="Times New Roman" w:hAnsi="Times New Roman"/>
                  <w:sz w:val="10"/>
                  <w:szCs w:val="10"/>
                  <w:color w:val="0000FF"/>
                  <w:w w:val="96"/>
                </w:rPr>
                <w:t>WHERE YOU CAN FIND MORE INFORMATION</w:t>
              </w:r>
            </w:hyperlink>
          </w:p>
        </w:tc>
        <w:tc>
          <w:tcPr>
            <w:tcW w:w="6080" w:type="dxa"/>
            <w:vAlign w:val="bottom"/>
            <w:gridSpan w:val="5"/>
          </w:tcPr>
          <w:p>
            <w:pPr>
              <w:spacing w:after="0"/>
              <w:rPr>
                <w:sz w:val="8"/>
                <w:szCs w:val="8"/>
                <w:color w:val="auto"/>
              </w:rPr>
            </w:pPr>
          </w:p>
        </w:tc>
        <w:tc>
          <w:tcPr>
            <w:tcW w:w="2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ABOUT THIS PROSPECTUS</w:t>
      </w:r>
    </w:p>
    <w:p>
      <w:pPr>
        <w:spacing w:after="0" w:line="112" w:lineRule="exact"/>
        <w:rPr>
          <w:sz w:val="20"/>
          <w:szCs w:val="20"/>
          <w:color w:val="auto"/>
        </w:rPr>
      </w:pPr>
    </w:p>
    <w:p>
      <w:pPr>
        <w:jc w:val="both"/>
        <w:ind w:right="20" w:firstLine="705"/>
        <w:spacing w:after="0" w:line="245" w:lineRule="auto"/>
        <w:rPr>
          <w:sz w:val="20"/>
          <w:szCs w:val="20"/>
          <w:color w:val="auto"/>
        </w:rPr>
      </w:pPr>
      <w:r>
        <w:rPr>
          <w:rFonts w:ascii="Times New Roman" w:cs="Times New Roman" w:eastAsia="Times New Roman" w:hAnsi="Times New Roman"/>
          <w:sz w:val="10"/>
          <w:szCs w:val="10"/>
          <w:color w:val="auto"/>
        </w:rPr>
        <w:t>You should rely only on the information that we have provided in this prospectus. We have not authorized anyone to provide you with different or additional information. If anyone provides you with different or additional information, you should not rely on it. You should assume that the information in this prospectus is accurate only as of the date on the cover of the document and that any information we have incorporated by reference is accurate only as of the date of the document incorporated by reference, regardless of the time of delivery of this prospectus or any sale of a security. Our business, financial condition, results of operations and prospects may have changed since those dates.</w:t>
      </w:r>
    </w:p>
    <w:p>
      <w:pPr>
        <w:spacing w:after="0" w:line="98"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This prospectus contains or incorporates by reference summaries of certain provisions contained in some of the documents described herein, but reference is made to the actual documents for complete information. All the summaries are qualified in their entirety by the actual documents. Copies of some of the documents referred to herein have been filed or have been incorporated by reference as exhibits to the registration statement of which this prospectus forms a part, and you may obtain copies of those documents as described in this prospectus under the heading “</w:t>
      </w:r>
      <w:r>
        <w:rPr>
          <w:rFonts w:ascii="Times New Roman" w:cs="Times New Roman" w:eastAsia="Times New Roman" w:hAnsi="Times New Roman"/>
          <w:sz w:val="10"/>
          <w:szCs w:val="10"/>
          <w:i w:val="1"/>
          <w:iCs w:val="1"/>
          <w:color w:val="auto"/>
        </w:rPr>
        <w:t>Where You Can Find More Information</w:t>
      </w:r>
      <w:r>
        <w:rPr>
          <w:rFonts w:ascii="Times New Roman" w:cs="Times New Roman" w:eastAsia="Times New Roman" w:hAnsi="Times New Roman"/>
          <w:sz w:val="10"/>
          <w:szCs w:val="10"/>
          <w:color w:val="auto"/>
        </w:rPr>
        <w:t>.”</w:t>
      </w:r>
    </w:p>
    <w:p>
      <w:pPr>
        <w:spacing w:after="0" w:line="103"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On August 15, 2024 (the “</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Armada Acquisition Corp. I, a Delaware corporation (“</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Rezolve AI Limited, a private limited company registered under the laws of England and Wales with registration number 14573691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or “</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Rezolve Merger Sub, Inc., a Delaware corporation (“</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xml:space="preserve"> ”), pursuant to which, among other things, (i) on July 4, 2024, Rezolve Limited, a private limited company organized under the laws of England and Wales ("</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effected a pre-Closing demerger (the “</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pursuant to UK legislation under which (x) part of Rezolve Limited’s business and assets (being all of its business and assets except for certain shares in Rezolve Information Technology (Shanghai) Co Ltd and its wholly owned subsidiary Nine Stone</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08"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of facts or of opinion. The directors accept responsibility accordingly.</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Unless the context indicates otherwise, references to the “Company,” “Rezolve,” “we,” “us” and “our”, prior to the Pre-Closing Demerger, refer to Rezolve Limited and after the Pre-Closing Demerger, Rezolve AI Limited, including its subsidiaries.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TRADEMARKS</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MARKET AND INDUSTRY DATA</w:t>
      </w:r>
    </w:p>
    <w:p>
      <w:pPr>
        <w:spacing w:after="0" w:line="97" w:lineRule="exact"/>
        <w:rPr>
          <w:sz w:val="20"/>
          <w:szCs w:val="20"/>
          <w:color w:val="auto"/>
        </w:rPr>
      </w:pPr>
    </w:p>
    <w:p>
      <w:pPr>
        <w:jc w:val="both"/>
        <w:ind w:right="180" w:firstLine="480"/>
        <w:spacing w:after="0" w:line="285" w:lineRule="auto"/>
        <w:rPr>
          <w:sz w:val="20"/>
          <w:szCs w:val="20"/>
          <w:color w:val="auto"/>
        </w:rPr>
      </w:pPr>
      <w:r>
        <w:rPr>
          <w:rFonts w:ascii="Times New Roman" w:cs="Times New Roman" w:eastAsia="Times New Roman" w:hAnsi="Times New Roman"/>
          <w:sz w:val="9"/>
          <w:szCs w:val="9"/>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 -party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7" w:name="page8"/>
    <w:bookmarkEnd w:id="7"/>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SELECTED DEFINITIONS</w:t>
      </w:r>
    </w:p>
    <w:p>
      <w:pPr>
        <w:spacing w:after="0" w:line="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Terms defined in the body of this document shall have the meanings attributed to them therein and in addition the following terms shall have the following meanings: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w:t>
      </w:r>
      <w:r>
        <w:rPr>
          <w:rFonts w:ascii="Times New Roman" w:cs="Times New Roman" w:eastAsia="Times New Roman" w:hAnsi="Times New Roman"/>
          <w:sz w:val="10"/>
          <w:szCs w:val="10"/>
          <w:color w:val="auto"/>
        </w:rPr>
        <w:t>” means Armada Acquisition Corp. I, a Delaware corporation;</w:t>
      </w:r>
    </w:p>
    <w:p>
      <w:pPr>
        <w:spacing w:after="0" w:line="58" w:lineRule="exact"/>
        <w:rPr>
          <w:sz w:val="20"/>
          <w:szCs w:val="20"/>
          <w:color w:val="auto"/>
        </w:rPr>
      </w:pPr>
    </w:p>
    <w:p>
      <w:pPr>
        <w:ind w:right="504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Common Stock</w:t>
      </w:r>
      <w:r>
        <w:rPr>
          <w:rFonts w:ascii="Times New Roman" w:cs="Times New Roman" w:eastAsia="Times New Roman" w:hAnsi="Times New Roman"/>
          <w:sz w:val="10"/>
          <w:szCs w:val="10"/>
          <w:color w:val="auto"/>
        </w:rPr>
        <w:t>” means, prior to the Business Combination, an issued and outstanding share of common stock of Armada; •“</w:t>
      </w:r>
      <w:r>
        <w:rPr>
          <w:rFonts w:ascii="Times New Roman" w:cs="Times New Roman" w:eastAsia="Times New Roman" w:hAnsi="Times New Roman"/>
          <w:sz w:val="10"/>
          <w:szCs w:val="10"/>
          <w:b w:val="1"/>
          <w:bCs w:val="1"/>
          <w:i w:val="1"/>
          <w:iCs w:val="1"/>
          <w:color w:val="auto"/>
        </w:rPr>
        <w:t>Armada Unit</w:t>
      </w:r>
      <w:r>
        <w:rPr>
          <w:rFonts w:ascii="Times New Roman" w:cs="Times New Roman" w:eastAsia="Times New Roman" w:hAnsi="Times New Roman"/>
          <w:sz w:val="10"/>
          <w:szCs w:val="10"/>
          <w:color w:val="auto"/>
        </w:rPr>
        <w:t>” means, prior to the Business Combination, an issued and outstanding unit of Armada;</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Armada Warrant</w:t>
      </w:r>
      <w:r>
        <w:rPr>
          <w:rFonts w:ascii="Times New Roman" w:cs="Times New Roman" w:eastAsia="Times New Roman" w:hAnsi="Times New Roman"/>
          <w:sz w:val="10"/>
          <w:szCs w:val="10"/>
          <w:color w:val="auto"/>
        </w:rPr>
        <w:t>” means, prior to the Business Combination, an issued and outstanding warrant of Armada;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means Rezolve’s articles of association;</w:t>
      </w:r>
    </w:p>
    <w:p>
      <w:pPr>
        <w:spacing w:after="0" w:line="5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Business Combination Agreement</w:t>
      </w:r>
      <w:r>
        <w:rPr>
          <w:rFonts w:ascii="Times New Roman" w:cs="Times New Roman" w:eastAsia="Times New Roman" w:hAnsi="Times New Roman"/>
          <w:sz w:val="10"/>
          <w:szCs w:val="10"/>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Channels</w:t>
      </w:r>
      <w:r>
        <w:rPr>
          <w:rFonts w:ascii="Times New Roman" w:cs="Times New Roman" w:eastAsia="Times New Roman" w:hAnsi="Times New Roman"/>
          <w:sz w:val="10"/>
          <w:szCs w:val="10"/>
          <w:color w:val="auto"/>
        </w:rPr>
        <w:t>” means the Rezolve’s distribution partners who distribute Rezolve’s offerings and services;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Closing Date</w:t>
      </w:r>
      <w:r>
        <w:rPr>
          <w:rFonts w:ascii="Times New Roman" w:cs="Times New Roman" w:eastAsia="Times New Roman" w:hAnsi="Times New Roman"/>
          <w:sz w:val="10"/>
          <w:szCs w:val="10"/>
          <w:color w:val="auto"/>
        </w:rPr>
        <w:t>” has the meaning given to it in the Business Combination Agreement;;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Convertible Notes</w:t>
      </w:r>
      <w:r>
        <w:rPr>
          <w:rFonts w:ascii="Times New Roman" w:cs="Times New Roman" w:eastAsia="Times New Roman" w:hAnsi="Times New Roman"/>
          <w:sz w:val="10"/>
          <w:szCs w:val="10"/>
          <w:color w:val="auto"/>
        </w:rPr>
        <w:t>” means the convertible loan notes issued on the terms of the Loan Note Instrument and the JVB Note;</w:t>
      </w:r>
    </w:p>
    <w:p>
      <w:pPr>
        <w:spacing w:after="0" w:line="58" w:lineRule="exact"/>
        <w:rPr>
          <w:sz w:val="20"/>
          <w:szCs w:val="20"/>
          <w:color w:val="auto"/>
        </w:rPr>
      </w:pPr>
    </w:p>
    <w:p>
      <w:pPr>
        <w:ind w:right="236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Founder Shares</w:t>
      </w:r>
      <w:r>
        <w:rPr>
          <w:rFonts w:ascii="Times New Roman" w:cs="Times New Roman" w:eastAsia="Times New Roman" w:hAnsi="Times New Roman"/>
          <w:sz w:val="10"/>
          <w:szCs w:val="10"/>
          <w:color w:val="auto"/>
        </w:rPr>
        <w:t>” means, collectively, the shares of Armada Common Stock held by the Sponsor, the chief executive officer of Armada, the president of Armada and independent directors of Armada; •“</w:t>
      </w:r>
      <w:r>
        <w:rPr>
          <w:rFonts w:ascii="Times New Roman" w:cs="Times New Roman" w:eastAsia="Times New Roman" w:hAnsi="Times New Roman"/>
          <w:sz w:val="10"/>
          <w:szCs w:val="10"/>
          <w:b w:val="1"/>
          <w:bCs w:val="1"/>
          <w:i w:val="1"/>
          <w:iCs w:val="1"/>
          <w:color w:val="auto"/>
        </w:rPr>
        <w:t>GeoZone</w:t>
      </w:r>
      <w:r>
        <w:rPr>
          <w:rFonts w:ascii="Times New Roman" w:cs="Times New Roman" w:eastAsia="Times New Roman" w:hAnsi="Times New Roman"/>
          <w:sz w:val="10"/>
          <w:szCs w:val="10"/>
          <w:color w:val="auto"/>
        </w:rPr>
        <w:t>” means a location-based marketing tool which is a feature of Rezolve’s platform;</w:t>
      </w:r>
    </w:p>
    <w:p>
      <w:pPr>
        <w:ind w:right="370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Investor Rights Agreement</w:t>
      </w:r>
      <w:r>
        <w:rPr>
          <w:rFonts w:ascii="Times New Roman" w:cs="Times New Roman" w:eastAsia="Times New Roman" w:hAnsi="Times New Roman"/>
          <w:sz w:val="10"/>
          <w:szCs w:val="10"/>
          <w:color w:val="auto"/>
        </w:rPr>
        <w:t>” means the amended form investor rights agreements entered into by Rezolve, Armada, the Sponsor and certain stockholders of Rezolve; •“</w:t>
      </w:r>
      <w:r>
        <w:rPr>
          <w:rFonts w:ascii="Times New Roman" w:cs="Times New Roman" w:eastAsia="Times New Roman" w:hAnsi="Times New Roman"/>
          <w:sz w:val="10"/>
          <w:szCs w:val="10"/>
          <w:b w:val="1"/>
          <w:bCs w:val="1"/>
          <w:i w:val="1"/>
          <w:iCs w:val="1"/>
          <w:color w:val="auto"/>
        </w:rPr>
        <w:t>JVB Note</w:t>
      </w:r>
      <w:r>
        <w:rPr>
          <w:rFonts w:ascii="Times New Roman" w:cs="Times New Roman" w:eastAsia="Times New Roman" w:hAnsi="Times New Roman"/>
          <w:sz w:val="10"/>
          <w:szCs w:val="10"/>
          <w:color w:val="auto"/>
        </w:rPr>
        <w:t>” means the convertible note issued by Rezolve to J.V.B. Financial Group, LLC, a registered broker-dealer,on August 14, 2024.</w:t>
      </w:r>
    </w:p>
    <w:p>
      <w:pPr>
        <w:jc w:val="both"/>
        <w:ind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Loan Note Instrument</w:t>
      </w:r>
      <w:r>
        <w:rPr>
          <w:rFonts w:ascii="Times New Roman" w:cs="Times New Roman" w:eastAsia="Times New Roman" w:hAnsi="Times New Roman"/>
          <w:sz w:val="10"/>
          <w:szCs w:val="10"/>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Major Investor</w:t>
      </w:r>
      <w:r>
        <w:rPr>
          <w:rFonts w:ascii="Times New Roman" w:cs="Times New Roman" w:eastAsia="Times New Roman" w:hAnsi="Times New Roman"/>
          <w:sz w:val="10"/>
          <w:szCs w:val="10"/>
          <w:color w:val="auto"/>
        </w:rPr>
        <w:t>” has the meaning given to it in the Loan Note Instrument.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Nasdaq</w:t>
      </w:r>
      <w:r>
        <w:rPr>
          <w:rFonts w:ascii="Times New Roman" w:cs="Times New Roman" w:eastAsia="Times New Roman" w:hAnsi="Times New Roman"/>
          <w:sz w:val="10"/>
          <w:szCs w:val="10"/>
          <w:color w:val="auto"/>
        </w:rPr>
        <w:t>” means The Nasdaq Stock Market LLC;</w:t>
      </w:r>
    </w:p>
    <w:p>
      <w:pPr>
        <w:spacing w:after="0" w:line="58" w:lineRule="exact"/>
        <w:rPr>
          <w:sz w:val="20"/>
          <w:szCs w:val="20"/>
          <w:color w:val="auto"/>
        </w:rPr>
      </w:pPr>
    </w:p>
    <w:p>
      <w:pPr>
        <w:ind w:right="3440"/>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Noteholder Majority</w:t>
      </w:r>
      <w:r>
        <w:rPr>
          <w:rFonts w:ascii="Times New Roman" w:cs="Times New Roman" w:eastAsia="Times New Roman" w:hAnsi="Times New Roman"/>
          <w:sz w:val="10"/>
          <w:szCs w:val="10"/>
          <w:color w:val="auto"/>
        </w:rPr>
        <w:t>” means the prior consent of holders of more than two-thirds of the aggregate principal amount of the Convertible Notes outstanding from time to time; •“</w:t>
      </w:r>
      <w:r>
        <w:rPr>
          <w:rFonts w:ascii="Times New Roman" w:cs="Times New Roman" w:eastAsia="Times New Roman" w:hAnsi="Times New Roman"/>
          <w:sz w:val="10"/>
          <w:szCs w:val="10"/>
          <w:b w:val="1"/>
          <w:bCs w:val="1"/>
          <w:i w:val="1"/>
          <w:iCs w:val="1"/>
          <w:color w:val="auto"/>
        </w:rPr>
        <w:t>Offering Warrants</w:t>
      </w:r>
      <w:r>
        <w:rPr>
          <w:rFonts w:ascii="Times New Roman" w:cs="Times New Roman" w:eastAsia="Times New Roman" w:hAnsi="Times New Roman"/>
          <w:sz w:val="10"/>
          <w:szCs w:val="10"/>
          <w:color w:val="auto"/>
        </w:rPr>
        <w:t>” means the warrants to purchase one Ordinary Share per warrants to be issued pursuant to this offering. •</w:t>
      </w:r>
      <w:r>
        <w:rPr>
          <w:rFonts w:ascii="Times New Roman" w:cs="Times New Roman" w:eastAsia="Times New Roman" w:hAnsi="Times New Roman"/>
          <w:sz w:val="10"/>
          <w:szCs w:val="10"/>
          <w:b w:val="1"/>
          <w:bCs w:val="1"/>
          <w:i w:val="1"/>
          <w:iCs w:val="1"/>
          <w:color w:val="auto"/>
        </w:rPr>
        <w:t>“Ordinary Shares</w:t>
      </w:r>
      <w:r>
        <w:rPr>
          <w:rFonts w:ascii="Times New Roman" w:cs="Times New Roman" w:eastAsia="Times New Roman" w:hAnsi="Times New Roman"/>
          <w:sz w:val="10"/>
          <w:szCs w:val="10"/>
          <w:color w:val="auto"/>
        </w:rPr>
        <w:t>” means the ordinary shares of Rezolve, par value £0.0001;</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Placement Agent</w:t>
      </w:r>
      <w:r>
        <w:rPr>
          <w:rFonts w:ascii="Times New Roman" w:cs="Times New Roman" w:eastAsia="Times New Roman" w:hAnsi="Times New Roman"/>
          <w:sz w:val="10"/>
          <w:szCs w:val="10"/>
          <w:color w:val="auto"/>
        </w:rPr>
        <w:t>” means  .</w:t>
      </w:r>
    </w:p>
    <w:p>
      <w:pPr>
        <w:spacing w:after="0" w:line="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Platform Transactions</w:t>
      </w:r>
      <w:r>
        <w:rPr>
          <w:rFonts w:ascii="Times New Roman" w:cs="Times New Roman" w:eastAsia="Times New Roman" w:hAnsi="Times New Roman"/>
          <w:sz w:val="10"/>
          <w:szCs w:val="10"/>
          <w:color w:val="auto"/>
        </w:rPr>
        <w:t>”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Pre-Closing Demerger</w:t>
      </w:r>
      <w:r>
        <w:rPr>
          <w:rFonts w:ascii="Times New Roman" w:cs="Times New Roman" w:eastAsia="Times New Roman" w:hAnsi="Times New Roman"/>
          <w:sz w:val="10"/>
          <w:szCs w:val="10"/>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Pre-Funded Warrants</w:t>
      </w:r>
      <w:r>
        <w:rPr>
          <w:rFonts w:ascii="Times New Roman" w:cs="Times New Roman" w:eastAsia="Times New Roman" w:hAnsi="Times New Roman"/>
          <w:sz w:val="10"/>
          <w:szCs w:val="10"/>
          <w:color w:val="auto"/>
        </w:rPr>
        <w:t>” means the pre-funded warrants to purchase one Ordinary Share per pre-funded warrant to be issued pursuant to this offering.</w:t>
      </w:r>
    </w:p>
    <w:p>
      <w:pPr>
        <w:spacing w:after="0" w:line="6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0"/>
          <w:szCs w:val="1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256540</wp:posOffset>
            </wp:positionV>
            <wp:extent cx="677862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240"/>
          </w:cols>
          <w:pgMar w:left="980" w:top="1033" w:right="68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Private Warrants</w:t>
      </w:r>
      <w:r>
        <w:rPr>
          <w:rFonts w:ascii="Times New Roman" w:cs="Times New Roman" w:eastAsia="Times New Roman" w:hAnsi="Times New Roman"/>
          <w:sz w:val="10"/>
          <w:szCs w:val="10"/>
          <w:color w:val="auto"/>
        </w:rPr>
        <w:t>” means the 569,982 private warrants issued by Rezolve in a private placement to purchase one Ordinary Share per private warrant.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Public Warrants</w:t>
      </w:r>
      <w:r>
        <w:rPr>
          <w:rFonts w:ascii="Times New Roman" w:cs="Times New Roman" w:eastAsia="Times New Roman" w:hAnsi="Times New Roman"/>
          <w:sz w:val="10"/>
          <w:szCs w:val="10"/>
          <w:color w:val="auto"/>
        </w:rPr>
        <w:t>” means the 7,499,994 issued and outstanding public warrants to purchase one Ordinary Share per public warrant.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Registerable Securities</w:t>
      </w:r>
      <w:r>
        <w:rPr>
          <w:rFonts w:ascii="Times New Roman" w:cs="Times New Roman" w:eastAsia="Times New Roman" w:hAnsi="Times New Roman"/>
          <w:sz w:val="10"/>
          <w:szCs w:val="10"/>
          <w:color w:val="auto"/>
        </w:rPr>
        <w:t>” has the meaning given to it in the Investor Rights Agreement.</w:t>
      </w:r>
    </w:p>
    <w:p>
      <w:pPr>
        <w:spacing w:after="0" w:line="58"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w:t>
      </w:r>
      <w:r>
        <w:rPr>
          <w:rFonts w:ascii="Times New Roman" w:cs="Times New Roman" w:eastAsia="Times New Roman" w:hAnsi="Times New Roman"/>
          <w:sz w:val="10"/>
          <w:szCs w:val="10"/>
          <w:color w:val="auto"/>
        </w:rPr>
        <w:t>” and the “</w:t>
      </w:r>
      <w:r>
        <w:rPr>
          <w:rFonts w:ascii="Times New Roman" w:cs="Times New Roman" w:eastAsia="Times New Roman" w:hAnsi="Times New Roman"/>
          <w:sz w:val="10"/>
          <w:szCs w:val="10"/>
          <w:b w:val="1"/>
          <w:bCs w:val="1"/>
          <w:i w:val="1"/>
          <w:iCs w:val="1"/>
          <w:color w:val="auto"/>
        </w:rPr>
        <w:t>Company</w:t>
      </w:r>
      <w:r>
        <w:rPr>
          <w:rFonts w:ascii="Times New Roman" w:cs="Times New Roman" w:eastAsia="Times New Roman" w:hAnsi="Times New Roman"/>
          <w:sz w:val="10"/>
          <w:szCs w:val="10"/>
          <w:color w:val="auto"/>
        </w:rPr>
        <w:t>” means Rezolve AI Limited, a private limited liability company registered under the laws of England and Wales with registration number 14573691 and, following its re-registration as a public limited company, Rezolve AI PLC; •“</w:t>
      </w:r>
      <w:r>
        <w:rPr>
          <w:rFonts w:ascii="Times New Roman" w:cs="Times New Roman" w:eastAsia="Times New Roman" w:hAnsi="Times New Roman"/>
          <w:sz w:val="10"/>
          <w:szCs w:val="10"/>
          <w:b w:val="1"/>
          <w:bCs w:val="1"/>
          <w:i w:val="1"/>
          <w:iCs w:val="1"/>
          <w:color w:val="auto"/>
        </w:rPr>
        <w:t>Rezolve Founder</w:t>
      </w:r>
      <w:r>
        <w:rPr>
          <w:rFonts w:ascii="Times New Roman" w:cs="Times New Roman" w:eastAsia="Times New Roman" w:hAnsi="Times New Roman"/>
          <w:sz w:val="10"/>
          <w:szCs w:val="10"/>
          <w:color w:val="auto"/>
        </w:rPr>
        <w:t>” means Daniel Wagner;</w:t>
      </w: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Incentive Equity Plan</w:t>
      </w:r>
      <w:r>
        <w:rPr>
          <w:rFonts w:ascii="Times New Roman" w:cs="Times New Roman" w:eastAsia="Times New Roman" w:hAnsi="Times New Roman"/>
          <w:sz w:val="10"/>
          <w:szCs w:val="10"/>
          <w:color w:val="auto"/>
        </w:rPr>
        <w:t>” means the incentive equity plan adopted by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Limited</w:t>
      </w:r>
      <w:r>
        <w:rPr>
          <w:rFonts w:ascii="Times New Roman" w:cs="Times New Roman" w:eastAsia="Times New Roman" w:hAnsi="Times New Roman"/>
          <w:sz w:val="10"/>
          <w:szCs w:val="10"/>
          <w:color w:val="auto"/>
        </w:rPr>
        <w:t>” means Rezolve Limited, a private limited company organized under the laws of England and Wales;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Merger Sub</w:t>
      </w:r>
      <w:r>
        <w:rPr>
          <w:rFonts w:ascii="Times New Roman" w:cs="Times New Roman" w:eastAsia="Times New Roman" w:hAnsi="Times New Roman"/>
          <w:sz w:val="10"/>
          <w:szCs w:val="10"/>
          <w:color w:val="auto"/>
        </w:rPr>
        <w:t>” means Rezolve Merger Sub, Inc., a Delaware corporation;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Options</w:t>
      </w:r>
      <w:r>
        <w:rPr>
          <w:rFonts w:ascii="Times New Roman" w:cs="Times New Roman" w:eastAsia="Times New Roman" w:hAnsi="Times New Roman"/>
          <w:sz w:val="10"/>
          <w:szCs w:val="10"/>
          <w:color w:val="auto"/>
        </w:rPr>
        <w:t>” means options to subscribe for Ordinary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Rezolve Shareholder</w:t>
      </w:r>
      <w:r>
        <w:rPr>
          <w:rFonts w:ascii="Times New Roman" w:cs="Times New Roman" w:eastAsia="Times New Roman" w:hAnsi="Times New Roman"/>
          <w:sz w:val="10"/>
          <w:szCs w:val="10"/>
          <w:color w:val="auto"/>
        </w:rPr>
        <w:t>” means a holder of shares of stock in the capital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Selling Holders</w:t>
      </w:r>
      <w:r>
        <w:rPr>
          <w:rFonts w:ascii="Times New Roman" w:cs="Times New Roman" w:eastAsia="Times New Roman" w:hAnsi="Times New Roman"/>
          <w:sz w:val="10"/>
          <w:szCs w:val="10"/>
          <w:color w:val="auto"/>
        </w:rPr>
        <w:t>” means the selling security holders named in this Registration Statement on Form F-1;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SMBs</w:t>
      </w:r>
      <w:r>
        <w:rPr>
          <w:rFonts w:ascii="Times New Roman" w:cs="Times New Roman" w:eastAsia="Times New Roman" w:hAnsi="Times New Roman"/>
          <w:sz w:val="10"/>
          <w:szCs w:val="10"/>
          <w:color w:val="auto"/>
        </w:rPr>
        <w:t>” means small and medium-sized businesses;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Sponsor</w:t>
      </w:r>
      <w:r>
        <w:rPr>
          <w:rFonts w:ascii="Times New Roman" w:cs="Times New Roman" w:eastAsia="Times New Roman" w:hAnsi="Times New Roman"/>
          <w:sz w:val="10"/>
          <w:szCs w:val="10"/>
          <w:color w:val="auto"/>
        </w:rPr>
        <w:t>” means Armada Sponsor LLC;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means the United Kingdom;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means the UK Companies Act 2006 (as amended from time to time);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w:t>
      </w:r>
      <w:r>
        <w:rPr>
          <w:rFonts w:ascii="Times New Roman" w:cs="Times New Roman" w:eastAsia="Times New Roman" w:hAnsi="Times New Roman"/>
          <w:sz w:val="10"/>
          <w:szCs w:val="10"/>
          <w:color w:val="auto"/>
        </w:rPr>
        <w:t>” refers to the United States of America;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USD</w:t>
      </w:r>
      <w:r>
        <w:rPr>
          <w:rFonts w:ascii="Times New Roman" w:cs="Times New Roman" w:eastAsia="Times New Roman" w:hAnsi="Times New Roman"/>
          <w:sz w:val="10"/>
          <w:szCs w:val="10"/>
          <w:color w:val="auto"/>
        </w:rPr>
        <w:t>” refers to the U.S. Dollar;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i w:val="1"/>
          <w:iCs w:val="1"/>
          <w:color w:val="auto"/>
        </w:rPr>
        <w:t>Warrants</w:t>
      </w:r>
      <w:r>
        <w:rPr>
          <w:rFonts w:ascii="Times New Roman" w:cs="Times New Roman" w:eastAsia="Times New Roman" w:hAnsi="Times New Roman"/>
          <w:sz w:val="10"/>
          <w:szCs w:val="10"/>
          <w:color w:val="auto"/>
        </w:rPr>
        <w:t>” mean, collectively, the Private Warrants and the Public Warrants.</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Unless otherwise stated in this prospectus or the context otherwise requires, all references in this prospectus to the Warrants include such Ordinary Shares underlying the Warrants.</w:t>
      </w:r>
    </w:p>
    <w:p>
      <w:pPr>
        <w:spacing w:after="0" w:line="5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0"/>
          <w:szCs w:val="1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256540</wp:posOffset>
            </wp:positionV>
            <wp:extent cx="677862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40"/>
          </w:cols>
          <w:pgMar w:left="980" w:top="1093" w:right="78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CAUTIONARY NOTE REGARDING FORWARD-LOOKING STATEMENTS</w:t>
      </w:r>
    </w:p>
    <w:p>
      <w:pPr>
        <w:spacing w:after="0" w:line="97"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•discuss future expectations;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•contain projections of future results of operations or financial condition;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•state other “forward-looking” information.</w:t>
      </w:r>
    </w:p>
    <w:p>
      <w:pPr>
        <w:spacing w:after="0" w:line="118"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9"/>
          <w:szCs w:val="9"/>
          <w:i w:val="1"/>
          <w:iCs w:val="1"/>
          <w:color w:val="auto"/>
        </w:rPr>
        <w:t>Risk Factors,</w:t>
      </w:r>
      <w:r>
        <w:rPr>
          <w:rFonts w:ascii="Times New Roman" w:cs="Times New Roman" w:eastAsia="Times New Roman" w:hAnsi="Times New Roman"/>
          <w:sz w:val="9"/>
          <w:szCs w:val="9"/>
          <w:color w:val="auto"/>
        </w:rPr>
        <w:t>” provide examples of risks, uncertainties and events that may cause actual results to differ materially from the expectations we described in such forward-looking statements, including among other things: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recognize the anticipated benefits of the transactions with Armada;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ability to continue to meet Nasdaq’s listing standards;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adversely affecting our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effect of the COVID-19 pandemic on our business;</w:t>
      </w:r>
    </w:p>
    <w:p>
      <w:pPr>
        <w:spacing w:after="0" w:line="58" w:lineRule="exact"/>
        <w:rPr>
          <w:sz w:val="20"/>
          <w:szCs w:val="20"/>
          <w:color w:val="auto"/>
        </w:rPr>
      </w:pPr>
    </w:p>
    <w:p>
      <w:pPr>
        <w:ind w:left="480" w:right="3400"/>
        <w:spacing w:after="0" w:line="360" w:lineRule="auto"/>
        <w:rPr>
          <w:sz w:val="20"/>
          <w:szCs w:val="20"/>
          <w:color w:val="auto"/>
        </w:rPr>
      </w:pPr>
      <w:r>
        <w:rPr>
          <w:rFonts w:ascii="Times New Roman" w:cs="Times New Roman" w:eastAsia="Times New Roman" w:hAnsi="Times New Roman"/>
          <w:sz w:val="10"/>
          <w:szCs w:val="10"/>
          <w:color w:val="auto"/>
        </w:rPr>
        <w:t>•the outcome of any legal proceedings that may be instituted against us following the consummation of the Business Combination and the transactions contemplated thereby •general economic conditions;</w:t>
      </w:r>
    </w:p>
    <w:p>
      <w:pPr>
        <w:ind w:left="480"/>
        <w:spacing w:after="0"/>
        <w:rPr>
          <w:sz w:val="20"/>
          <w:szCs w:val="20"/>
          <w:color w:val="auto"/>
        </w:rPr>
      </w:pPr>
      <w:r>
        <w:rPr>
          <w:rFonts w:ascii="Times New Roman" w:cs="Times New Roman" w:eastAsia="Times New Roman" w:hAnsi="Times New Roman"/>
          <w:sz w:val="10"/>
          <w:szCs w:val="10"/>
          <w:color w:val="auto"/>
        </w:rPr>
        <w:t>•the effect of the conflict in Ukraine or other hostilities;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applicable law or regulations;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business strategy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result of future financing efforts; and</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•other factors detailed in the section entitled </w:t>
      </w:r>
      <w:r>
        <w:rPr>
          <w:rFonts w:ascii="Times New Roman" w:cs="Times New Roman" w:eastAsia="Times New Roman" w:hAnsi="Times New Roman"/>
          <w:sz w:val="10"/>
          <w:szCs w:val="10"/>
          <w:i w:val="1"/>
          <w:iCs w:val="1"/>
          <w:color w:val="auto"/>
        </w:rPr>
        <w:t>“Risk Factors.”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You are cautioned not to place undue reliance on these forward-looking statements, which speak only as of the date of this prospectus.</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All forward-looking statements included herein are expressly qualified in their entirety by the cautionary statements contained or referred to in this section. Except to the extent required by applicable laws and regulations, Armada and Rezolve undertake no obligations to update these forward-looking statements to reflect events or circumstances after the date of this prospectus or to reflect the occurrence of unanticipated events.</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beginning on page 35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additional information, please see the section of this prospectus titled “</w:t>
      </w:r>
      <w:r>
        <w:rPr>
          <w:rFonts w:ascii="Times New Roman" w:cs="Times New Roman" w:eastAsia="Times New Roman" w:hAnsi="Times New Roman"/>
          <w:sz w:val="10"/>
          <w:szCs w:val="10"/>
          <w:i w:val="1"/>
          <w:iCs w:val="1"/>
          <w:color w:val="auto"/>
        </w:rPr>
        <w:t>Where You Can Find More Information</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PROSPECTUS SUMMARY</w:t>
      </w:r>
    </w:p>
    <w:p>
      <w:pPr>
        <w:spacing w:after="0" w:line="95" w:lineRule="exact"/>
        <w:rPr>
          <w:sz w:val="20"/>
          <w:szCs w:val="20"/>
          <w:color w:val="auto"/>
        </w:rPr>
      </w:pPr>
    </w:p>
    <w:p>
      <w:pPr>
        <w:ind w:right="40" w:firstLine="240"/>
        <w:spacing w:after="0" w:line="247" w:lineRule="auto"/>
        <w:rPr>
          <w:sz w:val="20"/>
          <w:szCs w:val="20"/>
          <w:color w:val="auto"/>
        </w:rPr>
      </w:pPr>
      <w:r>
        <w:rPr>
          <w:rFonts w:ascii="Times New Roman" w:cs="Times New Roman" w:eastAsia="Times New Roman" w:hAnsi="Times New Roman"/>
          <w:sz w:val="10"/>
          <w:szCs w:val="10"/>
          <w:color w:val="auto"/>
        </w:rPr>
        <w:t xml:space="preserve">This </w:t>
      </w:r>
      <w:r>
        <w:rPr>
          <w:rFonts w:ascii="Times New Roman" w:cs="Times New Roman" w:eastAsia="Times New Roman" w:hAnsi="Times New Roman"/>
          <w:sz w:val="10"/>
          <w:szCs w:val="10"/>
          <w:i w:val="1"/>
          <w:iCs w:val="1"/>
          <w:color w:val="auto"/>
        </w:rPr>
        <w:t>summary highlights, and is qualified in its entirety by, the more detailed information and financial statements included elsewhere in this prospectus. This summary does not contain all of the information that may be important to you in making your investment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our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w:t>
      </w:r>
    </w:p>
    <w:p>
      <w:pPr>
        <w:spacing w:after="0" w:line="68" w:lineRule="exact"/>
        <w:rPr>
          <w:sz w:val="20"/>
          <w:szCs w:val="20"/>
          <w:color w:val="auto"/>
        </w:rPr>
      </w:pPr>
    </w:p>
    <w:p>
      <w:pPr>
        <w:ind w:firstLine="24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1</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right="120" w:firstLine="36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right="120" w:firstLine="24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right="80" w:firstLine="24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mailing address of Rezolve’s registered office is 5 New Street Square, London, United Kingdom, EC4A 3TW and its principal executive office is 3rd Floor, 80 New Bond Street, London, United Kingdom, W1S 1SB.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4200525" cy="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0525" cy="5080"/>
                    </a:xfrm>
                    <a:prstGeom prst="rect">
                      <a:avLst/>
                    </a:prstGeom>
                    <a:noFill/>
                  </pic:spPr>
                </pic:pic>
              </a:graphicData>
            </a:graphic>
          </wp:anchor>
        </w:drawing>
      </w:r>
    </w:p>
    <w:p>
      <w:pPr>
        <w:spacing w:after="0" w:line="98" w:lineRule="exact"/>
        <w:rPr>
          <w:sz w:val="20"/>
          <w:szCs w:val="20"/>
          <w:color w:val="auto"/>
        </w:rPr>
      </w:pPr>
    </w:p>
    <w:p>
      <w:pPr>
        <w:ind w:left="5260" w:right="4280" w:hanging="5260"/>
        <w:spacing w:after="0" w:line="676" w:lineRule="auto"/>
        <w:tabs>
          <w:tab w:leader="none" w:pos="61" w:val="left"/>
        </w:tabs>
        <w:numPr>
          <w:ilvl w:val="0"/>
          <w:numId w:val="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 brain-heralds-new-era-of-commerce-enabled-ai/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64770</wp:posOffset>
            </wp:positionV>
            <wp:extent cx="677862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033" w:right="68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0"/>
          <w:szCs w:val="10"/>
          <w:b w:val="1"/>
          <w:bCs w:val="1"/>
          <w:color w:val="auto"/>
        </w:rPr>
        <w:t>Background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On the Closing Date, we consummated the previously announced Business Combination with Armada.</w:t>
      </w:r>
    </w:p>
    <w:p>
      <w:pPr>
        <w:spacing w:after="0" w:line="118" w:lineRule="exact"/>
        <w:rPr>
          <w:sz w:val="20"/>
          <w:szCs w:val="20"/>
          <w:color w:val="auto"/>
        </w:rPr>
      </w:pPr>
    </w:p>
    <w:p>
      <w:pPr>
        <w:ind w:right="20" w:firstLine="240"/>
        <w:spacing w:after="0" w:line="241" w:lineRule="auto"/>
        <w:rPr>
          <w:sz w:val="20"/>
          <w:szCs w:val="20"/>
          <w:color w:val="auto"/>
        </w:rPr>
      </w:pPr>
      <w:r>
        <w:rPr>
          <w:rFonts w:ascii="Times New Roman" w:cs="Times New Roman" w:eastAsia="Times New Roman" w:hAnsi="Times New Roman"/>
          <w:sz w:val="10"/>
          <w:szCs w:val="10"/>
          <w:color w:val="auto"/>
        </w:rPr>
        <w:t>On July 4, 2024, prior to the Closing Date, Rezolve Limited effected the Pre -Closing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08" w:lineRule="exact"/>
        <w:rPr>
          <w:sz w:val="20"/>
          <w:szCs w:val="20"/>
          <w:color w:val="auto"/>
        </w:rPr>
      </w:pPr>
    </w:p>
    <w:p>
      <w:pPr>
        <w:jc w:val="both"/>
        <w:ind w:right="60" w:firstLine="240"/>
        <w:spacing w:after="0" w:line="285" w:lineRule="auto"/>
        <w:rPr>
          <w:sz w:val="20"/>
          <w:szCs w:val="20"/>
          <w:color w:val="auto"/>
        </w:rPr>
      </w:pPr>
      <w:r>
        <w:rPr>
          <w:rFonts w:ascii="Times New Roman" w:cs="Times New Roman" w:eastAsia="Times New Roman" w:hAnsi="Times New Roman"/>
          <w:sz w:val="9"/>
          <w:szCs w:val="9"/>
          <w:color w:val="auto"/>
        </w:rPr>
        <w:t>Pursuant to 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111" w:lineRule="exact"/>
        <w:rPr>
          <w:sz w:val="20"/>
          <w:szCs w:val="20"/>
          <w:color w:val="auto"/>
        </w:rPr>
      </w:pPr>
    </w:p>
    <w:p>
      <w:pPr>
        <w:ind w:right="100" w:firstLine="240"/>
        <w:spacing w:after="0" w:line="271" w:lineRule="auto"/>
        <w:rPr>
          <w:sz w:val="20"/>
          <w:szCs w:val="20"/>
          <w:color w:val="auto"/>
        </w:rPr>
      </w:pPr>
      <w:r>
        <w:rPr>
          <w:rFonts w:ascii="Times New Roman" w:cs="Times New Roman" w:eastAsia="Times New Roman" w:hAnsi="Times New Roman"/>
          <w:sz w:val="10"/>
          <w:szCs w:val="10"/>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$160 to the Company on the Closing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Information</w:t>
      </w:r>
    </w:p>
    <w:p>
      <w:pPr>
        <w:spacing w:after="0" w:line="60" w:lineRule="exact"/>
        <w:rPr>
          <w:sz w:val="20"/>
          <w:szCs w:val="20"/>
          <w:color w:val="auto"/>
        </w:rPr>
      </w:pPr>
    </w:p>
    <w:p>
      <w:pPr>
        <w:ind w:right="120" w:firstLine="240"/>
        <w:spacing w:after="0" w:line="255" w:lineRule="auto"/>
        <w:rPr>
          <w:sz w:val="20"/>
          <w:szCs w:val="20"/>
          <w:color w:val="auto"/>
        </w:rPr>
      </w:pPr>
      <w:r>
        <w:rPr>
          <w:rFonts w:ascii="Times New Roman" w:cs="Times New Roman" w:eastAsia="Times New Roman" w:hAnsi="Times New Roman"/>
          <w:sz w:val="10"/>
          <w:szCs w:val="10"/>
          <w:color w:val="auto"/>
        </w:rPr>
        <w:t>The Company was incorporated under the laws of England and Wales with registration number 14573691 on January 5, 2023 under the name Rezolve Group Limited and changed its name to Rezolve AI Limited on June 6, 2023. The Company intends to alter its legal status under English law from a private limited company and to re-register as a public limited company and change its name from Rezolve AI Limited to Rezolve AI PLC.</w:t>
      </w:r>
    </w:p>
    <w:p>
      <w:pPr>
        <w:spacing w:after="0" w:line="101"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 xml:space="preserve">The Ordinary Shares and Public Warrants are listed on Nasdaq under the symbols “RZLV” and “RZLVW,” respectively. Our registered office is at 5 New Street Square London EC4A 3TW and our principal executive office is 3rd Floor, 80 New Bond Street, London, United Kingdom, W1S 1SB. Our register of members is kept with our transfer agent at 150 Royal Street, Canton, MA 02021. Our website address is </w:t>
      </w:r>
      <w:r>
        <w:rPr>
          <w:rFonts w:ascii="Times New Roman" w:cs="Times New Roman" w:eastAsia="Times New Roman" w:hAnsi="Times New Roman"/>
          <w:sz w:val="10"/>
          <w:szCs w:val="10"/>
          <w:i w:val="1"/>
          <w:iCs w:val="1"/>
          <w:color w:val="auto"/>
        </w:rPr>
        <w:t>www.rezolve.com.</w:t>
      </w:r>
      <w:r>
        <w:rPr>
          <w:rFonts w:ascii="Times New Roman" w:cs="Times New Roman" w:eastAsia="Times New Roman" w:hAnsi="Times New Roman"/>
          <w:sz w:val="10"/>
          <w:szCs w:val="10"/>
          <w:color w:val="auto"/>
        </w:rPr>
        <w:t xml:space="preserve"> Our website and the information contained on, or that can be accessed through, our website is not deemed to be incorporated by reference in, and is not considered part of, this prospectus.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Emerging Growth Company</w:t>
      </w:r>
    </w:p>
    <w:p>
      <w:pPr>
        <w:spacing w:after="0" w:line="60" w:lineRule="exact"/>
        <w:rPr>
          <w:sz w:val="20"/>
          <w:szCs w:val="20"/>
          <w:color w:val="auto"/>
        </w:rPr>
      </w:pPr>
    </w:p>
    <w:p>
      <w:pPr>
        <w:ind w:right="40" w:firstLine="24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05" w:lineRule="exact"/>
        <w:rPr>
          <w:sz w:val="20"/>
          <w:szCs w:val="20"/>
          <w:color w:val="auto"/>
        </w:rPr>
      </w:pPr>
    </w:p>
    <w:p>
      <w:pPr>
        <w:jc w:val="both"/>
        <w:ind w:right="220" w:firstLine="240"/>
        <w:spacing w:after="0" w:line="239" w:lineRule="auto"/>
        <w:rPr>
          <w:sz w:val="20"/>
          <w:szCs w:val="20"/>
          <w:color w:val="auto"/>
        </w:rPr>
      </w:pPr>
      <w:r>
        <w:rPr>
          <w:rFonts w:ascii="Times New Roman" w:cs="Times New Roman" w:eastAsia="Times New Roman" w:hAnsi="Times New Roman"/>
          <w:sz w:val="10"/>
          <w:szCs w:val="10"/>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213" w:right="680" w:bottom="1440" w:gutter="0" w:footer="0" w:header="0"/>
        </w:sectPr>
      </w:pPr>
    </w:p>
    <w:bookmarkStart w:id="12" w:name="page13"/>
    <w:bookmarkEnd w:id="12"/>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w:t>
      </w:r>
    </w:p>
    <w:p>
      <w:pPr>
        <w:spacing w:after="0" w:line="60" w:lineRule="exact"/>
        <w:rPr>
          <w:sz w:val="20"/>
          <w:szCs w:val="20"/>
          <w:color w:val="auto"/>
        </w:rPr>
      </w:pPr>
    </w:p>
    <w:p>
      <w:pPr>
        <w:ind w:firstLine="240"/>
        <w:spacing w:after="0" w:line="245" w:lineRule="auto"/>
        <w:rPr>
          <w:sz w:val="20"/>
          <w:szCs w:val="20"/>
          <w:color w:val="auto"/>
        </w:rPr>
      </w:pPr>
      <w:r>
        <w:rPr>
          <w:rFonts w:ascii="Times New Roman" w:cs="Times New Roman" w:eastAsia="Times New Roman" w:hAnsi="Times New Roman"/>
          <w:sz w:val="10"/>
          <w:szCs w:val="10"/>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05" w:lineRule="exact"/>
        <w:rPr>
          <w:sz w:val="20"/>
          <w:szCs w:val="20"/>
          <w:color w:val="auto"/>
        </w:rPr>
      </w:pPr>
    </w:p>
    <w:p>
      <w:pPr>
        <w:ind w:right="20" w:firstLine="240"/>
        <w:spacing w:after="0" w:line="245" w:lineRule="auto"/>
        <w:rPr>
          <w:sz w:val="20"/>
          <w:szCs w:val="20"/>
          <w:color w:val="auto"/>
        </w:rPr>
      </w:pPr>
      <w:r>
        <w:rPr>
          <w:rFonts w:ascii="Times New Roman" w:cs="Times New Roman" w:eastAsia="Times New Roman" w:hAnsi="Times New Roman"/>
          <w:sz w:val="10"/>
          <w:szCs w:val="10"/>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05" w:lineRule="exact"/>
        <w:rPr>
          <w:sz w:val="20"/>
          <w:szCs w:val="20"/>
          <w:color w:val="auto"/>
        </w:rPr>
      </w:pPr>
    </w:p>
    <w:p>
      <w:pPr>
        <w:ind w:right="80" w:firstLine="240"/>
        <w:spacing w:after="0" w:line="255" w:lineRule="auto"/>
        <w:rPr>
          <w:sz w:val="20"/>
          <w:szCs w:val="20"/>
          <w:color w:val="auto"/>
        </w:rPr>
      </w:pPr>
      <w:r>
        <w:rPr>
          <w:rFonts w:ascii="Times New Roman" w:cs="Times New Roman" w:eastAsia="Times New Roman" w:hAnsi="Times New Roman"/>
          <w:sz w:val="10"/>
          <w:szCs w:val="10"/>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01" w:lineRule="exact"/>
        <w:rPr>
          <w:sz w:val="20"/>
          <w:szCs w:val="20"/>
          <w:color w:val="auto"/>
        </w:rPr>
      </w:pPr>
    </w:p>
    <w:p>
      <w:pPr>
        <w:ind w:right="240" w:firstLine="240"/>
        <w:spacing w:after="0" w:line="255" w:lineRule="auto"/>
        <w:rPr>
          <w:sz w:val="20"/>
          <w:szCs w:val="20"/>
          <w:color w:val="auto"/>
        </w:rPr>
      </w:pPr>
      <w:r>
        <w:rPr>
          <w:rFonts w:ascii="Times New Roman" w:cs="Times New Roman" w:eastAsia="Times New Roman" w:hAnsi="Times New Roman"/>
          <w:sz w:val="10"/>
          <w:szCs w:val="10"/>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56" w:lineRule="exact"/>
        <w:rPr>
          <w:sz w:val="20"/>
          <w:szCs w:val="20"/>
          <w:color w:val="auto"/>
        </w:rPr>
      </w:pPr>
    </w:p>
    <w:p>
      <w:pPr>
        <w:ind w:right="20" w:firstLine="240"/>
        <w:spacing w:after="0" w:line="241" w:lineRule="auto"/>
        <w:rPr>
          <w:sz w:val="20"/>
          <w:szCs w:val="20"/>
          <w:color w:val="auto"/>
        </w:rPr>
      </w:pPr>
      <w:r>
        <w:rPr>
          <w:rFonts w:ascii="Times New Roman" w:cs="Times New Roman" w:eastAsia="Times New Roman" w:hAnsi="Times New Roman"/>
          <w:sz w:val="10"/>
          <w:szCs w:val="10"/>
          <w:color w:val="auto"/>
        </w:rPr>
        <w:t>Because we are a foreign private issuer as defined by the SEC, under Nasdaq rules and regulations, we may comply with home country governance requirements and certain exemptions thereunder rather than complying with Nasdaq corporate governance standards.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We submitted to Nasdaq a written statement by counsel of the United Kingdom certifying that the above noncompliant practices are not prohibited under the laws of the United Kingdom, the Company’s home jurisdiction.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58" w:lineRule="exact"/>
        <w:rPr>
          <w:sz w:val="20"/>
          <w:szCs w:val="20"/>
          <w:color w:val="auto"/>
        </w:rPr>
      </w:pPr>
    </w:p>
    <w:p>
      <w:pPr>
        <w:ind w:right="340" w:firstLine="240"/>
        <w:spacing w:after="0" w:line="259" w:lineRule="auto"/>
        <w:rPr>
          <w:sz w:val="20"/>
          <w:szCs w:val="20"/>
          <w:color w:val="auto"/>
        </w:rPr>
      </w:pPr>
      <w:r>
        <w:rPr>
          <w:rFonts w:ascii="Times New Roman" w:cs="Times New Roman" w:eastAsia="Times New Roman" w:hAnsi="Times New Roman"/>
          <w:sz w:val="10"/>
          <w:szCs w:val="10"/>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•Rezolve expects it will need additional financing in addition to the proceeds of this offering to execute our business plan and fund operations, which additional financing may not be available on reasonable terms, or at all.</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•This offering is being made on a best-efforts basis and we may sell fewer than all of the securities offered hereby and may receive significantly less in net proceeds from this offering, which will provide us only limited working capital.</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•The offering price of our securities offered hereby is substantially higher than the net tangible book value per</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share of our outstanding Ordinary Shares following this offering, and new investors will experience immediate and substantial dilution.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155" w:right="66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0"/>
          <w:szCs w:val="10"/>
          <w:color w:val="auto"/>
        </w:rPr>
        <w:t>•Rezolve will have broad discretion and flexibility in how the net proceeds from this offering are used, we may use the net proceeds in ways in which you disagree.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•There is no public market for the Offering Warrants or Pre-Funded Warrants being offered by us in this offering.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has generated limited revenues from existing Channels and there is no guarantee that it will be able to attract and retain new merchants and increase sales to new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an early-stage company with a history of financial losses and expects to incur significant expenses and continuing losses for the foreseeable future.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impact of worldwide economic conditions, including the resulting effect on spending by SMBs and spending on technology, may adversely affect Rezolve’s business, operating results and financial condition.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limited operating history in a new and developing market makes it difficult to evaluate its current business and future prospects and may increase the risk that it will not be successful.</w:t>
      </w:r>
    </w:p>
    <w:p>
      <w:pPr>
        <w:spacing w:after="0" w:line="17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0"/>
          <w:szCs w:val="10"/>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business could be harmed if it fails to manage its growth effectively.</w:t>
      </w:r>
    </w:p>
    <w:p>
      <w:pPr>
        <w:spacing w:after="0" w:line="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0"/>
          <w:szCs w:val="10"/>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does not have the history with its solutions or pricing models necessary to accurately predict optimal pricing necessary to attract new merchants and retain existing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a result of Rezolve’s business model, it may not be able to accurately assess its financial position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business is susceptible to risks associated with international sales and the use of its platform in various countries.</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•Exchange rate fluctuations may negatively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operating results are expected to be subject to seasonal fluctuations.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estimates or judgments relating to Rezolve’s critical accounting policies are ultimately incorrect, Rezolve’s results of operations could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not be able to compete successfully against current and future competitors.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•Payment transactions on Rezolve’s platform may be subject to regulatory requirements and other risks that could be costly and difficult to comply with or that could harm Rezolve’s business.</w:t>
      </w:r>
    </w:p>
    <w:p>
      <w:pPr>
        <w:spacing w:after="0" w:line="5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0"/>
          <w:szCs w:val="10"/>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a party to the Loan Note Instrument, which contains a number of covenants that may restrict our current and future operations and could adversely affect our ability to execute business needs.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the availability of Rezolve’s platform does not meet its service-level commitments to customers, Rezolve’s current and future revenues may be negatively impacted.</w:t>
      </w:r>
    </w:p>
    <w:p>
      <w:pPr>
        <w:spacing w:after="0" w:line="1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00"/>
          </w:cols>
          <w:pgMar w:left="900" w:top="1095" w:right="70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0"/>
          <w:szCs w:val="10"/>
          <w:color w:val="auto"/>
        </w:rPr>
        <w:t>•Rezolve does not intend to pay dividends for the foreseeable future.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regional or global health pandemic, including the global COVID-19 pandemic, may adversely impact Rezolve’s business, results of operations and financial performance.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is unable to hire, retain and motivate qualified personnel, its business will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Rezolve’s software contains serious errors or defects, Rezolve may lose revenues and market acceptance and may incur costs to defend or settle claims with its merchants.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uses a limited number of data centers to deliver its services. Any disruption of service at these facilities could harm Rezolve’s business.</w:t>
      </w:r>
    </w:p>
    <w:p>
      <w:pPr>
        <w:spacing w:after="0" w:line="5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0"/>
          <w:szCs w:val="10"/>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in order to provide its solutions and run its business.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•If Rezolve does not or cannot maintain the compatibility of its platform with third-party applications that its customers use in their businesses, Rezolve’s revenues will decline.</w:t>
      </w:r>
    </w:p>
    <w:p>
      <w:pPr>
        <w:spacing w:after="0" w:line="5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0"/>
          <w:szCs w:val="10"/>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brand is important to its success. If Rezolve fails to effectively maintain, promote and enhance Rezolve’s brand, Rezolve’s business and competitive advantage may be harmed.</w:t>
      </w:r>
    </w:p>
    <w:p>
      <w:pPr>
        <w:spacing w:after="0" w:line="58"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0"/>
          <w:szCs w:val="10"/>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 may be subject to claims by third parties of intellectual property infringement.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•Rezolve’s use of “open source” software could negatively affect its ability to sell its solutions and subject Rezolve to possible litigation.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financial accounting standards or practices may cause adverse, unexpected financial reporting fluctuations and adversely affect Rezolve’s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•Changes in tax laws or tax rulings could materially affect Rezolve’s financial position, results of operations, and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•Claims for indemnification by Rezolve’s directors and officers may reduce Rezolve’s available funds to satisfy successful third-party claims against Rezolve and may reduce the amount of money available to Rezolve.</w:t>
      </w:r>
    </w:p>
    <w:p>
      <w:pPr>
        <w:spacing w:after="0" w:line="5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•Enhanced trade tariffs, import restrictions, export restrictions, United States regulations or other trade barriers may materially harm Rezolve’s business.</w:t>
      </w:r>
    </w:p>
    <w:p>
      <w:pPr>
        <w:spacing w:after="0" w:line="11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256540</wp:posOffset>
            </wp:positionV>
            <wp:extent cx="677862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40"/>
          </w:cols>
          <w:pgMar w:left="900" w:top="1095" w:right="66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9"/>
          <w:szCs w:val="9"/>
          <w:color w:val="auto"/>
        </w:rPr>
        <w:t>•From time to time, Rezolve may be involved in legal proceedings and commercial or contractual disputes, which could have an adverse impact on Rezolve’s profitability and consolidated financial position.</w:t>
      </w:r>
    </w:p>
    <w:p>
      <w:pPr>
        <w:sectPr>
          <w:pgSz w:w="11900" w:h="16840" w:orient="portrait"/>
          <w:cols w:equalWidth="0" w:num="1">
            <w:col w:w="9560"/>
          </w:cols>
          <w:pgMar w:left="900" w:top="1095" w:right="1440" w:bottom="1440" w:gutter="0" w:footer="0" w:header="0"/>
        </w:sectPr>
      </w:pPr>
    </w:p>
    <w:p>
      <w:pPr>
        <w:spacing w:after="0" w:line="2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7"/>
          <w:szCs w:val="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278765</wp:posOffset>
            </wp:positionV>
            <wp:extent cx="677862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560"/>
          </w:cols>
          <w:pgMar w:left="900" w:top="1095"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27"/>
        </w:trPr>
        <w:tc>
          <w:tcPr>
            <w:tcW w:w="3460" w:type="dxa"/>
            <w:vAlign w:val="bottom"/>
          </w:tcPr>
          <w:p>
            <w:pPr>
              <w:spacing w:after="0"/>
              <w:rPr>
                <w:sz w:val="11"/>
                <w:szCs w:val="11"/>
                <w:color w:val="auto"/>
              </w:rPr>
            </w:pPr>
          </w:p>
        </w:tc>
        <w:tc>
          <w:tcPr>
            <w:tcW w:w="5480" w:type="dxa"/>
            <w:vAlign w:val="bottom"/>
          </w:tcPr>
          <w:p>
            <w:pPr>
              <w:ind w:left="1480"/>
              <w:spacing w:after="0"/>
              <w:rPr>
                <w:sz w:val="20"/>
                <w:szCs w:val="20"/>
                <w:color w:val="auto"/>
              </w:rPr>
            </w:pPr>
            <w:r>
              <w:rPr>
                <w:rFonts w:ascii="Times New Roman" w:cs="Times New Roman" w:eastAsia="Times New Roman" w:hAnsi="Times New Roman"/>
                <w:sz w:val="10"/>
                <w:szCs w:val="10"/>
                <w:b w:val="1"/>
                <w:bCs w:val="1"/>
                <w:color w:val="auto"/>
              </w:rPr>
              <w:t>THE OFFERING</w:t>
            </w:r>
          </w:p>
        </w:tc>
        <w:tc>
          <w:tcPr>
            <w:tcW w:w="1680" w:type="dxa"/>
            <w:vAlign w:val="bottom"/>
          </w:tcPr>
          <w:p>
            <w:pPr>
              <w:spacing w:after="0"/>
              <w:rPr>
                <w:sz w:val="11"/>
                <w:szCs w:val="11"/>
                <w:color w:val="auto"/>
              </w:rPr>
            </w:pPr>
          </w:p>
        </w:tc>
      </w:tr>
      <w:tr>
        <w:trPr>
          <w:trHeight w:val="288"/>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Securities offered by us</w:t>
            </w:r>
          </w:p>
        </w:tc>
        <w:tc>
          <w:tcPr>
            <w:tcW w:w="5480" w:type="dxa"/>
            <w:vAlign w:val="bottom"/>
          </w:tcPr>
          <w:p>
            <w:pPr>
              <w:ind w:left="1940"/>
              <w:spacing w:after="0"/>
              <w:rPr>
                <w:sz w:val="20"/>
                <w:szCs w:val="20"/>
                <w:color w:val="auto"/>
              </w:rPr>
            </w:pPr>
            <w:r>
              <w:rPr>
                <w:rFonts w:ascii="Times New Roman" w:cs="Times New Roman" w:eastAsia="Times New Roman" w:hAnsi="Times New Roman"/>
                <w:sz w:val="10"/>
                <w:szCs w:val="10"/>
                <w:color w:val="auto"/>
                <w:w w:val="98"/>
              </w:rPr>
              <w:t>Up to 7,598,784 Ordinary Shares and accompanying Offering Warrants to purchase up to</w:t>
            </w: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7,598,784 Ordinary Shares, or Pre-Funded</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w w:val="99"/>
              </w:rPr>
              <w:t>Warrants to purchase up to 7,598,784 Ordinary Shares and accompanying Offering Warrants to purchase up to 7,598,784 Ordinary</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w w:val="97"/>
              </w:rPr>
              <w:t>Shares on a reasonable “best efforts” basis. The Ordinary Shares, or the Pre-Funded Warrants, and accompanying Offering Warrants</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w w:val="98"/>
              </w:rPr>
              <w:t>are immediately separable and will be issued separately in this offering, but must initially be purchased together in this offering. The</w:t>
            </w:r>
          </w:p>
        </w:tc>
      </w:tr>
      <w:tr>
        <w:trPr>
          <w:trHeight w:val="113"/>
        </w:trPr>
        <w:tc>
          <w:tcPr>
            <w:tcW w:w="3460" w:type="dxa"/>
            <w:vAlign w:val="bottom"/>
          </w:tcPr>
          <w:p>
            <w:pPr>
              <w:spacing w:after="0"/>
              <w:rPr>
                <w:sz w:val="9"/>
                <w:szCs w:val="9"/>
                <w:color w:val="auto"/>
              </w:rPr>
            </w:pPr>
          </w:p>
        </w:tc>
        <w:tc>
          <w:tcPr>
            <w:tcW w:w="5480" w:type="dxa"/>
            <w:vAlign w:val="bottom"/>
          </w:tcPr>
          <w:p>
            <w:pPr>
              <w:ind w:left="1940"/>
              <w:spacing w:after="0" w:line="113" w:lineRule="exact"/>
              <w:rPr>
                <w:sz w:val="20"/>
                <w:szCs w:val="20"/>
                <w:color w:val="auto"/>
              </w:rPr>
            </w:pPr>
            <w:r>
              <w:rPr>
                <w:rFonts w:ascii="Times New Roman" w:cs="Times New Roman" w:eastAsia="Times New Roman" w:hAnsi="Times New Roman"/>
                <w:sz w:val="10"/>
                <w:szCs w:val="10"/>
                <w:color w:val="auto"/>
                <w:w w:val="97"/>
              </w:rPr>
              <w:t>Offering Warrants are exercisable immediately, have an exercise price per share equal to $</w:t>
            </w:r>
          </w:p>
        </w:tc>
        <w:tc>
          <w:tcPr>
            <w:tcW w:w="16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7"/>
              </w:rPr>
              <w:t>, and will expire five years after the</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rPr>
              <w:t>date of issuance. However, if at any time the 5-Day VWAP is at or above ______, the Offering Warrants shall expire in 30 days.</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rPr>
              <w:t>This prospectus also relates to the offering of Ordinary Shares issuable upon exercise of the Offering Warrants and Pre-Funded</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rPr>
              <w:t>Warrants. For more information regarding the Offering Warrants and Pre-Funded Warrants, you should carefully read the section</w:t>
            </w:r>
          </w:p>
        </w:tc>
      </w:tr>
      <w:tr>
        <w:trPr>
          <w:trHeight w:val="125"/>
        </w:trPr>
        <w:tc>
          <w:tcPr>
            <w:tcW w:w="3460" w:type="dxa"/>
            <w:vAlign w:val="bottom"/>
          </w:tcPr>
          <w:p>
            <w:pPr>
              <w:spacing w:after="0"/>
              <w:rPr>
                <w:sz w:val="10"/>
                <w:szCs w:val="10"/>
                <w:color w:val="auto"/>
              </w:rPr>
            </w:pPr>
          </w:p>
        </w:tc>
        <w:tc>
          <w:tcPr>
            <w:tcW w:w="5480" w:type="dxa"/>
            <w:vAlign w:val="bottom"/>
          </w:tcPr>
          <w:p>
            <w:pPr>
              <w:ind w:left="1940"/>
              <w:spacing w:after="0"/>
              <w:rPr>
                <w:sz w:val="20"/>
                <w:szCs w:val="20"/>
                <w:color w:val="auto"/>
              </w:rPr>
            </w:pPr>
            <w:r>
              <w:rPr>
                <w:rFonts w:ascii="Times New Roman" w:cs="Times New Roman" w:eastAsia="Times New Roman" w:hAnsi="Times New Roman"/>
                <w:sz w:val="10"/>
                <w:szCs w:val="10"/>
                <w:color w:val="auto"/>
              </w:rPr>
              <w:t>titled “Description of Securities to be Registered” in this prospectus.</w:t>
            </w:r>
          </w:p>
        </w:tc>
        <w:tc>
          <w:tcPr>
            <w:tcW w:w="1680" w:type="dxa"/>
            <w:vAlign w:val="bottom"/>
          </w:tcPr>
          <w:p>
            <w:pPr>
              <w:spacing w:after="0"/>
              <w:rPr>
                <w:sz w:val="10"/>
                <w:szCs w:val="10"/>
                <w:color w:val="auto"/>
              </w:rPr>
            </w:pPr>
          </w:p>
        </w:tc>
      </w:tr>
      <w:tr>
        <w:trPr>
          <w:trHeight w:val="160"/>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Pre-Funded Warrants offered by us in this offering</w:t>
            </w:r>
          </w:p>
        </w:tc>
        <w:tc>
          <w:tcPr>
            <w:tcW w:w="7160" w:type="dxa"/>
            <w:vAlign w:val="bottom"/>
            <w:gridSpan w:val="2"/>
          </w:tcPr>
          <w:p>
            <w:pPr>
              <w:ind w:left="1940"/>
              <w:spacing w:after="0"/>
              <w:rPr>
                <w:sz w:val="20"/>
                <w:szCs w:val="20"/>
                <w:color w:val="auto"/>
              </w:rPr>
            </w:pPr>
            <w:r>
              <w:rPr>
                <w:rFonts w:ascii="Times New Roman" w:cs="Times New Roman" w:eastAsia="Times New Roman" w:hAnsi="Times New Roman"/>
                <w:sz w:val="10"/>
                <w:szCs w:val="10"/>
                <w:color w:val="auto"/>
                <w:w w:val="99"/>
              </w:rPr>
              <w:t>We are also offering to each purchaser whose purchase of Ordinary Shares in this offering would otherwise result in the purchaser,</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rPr>
              <w:t>together with its affiliates and certain related parties, beneficially owning more than 4.99% (or, at the election of the purchaser,</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w w:val="97"/>
              </w:rPr>
              <w:t>9.99%) of our outstanding Ordinary Shares immediately following the consummation of this offering, the opportunity to purchase, if</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rPr>
              <w:t>the purchaser so chooses, Pre-Funded Warrants (each Pre-Funded Warrant to purchase one Ordinary Share) in lieu of shares that</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rPr>
              <w:t>would otherwise result in the purchaser’s beneficial ownership exceeding 4.99% of our outstanding Ordinary Shares (or, at the</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w w:val="99"/>
              </w:rPr>
              <w:t>election of the purchaser, 9.99%). The purchase price of each Pre-Funded Warrant and accompanying Offering Warrant will equal</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rPr>
              <w:t>the price at which one Ordinary Share and accompanying Offering Warrant are being sold to the public in this offering, minus</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w w:val="99"/>
              </w:rPr>
              <w:t>$0.001, and the exercise price of each Pre-Funded Warrant will be $0.001 per share. The Pre-Funded Warrants will be exercisable</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rPr>
              <w:t>immediately and may be exercised at any time until all of the Pre-Funded Warrants are exercised in full. For each Pre-Funded</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w w:val="97"/>
              </w:rPr>
              <w:t>Warrant we sell, the number of Ordinary Shares we are offering will be decreased on a one-for-one basis. This prospectus also covers</w:t>
            </w:r>
          </w:p>
        </w:tc>
      </w:tr>
      <w:tr>
        <w:trPr>
          <w:trHeight w:val="125"/>
        </w:trPr>
        <w:tc>
          <w:tcPr>
            <w:tcW w:w="3460" w:type="dxa"/>
            <w:vAlign w:val="bottom"/>
          </w:tcPr>
          <w:p>
            <w:pPr>
              <w:spacing w:after="0"/>
              <w:rPr>
                <w:sz w:val="10"/>
                <w:szCs w:val="10"/>
                <w:color w:val="auto"/>
              </w:rPr>
            </w:pPr>
          </w:p>
        </w:tc>
        <w:tc>
          <w:tcPr>
            <w:tcW w:w="7160" w:type="dxa"/>
            <w:vAlign w:val="bottom"/>
            <w:gridSpan w:val="2"/>
          </w:tcPr>
          <w:p>
            <w:pPr>
              <w:ind w:left="1940"/>
              <w:spacing w:after="0"/>
              <w:rPr>
                <w:sz w:val="20"/>
                <w:szCs w:val="20"/>
                <w:color w:val="auto"/>
              </w:rPr>
            </w:pPr>
            <w:r>
              <w:rPr>
                <w:rFonts w:ascii="Times New Roman" w:cs="Times New Roman" w:eastAsia="Times New Roman" w:hAnsi="Times New Roman"/>
                <w:sz w:val="10"/>
                <w:szCs w:val="10"/>
                <w:color w:val="auto"/>
              </w:rPr>
              <w:t>the Ordinary Shares issuable from time to time upon the exercise of the Pre-Funded Warrants.</w:t>
            </w:r>
          </w:p>
        </w:tc>
      </w:tr>
      <w:tr>
        <w:trPr>
          <w:trHeight w:val="423"/>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Reasonable Best Efforts Offering</w:t>
            </w:r>
          </w:p>
        </w:tc>
        <w:tc>
          <w:tcPr>
            <w:tcW w:w="7160" w:type="dxa"/>
            <w:vAlign w:val="bottom"/>
            <w:gridSpan w:val="2"/>
          </w:tcPr>
          <w:p>
            <w:pPr>
              <w:ind w:left="1940"/>
              <w:spacing w:after="0"/>
              <w:rPr>
                <w:sz w:val="20"/>
                <w:szCs w:val="20"/>
                <w:color w:val="auto"/>
              </w:rPr>
            </w:pPr>
            <w:r>
              <w:rPr>
                <w:rFonts w:ascii="Times New Roman" w:cs="Times New Roman" w:eastAsia="Times New Roman" w:hAnsi="Times New Roman"/>
                <w:sz w:val="10"/>
                <w:szCs w:val="10"/>
                <w:color w:val="auto"/>
                <w:w w:val="98"/>
              </w:rPr>
              <w:t>We have agreed to issue and sell the securities offered hereby to the purchasers through the Placement Agent. The Placement Agent</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rPr>
              <w:t>is not required to buy or sell any specific number or dollar amount of the securities offered hereby, but will use its reasonable best</w:t>
            </w:r>
          </w:p>
        </w:tc>
      </w:tr>
      <w:tr>
        <w:trPr>
          <w:trHeight w:val="113"/>
        </w:trPr>
        <w:tc>
          <w:tcPr>
            <w:tcW w:w="3460" w:type="dxa"/>
            <w:vAlign w:val="bottom"/>
          </w:tcPr>
          <w:p>
            <w:pPr>
              <w:spacing w:after="0"/>
              <w:rPr>
                <w:sz w:val="9"/>
                <w:szCs w:val="9"/>
                <w:color w:val="auto"/>
              </w:rPr>
            </w:pPr>
          </w:p>
        </w:tc>
        <w:tc>
          <w:tcPr>
            <w:tcW w:w="7160" w:type="dxa"/>
            <w:vAlign w:val="bottom"/>
            <w:gridSpan w:val="2"/>
          </w:tcPr>
          <w:p>
            <w:pPr>
              <w:ind w:left="1940"/>
              <w:spacing w:after="0" w:line="113" w:lineRule="exact"/>
              <w:rPr>
                <w:sz w:val="20"/>
                <w:szCs w:val="20"/>
                <w:color w:val="auto"/>
              </w:rPr>
            </w:pPr>
            <w:r>
              <w:rPr>
                <w:rFonts w:ascii="Times New Roman" w:cs="Times New Roman" w:eastAsia="Times New Roman" w:hAnsi="Times New Roman"/>
                <w:sz w:val="10"/>
                <w:szCs w:val="10"/>
                <w:color w:val="auto"/>
                <w:w w:val="98"/>
              </w:rPr>
              <w:t>efforts to solicit offers to purchase the securities offered by this prospectus. See “Plan of Distribution” beginning on page 124 of this</w:t>
            </w:r>
          </w:p>
        </w:tc>
      </w:tr>
      <w:tr>
        <w:trPr>
          <w:trHeight w:val="125"/>
        </w:trPr>
        <w:tc>
          <w:tcPr>
            <w:tcW w:w="3460" w:type="dxa"/>
            <w:vAlign w:val="bottom"/>
          </w:tcPr>
          <w:p>
            <w:pPr>
              <w:spacing w:after="0"/>
              <w:rPr>
                <w:sz w:val="10"/>
                <w:szCs w:val="10"/>
                <w:color w:val="auto"/>
              </w:rPr>
            </w:pPr>
          </w:p>
        </w:tc>
        <w:tc>
          <w:tcPr>
            <w:tcW w:w="5480" w:type="dxa"/>
            <w:vAlign w:val="bottom"/>
          </w:tcPr>
          <w:p>
            <w:pPr>
              <w:ind w:left="1940"/>
              <w:spacing w:after="0"/>
              <w:rPr>
                <w:sz w:val="20"/>
                <w:szCs w:val="20"/>
                <w:color w:val="auto"/>
              </w:rPr>
            </w:pPr>
            <w:r>
              <w:rPr>
                <w:rFonts w:ascii="Times New Roman" w:cs="Times New Roman" w:eastAsia="Times New Roman" w:hAnsi="Times New Roman"/>
                <w:sz w:val="10"/>
                <w:szCs w:val="10"/>
                <w:color w:val="auto"/>
              </w:rPr>
              <w:t>prospectus.</w:t>
            </w:r>
          </w:p>
        </w:tc>
        <w:tc>
          <w:tcPr>
            <w:tcW w:w="1680" w:type="dxa"/>
            <w:vAlign w:val="bottom"/>
          </w:tcPr>
          <w:p>
            <w:pPr>
              <w:spacing w:after="0"/>
              <w:rPr>
                <w:sz w:val="10"/>
                <w:szCs w:val="10"/>
                <w:color w:val="auto"/>
              </w:rPr>
            </w:pPr>
          </w:p>
        </w:tc>
      </w:tr>
      <w:tr>
        <w:trPr>
          <w:trHeight w:val="173"/>
        </w:trPr>
        <w:tc>
          <w:tcPr>
            <w:tcW w:w="34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Ordinary Shares outstanding before this offering</w:t>
            </w:r>
          </w:p>
        </w:tc>
        <w:tc>
          <w:tcPr>
            <w:tcW w:w="5480" w:type="dxa"/>
            <w:vAlign w:val="bottom"/>
          </w:tcPr>
          <w:p>
            <w:pPr>
              <w:ind w:left="1940"/>
              <w:spacing w:after="0"/>
              <w:rPr>
                <w:sz w:val="20"/>
                <w:szCs w:val="20"/>
                <w:color w:val="auto"/>
              </w:rPr>
            </w:pPr>
            <w:r>
              <w:rPr>
                <w:rFonts w:ascii="Times New Roman" w:cs="Times New Roman" w:eastAsia="Times New Roman" w:hAnsi="Times New Roman"/>
                <w:sz w:val="10"/>
                <w:szCs w:val="10"/>
                <w:color w:val="auto"/>
              </w:rPr>
              <w:t>172,182,769 Ordinary Shares</w:t>
            </w:r>
          </w:p>
        </w:tc>
        <w:tc>
          <w:tcPr>
            <w:tcW w:w="1680" w:type="dxa"/>
            <w:vAlign w:val="bottom"/>
          </w:tcPr>
          <w:p>
            <w:pPr>
              <w:spacing w:after="0"/>
              <w:rPr>
                <w:sz w:val="15"/>
                <w:szCs w:val="15"/>
                <w:color w:val="auto"/>
              </w:rPr>
            </w:pPr>
          </w:p>
        </w:tc>
      </w:tr>
      <w:tr>
        <w:trPr>
          <w:trHeight w:val="233"/>
        </w:trPr>
        <w:tc>
          <w:tcPr>
            <w:tcW w:w="3460" w:type="dxa"/>
            <w:vAlign w:val="bottom"/>
          </w:tcPr>
          <w:p>
            <w:pPr>
              <w:spacing w:after="0"/>
              <w:rPr>
                <w:sz w:val="20"/>
                <w:szCs w:val="20"/>
                <w:color w:val="auto"/>
              </w:rPr>
            </w:pPr>
          </w:p>
        </w:tc>
        <w:tc>
          <w:tcPr>
            <w:tcW w:w="5480" w:type="dxa"/>
            <w:vAlign w:val="bottom"/>
          </w:tcPr>
          <w:p>
            <w:pPr>
              <w:ind w:left="1820"/>
              <w:spacing w:after="0"/>
              <w:rPr>
                <w:sz w:val="20"/>
                <w:szCs w:val="20"/>
                <w:color w:val="auto"/>
              </w:rPr>
            </w:pPr>
            <w:r>
              <w:rPr>
                <w:rFonts w:ascii="Times New Roman" w:cs="Times New Roman" w:eastAsia="Times New Roman" w:hAnsi="Times New Roman"/>
                <w:sz w:val="10"/>
                <w:szCs w:val="10"/>
                <w:color w:val="auto"/>
              </w:rPr>
              <w:t>7</w:t>
            </w:r>
          </w:p>
        </w:tc>
        <w:tc>
          <w:tcPr>
            <w:tcW w:w="1680" w:type="dxa"/>
            <w:vAlign w:val="bottom"/>
          </w:tcPr>
          <w:p>
            <w:pPr>
              <w:spacing w:after="0"/>
              <w:rPr>
                <w:sz w:val="20"/>
                <w:szCs w:val="20"/>
                <w:color w:val="auto"/>
              </w:rPr>
            </w:pPr>
          </w:p>
        </w:tc>
      </w:tr>
      <w:tr>
        <w:trPr>
          <w:trHeight w:val="422"/>
        </w:trPr>
        <w:tc>
          <w:tcPr>
            <w:tcW w:w="3460" w:type="dxa"/>
            <w:vAlign w:val="bottom"/>
            <w:tcBorders>
              <w:bottom w:val="single" w:sz="8" w:color="EEEEEE"/>
            </w:tcBorders>
          </w:tcPr>
          <w:p>
            <w:pPr>
              <w:spacing w:after="0"/>
              <w:rPr>
                <w:sz w:val="24"/>
                <w:szCs w:val="24"/>
                <w:color w:val="auto"/>
              </w:rPr>
            </w:pPr>
          </w:p>
        </w:tc>
        <w:tc>
          <w:tcPr>
            <w:tcW w:w="5480" w:type="dxa"/>
            <w:vAlign w:val="bottom"/>
            <w:tcBorders>
              <w:bottom w:val="single" w:sz="8" w:color="EEEEEE"/>
            </w:tcBorders>
          </w:tcPr>
          <w:p>
            <w:pPr>
              <w:spacing w:after="0"/>
              <w:rPr>
                <w:sz w:val="24"/>
                <w:szCs w:val="24"/>
                <w:color w:val="auto"/>
              </w:rPr>
            </w:pPr>
          </w:p>
        </w:tc>
        <w:tc>
          <w:tcPr>
            <w:tcW w:w="16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15"/>
        </w:trPr>
        <w:tc>
          <w:tcPr>
            <w:tcW w:w="3720" w:type="dxa"/>
            <w:vAlign w:val="bottom"/>
          </w:tcPr>
          <w:p>
            <w:pPr>
              <w:spacing w:after="0"/>
              <w:rPr>
                <w:sz w:val="20"/>
                <w:szCs w:val="20"/>
                <w:color w:val="auto"/>
              </w:rPr>
            </w:pPr>
            <w:r>
              <w:rPr>
                <w:rFonts w:ascii="Times New Roman" w:cs="Times New Roman" w:eastAsia="Times New Roman" w:hAnsi="Times New Roman"/>
                <w:sz w:val="10"/>
                <w:szCs w:val="10"/>
                <w:color w:val="auto"/>
              </w:rPr>
              <w:t>Ordinary Shares to be outstanding after this offering</w:t>
            </w:r>
          </w:p>
        </w:tc>
        <w:tc>
          <w:tcPr>
            <w:tcW w:w="6840" w:type="dxa"/>
            <w:vAlign w:val="bottom"/>
          </w:tcPr>
          <w:p>
            <w:pPr>
              <w:ind w:left="1660"/>
              <w:spacing w:after="0"/>
              <w:rPr>
                <w:sz w:val="20"/>
                <w:szCs w:val="20"/>
                <w:color w:val="auto"/>
              </w:rPr>
            </w:pPr>
            <w:r>
              <w:rPr>
                <w:rFonts w:ascii="Times New Roman" w:cs="Times New Roman" w:eastAsia="Times New Roman" w:hAnsi="Times New Roman"/>
                <w:sz w:val="10"/>
                <w:szCs w:val="10"/>
                <w:color w:val="auto"/>
                <w:w w:val="97"/>
              </w:rPr>
              <w:t>179,781,553 Ordinary Shares (assuming all of the Ordinary Shares and accompanying Offering Warrants we are offering under this</w:t>
            </w:r>
          </w:p>
        </w:tc>
        <w:tc>
          <w:tcPr>
            <w:tcW w:w="0" w:type="dxa"/>
            <w:vAlign w:val="bottom"/>
          </w:tcPr>
          <w:p>
            <w:pPr>
              <w:spacing w:after="0"/>
              <w:rPr>
                <w:sz w:val="1"/>
                <w:szCs w:val="1"/>
                <w:color w:val="auto"/>
              </w:rPr>
            </w:pPr>
          </w:p>
        </w:tc>
      </w:tr>
      <w:tr>
        <w:trPr>
          <w:trHeight w:val="113"/>
        </w:trPr>
        <w:tc>
          <w:tcPr>
            <w:tcW w:w="3720" w:type="dxa"/>
            <w:vAlign w:val="bottom"/>
          </w:tcPr>
          <w:p>
            <w:pPr>
              <w:spacing w:after="0"/>
              <w:rPr>
                <w:sz w:val="9"/>
                <w:szCs w:val="9"/>
                <w:color w:val="auto"/>
              </w:rPr>
            </w:pPr>
          </w:p>
        </w:tc>
        <w:tc>
          <w:tcPr>
            <w:tcW w:w="6840" w:type="dxa"/>
            <w:vAlign w:val="bottom"/>
          </w:tcPr>
          <w:p>
            <w:pPr>
              <w:ind w:left="1660"/>
              <w:spacing w:after="0" w:line="113" w:lineRule="exact"/>
              <w:rPr>
                <w:sz w:val="20"/>
                <w:szCs w:val="20"/>
                <w:color w:val="auto"/>
              </w:rPr>
            </w:pPr>
            <w:r>
              <w:rPr>
                <w:rFonts w:ascii="Times New Roman" w:cs="Times New Roman" w:eastAsia="Times New Roman" w:hAnsi="Times New Roman"/>
                <w:sz w:val="10"/>
                <w:szCs w:val="10"/>
                <w:color w:val="auto"/>
                <w:w w:val="97"/>
              </w:rPr>
              <w:t>prospectus are sold, and assuming no sale of Pre-Funded Warrants, which, if sold, would reduce the number of Ordinary Shares that</w:t>
            </w: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6840" w:type="dxa"/>
            <w:vAlign w:val="bottom"/>
          </w:tcPr>
          <w:p>
            <w:pPr>
              <w:ind w:left="1660"/>
              <w:spacing w:after="0"/>
              <w:rPr>
                <w:sz w:val="20"/>
                <w:szCs w:val="20"/>
                <w:color w:val="auto"/>
              </w:rPr>
            </w:pPr>
            <w:r>
              <w:rPr>
                <w:rFonts w:ascii="Times New Roman" w:cs="Times New Roman" w:eastAsia="Times New Roman" w:hAnsi="Times New Roman"/>
                <w:sz w:val="10"/>
                <w:szCs w:val="10"/>
                <w:color w:val="auto"/>
              </w:rPr>
              <w:t>we are offering on a one-for-one basis, and no exercise of the Offering Warrants issued in this offering).</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20"/>
                <w:szCs w:val="20"/>
                <w:color w:val="auto"/>
              </w:rPr>
            </w:pPr>
            <w:r>
              <w:rPr>
                <w:rFonts w:ascii="Times New Roman" w:cs="Times New Roman" w:eastAsia="Times New Roman" w:hAnsi="Times New Roman"/>
                <w:sz w:val="10"/>
                <w:szCs w:val="10"/>
                <w:color w:val="auto"/>
              </w:rPr>
              <w:t>Use of proceeds</w:t>
            </w:r>
          </w:p>
        </w:tc>
        <w:tc>
          <w:tcPr>
            <w:tcW w:w="6840" w:type="dxa"/>
            <w:vAlign w:val="bottom"/>
          </w:tcPr>
          <w:p>
            <w:pPr>
              <w:ind w:left="1660"/>
              <w:spacing w:after="0"/>
              <w:rPr>
                <w:sz w:val="20"/>
                <w:szCs w:val="20"/>
                <w:color w:val="auto"/>
              </w:rPr>
            </w:pPr>
            <w:r>
              <w:rPr>
                <w:rFonts w:ascii="Times New Roman" w:cs="Times New Roman" w:eastAsia="Times New Roman" w:hAnsi="Times New Roman"/>
                <w:sz w:val="10"/>
                <w:szCs w:val="10"/>
                <w:color w:val="auto"/>
              </w:rPr>
              <w:t>Assuming all of the Ordinary Shares we are offering under this prospectus are sold at an assumed offering price of $3.29 per</w:t>
            </w:r>
          </w:p>
        </w:tc>
        <w:tc>
          <w:tcPr>
            <w:tcW w:w="0" w:type="dxa"/>
            <w:vAlign w:val="bottom"/>
          </w:tcPr>
          <w:p>
            <w:pPr>
              <w:spacing w:after="0"/>
              <w:rPr>
                <w:sz w:val="1"/>
                <w:szCs w:val="1"/>
                <w:color w:val="auto"/>
              </w:rPr>
            </w:pPr>
          </w:p>
        </w:tc>
      </w:tr>
      <w:tr>
        <w:trPr>
          <w:trHeight w:val="113"/>
        </w:trPr>
        <w:tc>
          <w:tcPr>
            <w:tcW w:w="3720" w:type="dxa"/>
            <w:vAlign w:val="bottom"/>
          </w:tcPr>
          <w:p>
            <w:pPr>
              <w:spacing w:after="0"/>
              <w:rPr>
                <w:sz w:val="9"/>
                <w:szCs w:val="9"/>
                <w:color w:val="auto"/>
              </w:rPr>
            </w:pPr>
          </w:p>
        </w:tc>
        <w:tc>
          <w:tcPr>
            <w:tcW w:w="6840" w:type="dxa"/>
            <w:vAlign w:val="bottom"/>
          </w:tcPr>
          <w:p>
            <w:pPr>
              <w:ind w:left="1660"/>
              <w:spacing w:after="0" w:line="113" w:lineRule="exact"/>
              <w:rPr>
                <w:sz w:val="20"/>
                <w:szCs w:val="20"/>
                <w:color w:val="auto"/>
              </w:rPr>
            </w:pPr>
            <w:r>
              <w:rPr>
                <w:rFonts w:ascii="Times New Roman" w:cs="Times New Roman" w:eastAsia="Times New Roman" w:hAnsi="Times New Roman"/>
                <w:sz w:val="10"/>
                <w:szCs w:val="10"/>
                <w:color w:val="auto"/>
                <w:w w:val="97"/>
              </w:rPr>
              <w:t>Ordinary Share and accompanying Offering Warrant, we estimate that we will receive approximately $ million in net proceeds from</w:t>
            </w:r>
          </w:p>
        </w:tc>
        <w:tc>
          <w:tcPr>
            <w:tcW w:w="0" w:type="dxa"/>
            <w:vAlign w:val="bottom"/>
          </w:tcPr>
          <w:p>
            <w:pPr>
              <w:spacing w:after="0"/>
              <w:rPr>
                <w:sz w:val="1"/>
                <w:szCs w:val="1"/>
                <w:color w:val="auto"/>
              </w:rPr>
            </w:pPr>
          </w:p>
        </w:tc>
      </w:tr>
      <w:tr>
        <w:trPr>
          <w:trHeight w:val="113"/>
        </w:trPr>
        <w:tc>
          <w:tcPr>
            <w:tcW w:w="3720" w:type="dxa"/>
            <w:vAlign w:val="bottom"/>
          </w:tcPr>
          <w:p>
            <w:pPr>
              <w:spacing w:after="0"/>
              <w:rPr>
                <w:sz w:val="9"/>
                <w:szCs w:val="9"/>
                <w:color w:val="auto"/>
              </w:rPr>
            </w:pPr>
          </w:p>
        </w:tc>
        <w:tc>
          <w:tcPr>
            <w:tcW w:w="6840" w:type="dxa"/>
            <w:vAlign w:val="bottom"/>
          </w:tcPr>
          <w:p>
            <w:pPr>
              <w:ind w:left="1660"/>
              <w:spacing w:after="0" w:line="113" w:lineRule="exact"/>
              <w:rPr>
                <w:sz w:val="20"/>
                <w:szCs w:val="20"/>
                <w:color w:val="auto"/>
              </w:rPr>
            </w:pPr>
            <w:r>
              <w:rPr>
                <w:rFonts w:ascii="Times New Roman" w:cs="Times New Roman" w:eastAsia="Times New Roman" w:hAnsi="Times New Roman"/>
                <w:sz w:val="10"/>
                <w:szCs w:val="10"/>
                <w:color w:val="auto"/>
                <w:w w:val="97"/>
              </w:rPr>
              <w:t>this offering, after deducting the estimated placement agent fees and estimated offering expenses. However, this is a reasonable best</w:t>
            </w:r>
          </w:p>
        </w:tc>
        <w:tc>
          <w:tcPr>
            <w:tcW w:w="0" w:type="dxa"/>
            <w:vAlign w:val="bottom"/>
          </w:tcPr>
          <w:p>
            <w:pPr>
              <w:spacing w:after="0"/>
              <w:rPr>
                <w:sz w:val="1"/>
                <w:szCs w:val="1"/>
                <w:color w:val="auto"/>
              </w:rPr>
            </w:pPr>
          </w:p>
        </w:tc>
      </w:tr>
      <w:tr>
        <w:trPr>
          <w:trHeight w:val="113"/>
        </w:trPr>
        <w:tc>
          <w:tcPr>
            <w:tcW w:w="3720" w:type="dxa"/>
            <w:vAlign w:val="bottom"/>
          </w:tcPr>
          <w:p>
            <w:pPr>
              <w:spacing w:after="0"/>
              <w:rPr>
                <w:sz w:val="9"/>
                <w:szCs w:val="9"/>
                <w:color w:val="auto"/>
              </w:rPr>
            </w:pPr>
          </w:p>
        </w:tc>
        <w:tc>
          <w:tcPr>
            <w:tcW w:w="6840" w:type="dxa"/>
            <w:vAlign w:val="bottom"/>
          </w:tcPr>
          <w:p>
            <w:pPr>
              <w:ind w:left="1660"/>
              <w:spacing w:after="0" w:line="113" w:lineRule="exact"/>
              <w:rPr>
                <w:sz w:val="20"/>
                <w:szCs w:val="20"/>
                <w:color w:val="auto"/>
              </w:rPr>
            </w:pPr>
            <w:r>
              <w:rPr>
                <w:rFonts w:ascii="Times New Roman" w:cs="Times New Roman" w:eastAsia="Times New Roman" w:hAnsi="Times New Roman"/>
                <w:sz w:val="10"/>
                <w:szCs w:val="10"/>
                <w:color w:val="auto"/>
                <w:w w:val="96"/>
              </w:rPr>
              <w:t>effort offering with no minimum number of securities or amount of proceeds as a condition to closing, and we may not sell all or any</w:t>
            </w: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6840" w:type="dxa"/>
            <w:vAlign w:val="bottom"/>
          </w:tcPr>
          <w:p>
            <w:pPr>
              <w:ind w:left="1660"/>
              <w:spacing w:after="0"/>
              <w:rPr>
                <w:sz w:val="20"/>
                <w:szCs w:val="20"/>
                <w:color w:val="auto"/>
              </w:rPr>
            </w:pPr>
            <w:r>
              <w:rPr>
                <w:rFonts w:ascii="Times New Roman" w:cs="Times New Roman" w:eastAsia="Times New Roman" w:hAnsi="Times New Roman"/>
                <w:sz w:val="10"/>
                <w:szCs w:val="10"/>
                <w:color w:val="auto"/>
              </w:rPr>
              <w:t>of the securities offered pursuant to this prospectus; as a result, we may receive significantly less in net proceeds.</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6840" w:type="dxa"/>
            <w:vAlign w:val="bottom"/>
          </w:tcPr>
          <w:p>
            <w:pPr>
              <w:ind w:left="1660"/>
              <w:spacing w:after="0"/>
              <w:rPr>
                <w:sz w:val="20"/>
                <w:szCs w:val="20"/>
                <w:color w:val="auto"/>
              </w:rPr>
            </w:pPr>
            <w:r>
              <w:rPr>
                <w:rFonts w:ascii="Times New Roman" w:cs="Times New Roman" w:eastAsia="Times New Roman" w:hAnsi="Times New Roman"/>
                <w:sz w:val="10"/>
                <w:szCs w:val="10"/>
                <w:color w:val="auto"/>
              </w:rPr>
              <w:t>We currently intend to use the net proceeds from this offering primarily for working capital and general corporate purposes,</w:t>
            </w:r>
          </w:p>
        </w:tc>
        <w:tc>
          <w:tcPr>
            <w:tcW w:w="0" w:type="dxa"/>
            <w:vAlign w:val="bottom"/>
          </w:tcPr>
          <w:p>
            <w:pPr>
              <w:spacing w:after="0"/>
              <w:rPr>
                <w:sz w:val="1"/>
                <w:szCs w:val="1"/>
                <w:color w:val="auto"/>
              </w:rPr>
            </w:pPr>
          </w:p>
        </w:tc>
      </w:tr>
      <w:tr>
        <w:trPr>
          <w:trHeight w:val="113"/>
        </w:trPr>
        <w:tc>
          <w:tcPr>
            <w:tcW w:w="3720" w:type="dxa"/>
            <w:vAlign w:val="bottom"/>
          </w:tcPr>
          <w:p>
            <w:pPr>
              <w:spacing w:after="0"/>
              <w:rPr>
                <w:sz w:val="9"/>
                <w:szCs w:val="9"/>
                <w:color w:val="auto"/>
              </w:rPr>
            </w:pPr>
          </w:p>
        </w:tc>
        <w:tc>
          <w:tcPr>
            <w:tcW w:w="6840" w:type="dxa"/>
            <w:vAlign w:val="bottom"/>
          </w:tcPr>
          <w:p>
            <w:pPr>
              <w:ind w:left="1660"/>
              <w:spacing w:after="0" w:line="113" w:lineRule="exact"/>
              <w:rPr>
                <w:sz w:val="20"/>
                <w:szCs w:val="20"/>
                <w:color w:val="auto"/>
              </w:rPr>
            </w:pPr>
            <w:r>
              <w:rPr>
                <w:rFonts w:ascii="Times New Roman" w:cs="Times New Roman" w:eastAsia="Times New Roman" w:hAnsi="Times New Roman"/>
                <w:sz w:val="10"/>
                <w:szCs w:val="10"/>
                <w:color w:val="auto"/>
              </w:rPr>
              <w:t>including for research and development. We may also use a portion of the net proceeds to invest in or acquire other products,</w:t>
            </w:r>
          </w:p>
        </w:tc>
        <w:tc>
          <w:tcPr>
            <w:tcW w:w="0" w:type="dxa"/>
            <w:vAlign w:val="bottom"/>
          </w:tcPr>
          <w:p>
            <w:pPr>
              <w:spacing w:after="0"/>
              <w:rPr>
                <w:sz w:val="1"/>
                <w:szCs w:val="1"/>
                <w:color w:val="auto"/>
              </w:rPr>
            </w:pPr>
          </w:p>
        </w:tc>
      </w:tr>
      <w:tr>
        <w:trPr>
          <w:trHeight w:val="113"/>
        </w:trPr>
        <w:tc>
          <w:tcPr>
            <w:tcW w:w="3720" w:type="dxa"/>
            <w:vAlign w:val="bottom"/>
          </w:tcPr>
          <w:p>
            <w:pPr>
              <w:spacing w:after="0"/>
              <w:rPr>
                <w:sz w:val="9"/>
                <w:szCs w:val="9"/>
                <w:color w:val="auto"/>
              </w:rPr>
            </w:pPr>
          </w:p>
        </w:tc>
        <w:tc>
          <w:tcPr>
            <w:tcW w:w="6840" w:type="dxa"/>
            <w:vAlign w:val="bottom"/>
          </w:tcPr>
          <w:p>
            <w:pPr>
              <w:ind w:left="1660"/>
              <w:spacing w:after="0" w:line="113" w:lineRule="exact"/>
              <w:rPr>
                <w:sz w:val="20"/>
                <w:szCs w:val="20"/>
                <w:color w:val="auto"/>
              </w:rPr>
            </w:pPr>
            <w:r>
              <w:rPr>
                <w:rFonts w:ascii="Times New Roman" w:cs="Times New Roman" w:eastAsia="Times New Roman" w:hAnsi="Times New Roman"/>
                <w:sz w:val="10"/>
                <w:szCs w:val="10"/>
                <w:color w:val="auto"/>
                <w:w w:val="97"/>
              </w:rPr>
              <w:t>businesses or technologies, although we have no commitments or agreements with respect to any such investments or acquisitions as</w:t>
            </w:r>
          </w:p>
        </w:tc>
        <w:tc>
          <w:tcPr>
            <w:tcW w:w="0" w:type="dxa"/>
            <w:vAlign w:val="bottom"/>
          </w:tcPr>
          <w:p>
            <w:pPr>
              <w:spacing w:after="0"/>
              <w:rPr>
                <w:sz w:val="1"/>
                <w:szCs w:val="1"/>
                <w:color w:val="auto"/>
              </w:rPr>
            </w:pPr>
          </w:p>
        </w:tc>
      </w:tr>
      <w:tr>
        <w:trPr>
          <w:trHeight w:val="125"/>
        </w:trPr>
        <w:tc>
          <w:tcPr>
            <w:tcW w:w="3720" w:type="dxa"/>
            <w:vAlign w:val="bottom"/>
          </w:tcPr>
          <w:p>
            <w:pPr>
              <w:spacing w:after="0"/>
              <w:rPr>
                <w:sz w:val="10"/>
                <w:szCs w:val="10"/>
                <w:color w:val="auto"/>
              </w:rPr>
            </w:pPr>
          </w:p>
        </w:tc>
        <w:tc>
          <w:tcPr>
            <w:tcW w:w="6840" w:type="dxa"/>
            <w:vAlign w:val="bottom"/>
          </w:tcPr>
          <w:p>
            <w:pPr>
              <w:ind w:left="1660"/>
              <w:spacing w:after="0"/>
              <w:rPr>
                <w:sz w:val="20"/>
                <w:szCs w:val="20"/>
                <w:color w:val="auto"/>
              </w:rPr>
            </w:pPr>
            <w:r>
              <w:rPr>
                <w:rFonts w:ascii="Times New Roman" w:cs="Times New Roman" w:eastAsia="Times New Roman" w:hAnsi="Times New Roman"/>
                <w:sz w:val="10"/>
                <w:szCs w:val="10"/>
                <w:color w:val="auto"/>
              </w:rPr>
              <w:t>of the date of this prospectus. See “Use of Proceeds” for additional information.</w:t>
            </w:r>
          </w:p>
        </w:tc>
        <w:tc>
          <w:tcPr>
            <w:tcW w:w="0" w:type="dxa"/>
            <w:vAlign w:val="bottom"/>
          </w:tcPr>
          <w:p>
            <w:pPr>
              <w:spacing w:after="0"/>
              <w:rPr>
                <w:sz w:val="1"/>
                <w:szCs w:val="1"/>
                <w:color w:val="auto"/>
              </w:rPr>
            </w:pPr>
          </w:p>
        </w:tc>
      </w:tr>
      <w:tr>
        <w:trPr>
          <w:trHeight w:val="160"/>
        </w:trPr>
        <w:tc>
          <w:tcPr>
            <w:tcW w:w="37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Risk Factors</w:t>
            </w:r>
          </w:p>
        </w:tc>
        <w:tc>
          <w:tcPr>
            <w:tcW w:w="6840" w:type="dxa"/>
            <w:vAlign w:val="bottom"/>
          </w:tcPr>
          <w:p>
            <w:pPr>
              <w:ind w:left="1660"/>
              <w:spacing w:after="0"/>
              <w:rPr>
                <w:sz w:val="20"/>
                <w:szCs w:val="20"/>
                <w:color w:val="auto"/>
              </w:rPr>
            </w:pPr>
            <w:r>
              <w:rPr>
                <w:rFonts w:ascii="Times New Roman" w:cs="Times New Roman" w:eastAsia="Times New Roman" w:hAnsi="Times New Roman"/>
                <w:sz w:val="10"/>
                <w:szCs w:val="10"/>
                <w:color w:val="auto"/>
                <w:w w:val="97"/>
              </w:rPr>
              <w:t>You should carefully read and consider the information set forth under “Risk Factors,” together with all of the other information set</w:t>
            </w:r>
          </w:p>
        </w:tc>
        <w:tc>
          <w:tcPr>
            <w:tcW w:w="0" w:type="dxa"/>
            <w:vAlign w:val="bottom"/>
          </w:tcPr>
          <w:p>
            <w:pPr>
              <w:spacing w:after="0"/>
              <w:rPr>
                <w:sz w:val="1"/>
                <w:szCs w:val="1"/>
                <w:color w:val="auto"/>
              </w:rPr>
            </w:pPr>
          </w:p>
        </w:tc>
      </w:tr>
      <w:tr>
        <w:trPr>
          <w:trHeight w:val="65"/>
        </w:trPr>
        <w:tc>
          <w:tcPr>
            <w:tcW w:w="3720" w:type="dxa"/>
            <w:vAlign w:val="bottom"/>
            <w:vMerge w:val="continue"/>
          </w:tcPr>
          <w:p>
            <w:pPr>
              <w:spacing w:after="0"/>
              <w:rPr>
                <w:sz w:val="5"/>
                <w:szCs w:val="5"/>
                <w:color w:val="auto"/>
              </w:rPr>
            </w:pPr>
          </w:p>
        </w:tc>
        <w:tc>
          <w:tcPr>
            <w:tcW w:w="6840" w:type="dxa"/>
            <w:vAlign w:val="bottom"/>
            <w:vMerge w:val="restart"/>
          </w:tcPr>
          <w:p>
            <w:pPr>
              <w:ind w:left="1660"/>
              <w:spacing w:after="0"/>
              <w:rPr>
                <w:sz w:val="20"/>
                <w:szCs w:val="20"/>
                <w:color w:val="auto"/>
              </w:rPr>
            </w:pPr>
            <w:r>
              <w:rPr>
                <w:rFonts w:ascii="Times New Roman" w:cs="Times New Roman" w:eastAsia="Times New Roman" w:hAnsi="Times New Roman"/>
                <w:sz w:val="10"/>
                <w:szCs w:val="10"/>
                <w:color w:val="auto"/>
              </w:rPr>
              <w:t>forth in this prospectus, before deciding to invest in our Ordinary Shares.</w:t>
            </w:r>
          </w:p>
        </w:tc>
        <w:tc>
          <w:tcPr>
            <w:tcW w:w="0" w:type="dxa"/>
            <w:vAlign w:val="bottom"/>
          </w:tcPr>
          <w:p>
            <w:pPr>
              <w:spacing w:after="0"/>
              <w:rPr>
                <w:sz w:val="1"/>
                <w:szCs w:val="1"/>
                <w:color w:val="auto"/>
              </w:rPr>
            </w:pPr>
          </w:p>
        </w:tc>
      </w:tr>
      <w:tr>
        <w:trPr>
          <w:trHeight w:val="60"/>
        </w:trPr>
        <w:tc>
          <w:tcPr>
            <w:tcW w:w="3720" w:type="dxa"/>
            <w:vAlign w:val="bottom"/>
          </w:tcPr>
          <w:p>
            <w:pPr>
              <w:spacing w:after="0"/>
              <w:rPr>
                <w:sz w:val="5"/>
                <w:szCs w:val="5"/>
                <w:color w:val="auto"/>
              </w:rPr>
            </w:pPr>
          </w:p>
        </w:tc>
        <w:tc>
          <w:tcPr>
            <w:tcW w:w="6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3720" w:type="dxa"/>
            <w:vAlign w:val="bottom"/>
          </w:tcPr>
          <w:p>
            <w:pPr>
              <w:spacing w:after="0"/>
              <w:rPr>
                <w:sz w:val="20"/>
                <w:szCs w:val="20"/>
                <w:color w:val="auto"/>
              </w:rPr>
            </w:pPr>
            <w:r>
              <w:rPr>
                <w:rFonts w:ascii="Times New Roman" w:cs="Times New Roman" w:eastAsia="Times New Roman" w:hAnsi="Times New Roman"/>
                <w:sz w:val="10"/>
                <w:szCs w:val="10"/>
                <w:color w:val="auto"/>
              </w:rPr>
              <w:t>Nasdaq symbol for Ordinary Shares</w:t>
            </w:r>
          </w:p>
        </w:tc>
        <w:tc>
          <w:tcPr>
            <w:tcW w:w="6840" w:type="dxa"/>
            <w:vAlign w:val="bottom"/>
          </w:tcPr>
          <w:p>
            <w:pPr>
              <w:ind w:left="1660"/>
              <w:spacing w:after="0"/>
              <w:rPr>
                <w:sz w:val="20"/>
                <w:szCs w:val="20"/>
                <w:color w:val="auto"/>
              </w:rPr>
            </w:pPr>
            <w:r>
              <w:rPr>
                <w:rFonts w:ascii="Times New Roman" w:cs="Times New Roman" w:eastAsia="Times New Roman" w:hAnsi="Times New Roman"/>
                <w:sz w:val="10"/>
                <w:szCs w:val="10"/>
                <w:color w:val="auto"/>
              </w:rPr>
              <w:t>“RZLV.”</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20"/>
                <w:szCs w:val="20"/>
                <w:color w:val="auto"/>
              </w:rPr>
            </w:pPr>
            <w:r>
              <w:rPr>
                <w:rFonts w:ascii="Times New Roman" w:cs="Times New Roman" w:eastAsia="Times New Roman" w:hAnsi="Times New Roman"/>
                <w:sz w:val="10"/>
                <w:szCs w:val="10"/>
                <w:color w:val="auto"/>
              </w:rPr>
              <w:t>Nasdaq symbol for our warrants</w:t>
            </w:r>
          </w:p>
        </w:tc>
        <w:tc>
          <w:tcPr>
            <w:tcW w:w="6840" w:type="dxa"/>
            <w:vAlign w:val="bottom"/>
          </w:tcPr>
          <w:p>
            <w:pPr>
              <w:ind w:left="1660"/>
              <w:spacing w:after="0"/>
              <w:rPr>
                <w:sz w:val="20"/>
                <w:szCs w:val="20"/>
                <w:color w:val="auto"/>
              </w:rPr>
            </w:pPr>
            <w:r>
              <w:rPr>
                <w:rFonts w:ascii="Times New Roman" w:cs="Times New Roman" w:eastAsia="Times New Roman" w:hAnsi="Times New Roman"/>
                <w:sz w:val="10"/>
                <w:szCs w:val="10"/>
                <w:color w:val="auto"/>
              </w:rPr>
              <w:t>“RZLVW.”</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Except as otherwise indicated, the number of Ordinary Shares to be outstanding immediately after this offering is based on the number of Ordinary Shares outstanding as of December 1, 2024 and excludes: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•8,069,976 Ordinary Shares issuable upon the exercise of outstanding Warrants;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•21,349,741 Ordinary Shares issuable upon the conversion of the Convertible Notes;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•15, 373,145 Ordinary Shares issuable pursuant to the advanced subscription agreements;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 xml:space="preserve">•78,369,906 Ordinary Shares issuable pursuant to an agreement with </w:t>
      </w:r>
      <w:r>
        <w:rPr>
          <w:rFonts w:ascii="Times New Roman" w:cs="Times New Roman" w:eastAsia="Times New Roman" w:hAnsi="Times New Roman"/>
          <w:sz w:val="10"/>
          <w:szCs w:val="10"/>
          <w:color w:val="212529"/>
        </w:rPr>
        <w:t>YA II PN, LTD;</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212529"/>
        </w:rPr>
        <w:t>•31,900,808 Ordinary Shares issuable upon conversion of the YA Notes (as defined herein);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212529"/>
        </w:rPr>
        <w:t xml:space="preserve">•415,294 Ordinary Shares issuable pursuant to the Northland Note; </w:t>
      </w:r>
      <w:r>
        <w:rPr>
          <w:rFonts w:ascii="Times New Roman" w:cs="Times New Roman" w:eastAsia="Times New Roman" w:hAnsi="Times New Roman"/>
          <w:sz w:val="10"/>
          <w:szCs w:val="10"/>
          <w:color w:val="000000"/>
        </w:rPr>
        <w:t>and</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color w:val="auto"/>
        </w:rPr>
        <w:t>•1,547,787 Ordinary Shares issuable upon the conversion of the Promissory Notes (as defined herein).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Unless otherwise indicated, all information in this prospectus assumes no exercise of the outstanding options or warrants described above, no sale of any Pre-Funded Warrants in this offering and no exercise of the Offering Warrants.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256540</wp:posOffset>
            </wp:positionV>
            <wp:extent cx="677862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60" w:top="1108" w:right="68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0"/>
          <w:szCs w:val="10"/>
          <w:b w:val="1"/>
          <w:bCs w:val="1"/>
          <w:color w:val="auto"/>
        </w:rPr>
        <w:t>RISK FACTORS</w:t>
      </w:r>
    </w:p>
    <w:p>
      <w:pPr>
        <w:spacing w:after="0" w:line="95" w:lineRule="exact"/>
        <w:rPr>
          <w:sz w:val="20"/>
          <w:szCs w:val="20"/>
          <w:color w:val="auto"/>
        </w:rPr>
      </w:pPr>
    </w:p>
    <w:p>
      <w:pPr>
        <w:ind w:right="100" w:firstLine="480"/>
        <w:spacing w:after="0" w:line="243" w:lineRule="auto"/>
        <w:rPr>
          <w:sz w:val="20"/>
          <w:szCs w:val="20"/>
          <w:color w:val="auto"/>
        </w:rPr>
      </w:pPr>
      <w:r>
        <w:rPr>
          <w:rFonts w:ascii="Times New Roman" w:cs="Times New Roman" w:eastAsia="Times New Roman" w:hAnsi="Times New Roman"/>
          <w:sz w:val="10"/>
          <w:szCs w:val="10"/>
          <w:i w:val="1"/>
          <w:iCs w:val="1"/>
          <w:color w:val="auto"/>
        </w:rPr>
        <w:t>An investment our securities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our securities. If any of the following risks actually occur, our business, financial condition and operating results could be materially and adversely affected. In that case, the market price of the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this Offering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As an investor, you may lose all of your investment.</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Investing in our Ordinary Shares involves a high degree of risk. As an investor, you may never recoup all, or even part, of your investment and you may never realize any return on your investment. You must be prepared to lose all of your investment.</w:t>
      </w:r>
    </w:p>
    <w:p>
      <w:pPr>
        <w:spacing w:after="0" w:line="12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We expect we will need additional financing in addition to the proceeds of this offering to execute our business plan and fund operations, which additional financing may not be available on reasonable terms, or at all. Our consolidated financial statements have been prepared assuming that we will continue as a going concern.</w:t>
      </w:r>
    </w:p>
    <w:p>
      <w:pPr>
        <w:spacing w:after="0" w:line="91"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Our ability to continue as a going concern will require us to obtain additional capital to fund our operations over the twelve months from the date of this prospectus. As of December 31, 2023 and June 30, 2024, we had total assets of approximately $ 321.9 and 502.4 million and working capital deficit of approximately $57.3 and $18.8 million, respectively. As of December 31, 2023 and June 30, 2024, our liquidity included approximately $0.01 and $0.06 million of cash and cash equivalents, respectively. We intend to seek additional funds through various financing sources, including the sale of our equity and debt securities and fees through the sale of our technology.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spacing w:after="0" w:line="102" w:lineRule="exact"/>
        <w:rPr>
          <w:sz w:val="20"/>
          <w:szCs w:val="20"/>
          <w:color w:val="auto"/>
        </w:rPr>
      </w:pPr>
    </w:p>
    <w:p>
      <w:pPr>
        <w:ind w:right="200" w:firstLine="705"/>
        <w:spacing w:after="0" w:line="255" w:lineRule="auto"/>
        <w:rPr>
          <w:sz w:val="20"/>
          <w:szCs w:val="20"/>
          <w:color w:val="auto"/>
        </w:rPr>
      </w:pPr>
      <w:r>
        <w:rPr>
          <w:rFonts w:ascii="Times New Roman" w:cs="Times New Roman" w:eastAsia="Times New Roman" w:hAnsi="Times New Roman"/>
          <w:sz w:val="10"/>
          <w:szCs w:val="10"/>
          <w:color w:val="auto"/>
        </w:rPr>
        <w:t>The report of our independent registered public accounting firm for the year ended December 31, 2023 states that due to our losses incurred since inception, negative cash flows from operations, and negative working capital, there is substantial doubt about our ability to continue as a going concern.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This offering is being made on a best-efforts basis and we may sell fewer than all of the securities offered hereby and may receive significantly less in net proceeds from this offering, which will provide us only limited working capital.</w:t>
      </w:r>
    </w:p>
    <w:p>
      <w:pPr>
        <w:spacing w:after="0" w:line="112" w:lineRule="exact"/>
        <w:rPr>
          <w:sz w:val="20"/>
          <w:szCs w:val="20"/>
          <w:color w:val="auto"/>
        </w:rPr>
      </w:pPr>
    </w:p>
    <w:p>
      <w:pPr>
        <w:ind w:right="120" w:firstLine="705"/>
        <w:spacing w:after="0" w:line="239" w:lineRule="auto"/>
        <w:rPr>
          <w:sz w:val="20"/>
          <w:szCs w:val="20"/>
          <w:color w:val="auto"/>
        </w:rPr>
      </w:pPr>
      <w:r>
        <w:rPr>
          <w:rFonts w:ascii="Times New Roman" w:cs="Times New Roman" w:eastAsia="Times New Roman" w:hAnsi="Times New Roman"/>
          <w:sz w:val="10"/>
          <w:szCs w:val="10"/>
          <w:color w:val="auto"/>
        </w:rPr>
        <w:t>This offering is being made on a best-efforts basis and we may sell fewer than all of the securities offered hereby and may receive significantly less in net proceeds from this offering. Assuming that we receive net proceeds of approximately $ 23.27 million from this offering (assuming an offering with gross proceeds of $25 million), we believe that the net proceeds from this offering, together with our existing cash and cash equivalents, will meet our capital needs until Q4 2025 under our current business plan. Assuming that we receive net proceeds of approximately $ 17.36 million from this offering (assuming an offering with gross proceeds of $18.75 million), we believe that the net proceeds from this offering, together with our existing cash and cash equivalents, will satisfy our capital needs until Q4 2025 under our current business plan. Assuming that we receive net proceeds of approximately $11.45 million from this offering (assuming an offering with gross proceeds of $12.5 million), we believe that the net proceeds from this offering, together with our existing cash and cash equivalents, will satisfy our capital needs until Q3 2025 under our current business plan. Without giving effect to the receipt of any proceeds from this offering, we currently estimate that our existing cash and cash equivalents are sufficient to fund business operations into Q2 2025 .</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the offering price of our securities offered hereby is substantially higher than the net tangible book value per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of our outstanding Ordinary Shares following this offering, new investors will experience immediate and substantial</w:t>
      </w:r>
    </w:p>
    <w:p>
      <w:pPr>
        <w:spacing w:after="0"/>
        <w:rPr>
          <w:sz w:val="20"/>
          <w:szCs w:val="20"/>
          <w:color w:val="auto"/>
        </w:rPr>
      </w:pPr>
      <w:r>
        <w:rPr>
          <w:rFonts w:ascii="Times New Roman" w:cs="Times New Roman" w:eastAsia="Times New Roman" w:hAnsi="Times New Roman"/>
          <w:sz w:val="10"/>
          <w:szCs w:val="10"/>
          <w:b w:val="1"/>
          <w:bCs w:val="1"/>
          <w:i w:val="1"/>
          <w:iCs w:val="1"/>
          <w:color w:val="auto"/>
        </w:rPr>
        <w:t>dilution.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Because the offering price of our securities offered hereby is substantially higher than the net tangible book value per</w:t>
      </w:r>
    </w:p>
    <w:p>
      <w:pPr>
        <w:spacing w:after="0" w:line="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0"/>
          <w:szCs w:val="10"/>
          <w:color w:val="auto"/>
        </w:rPr>
        <w:t>share of our outstanding Ordinary Shares following this offering, you will suffer substantial dilution in the net tangible book value of the securities offered hereby. See “Dilution” for a more detailed discussion of the dilution you will incur if you purchase our securities in this offering.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we will have broad discretion and flexibility in how the net proceeds from this offering are used, we may use the net proceeds in ways in which you disagree</w:t>
      </w:r>
      <w:r>
        <w:rPr>
          <w:rFonts w:ascii="Times New Roman" w:cs="Times New Roman" w:eastAsia="Times New Roman" w:hAnsi="Times New Roman"/>
          <w:sz w:val="10"/>
          <w:szCs w:val="10"/>
          <w:color w:val="auto"/>
        </w:rPr>
        <w:t>.</w:t>
      </w:r>
    </w:p>
    <w:p>
      <w:pPr>
        <w:spacing w:after="0" w:line="112" w:lineRule="exact"/>
        <w:rPr>
          <w:sz w:val="20"/>
          <w:szCs w:val="20"/>
          <w:color w:val="auto"/>
        </w:rPr>
      </w:pPr>
    </w:p>
    <w:p>
      <w:pPr>
        <w:ind w:right="20" w:firstLine="705"/>
        <w:spacing w:after="0" w:line="241" w:lineRule="auto"/>
        <w:rPr>
          <w:sz w:val="20"/>
          <w:szCs w:val="20"/>
          <w:color w:val="auto"/>
        </w:rPr>
      </w:pPr>
      <w:r>
        <w:rPr>
          <w:rFonts w:ascii="Times New Roman" w:cs="Times New Roman" w:eastAsia="Times New Roman" w:hAnsi="Times New Roman"/>
          <w:sz w:val="10"/>
          <w:szCs w:val="10"/>
          <w:color w:val="auto"/>
        </w:rPr>
        <w:t>We intend to use the net proceeds from this offering for working capital, repayment of convertible debt and general corporate purposes. See “Use of Proceeds” for additional information.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There is no public market for the Offering Warrants or Pre-Funded Warrants being offered by us in this offering.</w:t>
      </w:r>
    </w:p>
    <w:p>
      <w:pPr>
        <w:spacing w:after="0" w:line="112" w:lineRule="exact"/>
        <w:rPr>
          <w:sz w:val="20"/>
          <w:szCs w:val="20"/>
          <w:color w:val="auto"/>
        </w:rPr>
      </w:pPr>
    </w:p>
    <w:p>
      <w:pPr>
        <w:ind w:right="140" w:firstLine="705"/>
        <w:spacing w:after="0" w:line="255" w:lineRule="auto"/>
        <w:rPr>
          <w:sz w:val="20"/>
          <w:szCs w:val="20"/>
          <w:color w:val="auto"/>
        </w:rPr>
      </w:pPr>
      <w:r>
        <w:rPr>
          <w:rFonts w:ascii="Times New Roman" w:cs="Times New Roman" w:eastAsia="Times New Roman" w:hAnsi="Times New Roman"/>
          <w:sz w:val="10"/>
          <w:szCs w:val="10"/>
          <w:color w:val="auto"/>
        </w:rPr>
        <w:t>There is no established public trading market for the Offering Warrants or the Pre-Funded Warrants, and we do not expect a market to develop. In addition, we do not intend to apply to list the Offering Warrants or Pre-Funded Warrants on any national securities exchange or other nationally recognized trading system. Without an active market, the liquidity of the Offering Warrants and Pre-Funded warrants will be limited.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Offering Warrants and Pre-Funded Warrants in this offering are speculative in nature.</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The Offering Warrants and Pre-Funded Warrants offered hereby do not confer any rights of share of common stock ownership on their holders, such as voting rights, but rather merely represent the right to acquire shares of common stock at a fixed price.</w:t>
      </w:r>
    </w:p>
    <w:p>
      <w:pPr>
        <w:spacing w:after="0" w:line="1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0"/>
          <w:szCs w:val="10"/>
          <w:color w:val="auto"/>
        </w:rPr>
        <w:t>Specifically, commencing on the date of issuance, holders of the Offering Warrants may acquire the Ordinary Shares issuable upon exercise of such warrants at an exercise price of $ per Ordinary Share, and holders of the Pre -Funded Warrants may acquire the shares of common stock issuable upon exercise of such warrants at an exercise price of $0.001 per Ordinary Share. Moreover, following this offering, the market value of the Offering Warrants and Pre-Funded Warrants is uncertain and there can be no assurance that the market value of the Offering Warrants or Pre-Funded Warrants will equal or exceed their respective offering prices. There can be no assurance that the market price of the Ordinary Shares will ever equal or exceed the exercise price of the Offering Warrants or Pre-Funded Warrants, and consequently, whether it will ever be profitable for holders of Offering Warrants to exercise the Offering Warrants or for holders of the Pre-Funded Warrants to exercise the Pre-Funded Warrants.</w:t>
      </w:r>
    </w:p>
    <w:p>
      <w:pPr>
        <w:spacing w:after="0" w:line="9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Holders of the Offering Warrants and Pre-Funded Warrants offered hereby will have no rights as public shareholders with respect to the Ordinary Shares underlying the Offering Warrants and Pre-Funded Warrants until such holders exercise their warrants and acquire our shares, except as otherwise provided in the Offering Warrants and Pre-Funded Warrants.</w:t>
      </w:r>
    </w:p>
    <w:p>
      <w:pPr>
        <w:spacing w:after="0" w:line="91" w:lineRule="exact"/>
        <w:rPr>
          <w:sz w:val="20"/>
          <w:szCs w:val="20"/>
          <w:color w:val="auto"/>
        </w:rPr>
      </w:pPr>
    </w:p>
    <w:p>
      <w:pPr>
        <w:ind w:right="200" w:firstLine="705"/>
        <w:spacing w:after="0" w:line="245" w:lineRule="auto"/>
        <w:rPr>
          <w:sz w:val="20"/>
          <w:szCs w:val="20"/>
          <w:color w:val="auto"/>
        </w:rPr>
      </w:pPr>
      <w:r>
        <w:rPr>
          <w:rFonts w:ascii="Times New Roman" w:cs="Times New Roman" w:eastAsia="Times New Roman" w:hAnsi="Times New Roman"/>
          <w:sz w:val="10"/>
          <w:szCs w:val="10"/>
          <w:color w:val="auto"/>
        </w:rPr>
        <w:t>Until holders of the Offering Warrants and the pre-funded warrants acquire shares of our common stock upon exercise thereof, except as set forth in the Offering Warrants and pre-funded warrants, such holders will have no rights with respect to the shares of our common stock underlying such warrants. Upon exercise of the Offering Warrants and the pre-funded warrants, the holders will be entitled to exercise the rights of a common stockholder only as to matters for which the record date occurs after the exercise date.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This is a best-efforts offering, with no minimum number of securities required to be sold, and we may not raise the amount of capital we believe is required for our business plans, including our near-term business plans.</w:t>
      </w:r>
    </w:p>
    <w:p>
      <w:pPr>
        <w:spacing w:after="0" w:line="112"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including our near-term continued operations. Thus, we may not raise the amount of capital we believe is required for our operations in the short-term and may need to raise additional funds, which may not be available or available on terms acceptable to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Our Business and Industry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0" w:name="page21"/>
    <w:bookmarkEnd w:id="20"/>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also fail to attract new partners and retain existing partners as a result of a number of other factors, including</w:t>
      </w:r>
    </w:p>
    <w:p>
      <w:pPr>
        <w:spacing w:after="0" w:line="58" w:lineRule="exact"/>
        <w:rPr>
          <w:sz w:val="20"/>
          <w:szCs w:val="20"/>
          <w:color w:val="auto"/>
        </w:rPr>
      </w:pPr>
    </w:p>
    <w:p>
      <w:pPr>
        <w:ind w:left="480" w:right="620"/>
        <w:spacing w:after="0" w:line="360" w:lineRule="auto"/>
        <w:rPr>
          <w:sz w:val="20"/>
          <w:szCs w:val="20"/>
          <w:color w:val="auto"/>
        </w:rPr>
      </w:pPr>
      <w:r>
        <w:rPr>
          <w:rFonts w:ascii="Times New Roman" w:cs="Times New Roman" w:eastAsia="Times New Roman" w:hAnsi="Times New Roman"/>
          <w:sz w:val="10"/>
          <w:szCs w:val="10"/>
          <w:color w:val="auto"/>
        </w:rPr>
        <w:t>•competitive factors affecting the software as a service, or SaaS, business software applications market, including the introduction of competing platforms, discount pricing and other strategies that may be implemented by Rezolve’s competitors; •Rezolve’s ability to execute on Rezolve’s growth strategy and operating plans;</w:t>
      </w:r>
    </w:p>
    <w:p>
      <w:pPr>
        <w:ind w:left="480"/>
        <w:spacing w:after="0"/>
        <w:rPr>
          <w:sz w:val="20"/>
          <w:szCs w:val="20"/>
          <w:color w:val="auto"/>
        </w:rPr>
      </w:pPr>
      <w:r>
        <w:rPr>
          <w:rFonts w:ascii="Times New Roman" w:cs="Times New Roman" w:eastAsia="Times New Roman" w:hAnsi="Times New Roman"/>
          <w:sz w:val="10"/>
          <w:szCs w:val="10"/>
          <w:color w:val="auto"/>
        </w:rPr>
        <w:t>•a decline in Rezolve’s partners’ level of satisfaction with Rezolve’s platform and usage of Rezolve’s platform;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Rezolve’s relationships with third parties, including Rezolve’s partners, app developers, theme designers, referral sources and payment processors;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timeliness and success of Rezolve’s solutions;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frequency and severity of any system outages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•technological change; and</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an early-stage company with a history of financial losses and expects to incur significant expenses and continuing losses for the foreseeable future.</w:t>
      </w:r>
    </w:p>
    <w:p>
      <w:pPr>
        <w:spacing w:after="0" w:line="60"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 -term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1" w:name="page22"/>
    <w:bookmarkEnd w:id="21"/>
    <w:p>
      <w:pPr>
        <w:spacing w:after="0" w:line="241" w:lineRule="auto"/>
        <w:rPr>
          <w:sz w:val="20"/>
          <w:szCs w:val="20"/>
          <w:color w:val="auto"/>
        </w:rPr>
      </w:pPr>
      <w:r>
        <w:rPr>
          <w:rFonts w:ascii="Times New Roman" w:cs="Times New Roman" w:eastAsia="Times New Roman" w:hAnsi="Times New Roman"/>
          <w:sz w:val="10"/>
          <w:szCs w:val="10"/>
          <w:color w:val="auto"/>
        </w:rPr>
        <w:t>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08"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growth depends in part on the success of its strategic relationships with third parties.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anticipates that the growth of its business will continue to depend on third -party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16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39"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2" w:name="page23"/>
    <w:bookmarkEnd w:id="22"/>
    <w:p>
      <w:pPr>
        <w:spacing w:after="0" w:line="277" w:lineRule="auto"/>
        <w:rPr>
          <w:sz w:val="20"/>
          <w:szCs w:val="20"/>
          <w:color w:val="auto"/>
        </w:rPr>
      </w:pPr>
      <w:r>
        <w:rPr>
          <w:rFonts w:ascii="Times New Roman" w:cs="Times New Roman" w:eastAsia="Times New Roman" w:hAnsi="Times New Roman"/>
          <w:sz w:val="9"/>
          <w:szCs w:val="9"/>
          <w:color w:val="auto"/>
        </w:rPr>
        <w:t>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 -19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could be harmed if it fails to manage its growth effectively.</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08"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16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The projected financial and operating information appearing elsewhere in this proxy statement/prospectus reflect current management estimates of future performance. Whether actual operating and financial results and business developments will be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0"/>
          <w:szCs w:val="10"/>
          <w:color w:val="auto"/>
        </w:rPr>
        <w:t>consistent with Rezolve’s expectations and assumptions as reflected in its forecasts depends on a number of factors, many of which are outside Rezolve’s control, including, but not limited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existing and new market business development;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•success and timing of new software development activity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•competition, including from established and future competitors;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manage its growth;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•whether Rezolve can manage relationships with business partners and key customers;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ability to retain existing key management, integrate recent hires and attract, retain and motivate qualified personnel;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overall strength and stability of domestic and international economies.</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 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As a result of Rezolve’s business model, it may not be able to accurately assess its financial position and results of operations.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business is susceptible to risks associated with international sales and the use of its platform in various countries.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international sales and the use of its platform in various countries subject Rezolve to risks that include, but are not limited to:</w:t>
      </w:r>
    </w:p>
    <w:p>
      <w:pPr>
        <w:spacing w:after="0" w:line="58" w:lineRule="exact"/>
        <w:rPr>
          <w:sz w:val="20"/>
          <w:szCs w:val="20"/>
          <w:color w:val="auto"/>
        </w:rPr>
      </w:pPr>
    </w:p>
    <w:p>
      <w:pPr>
        <w:ind w:left="480" w:right="2080"/>
        <w:spacing w:after="0" w:line="380" w:lineRule="auto"/>
        <w:rPr>
          <w:sz w:val="20"/>
          <w:szCs w:val="20"/>
          <w:color w:val="auto"/>
        </w:rPr>
      </w:pPr>
      <w:r>
        <w:rPr>
          <w:rFonts w:ascii="Times New Roman" w:cs="Times New Roman" w:eastAsia="Times New Roman" w:hAnsi="Times New Roman"/>
          <w:sz w:val="10"/>
          <w:szCs w:val="10"/>
          <w:color w:val="auto"/>
        </w:rPr>
        <w:t>•lack of familiarity and burdens and complexity involved with complying with multiple, conflicting and changing foreign laws, standards, regulatory requirements, tariffs, export controls and other barriers; •difficulties in ensuring compliance with countries’ multiple, conflicting and changing international trade, customs and sanctions laws;</w:t>
      </w:r>
    </w:p>
    <w:p>
      <w:pPr>
        <w:spacing w:after="0" w:line="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095" w:right="700" w:bottom="1440" w:gutter="0" w:footer="0" w:header="0"/>
        </w:sectPr>
      </w:pPr>
    </w:p>
    <w:bookmarkStart w:id="24" w:name="page25"/>
    <w:bookmarkEnd w:id="24"/>
    <w:p>
      <w:pPr>
        <w:ind w:left="480"/>
        <w:spacing w:after="0"/>
        <w:rPr>
          <w:sz w:val="20"/>
          <w:szCs w:val="20"/>
          <w:color w:val="auto"/>
        </w:rPr>
      </w:pPr>
      <w:r>
        <w:rPr>
          <w:rFonts w:ascii="Times New Roman" w:cs="Times New Roman" w:eastAsia="Times New Roman" w:hAnsi="Times New Roman"/>
          <w:sz w:val="9"/>
          <w:szCs w:val="9"/>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•difficulties in managing systems integrators and technology partners;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•differing technology standards;</w:t>
      </w:r>
    </w:p>
    <w:p>
      <w:pPr>
        <w:spacing w:after="0" w:line="58" w:lineRule="exact"/>
        <w:rPr>
          <w:sz w:val="20"/>
          <w:szCs w:val="20"/>
          <w:color w:val="auto"/>
        </w:rPr>
      </w:pPr>
    </w:p>
    <w:p>
      <w:pPr>
        <w:ind w:left="480" w:right="3800"/>
        <w:spacing w:after="0" w:line="360" w:lineRule="auto"/>
        <w:rPr>
          <w:sz w:val="20"/>
          <w:szCs w:val="20"/>
          <w:color w:val="auto"/>
        </w:rPr>
      </w:pPr>
      <w:r>
        <w:rPr>
          <w:rFonts w:ascii="Times New Roman" w:cs="Times New Roman" w:eastAsia="Times New Roman" w:hAnsi="Times New Roman"/>
          <w:sz w:val="10"/>
          <w:szCs w:val="10"/>
          <w:color w:val="auto"/>
        </w:rPr>
        <w:t>•potentially adverse tax consequences, including the complexities of foreign value added tax (or other tax) systems and restrictions on the repatriation of earnings; •greater difficulty in enforcing contracts, including Rezolve’s universal terms of service and other agreements;</w:t>
      </w:r>
    </w:p>
    <w:p>
      <w:pPr>
        <w:ind w:left="480"/>
        <w:spacing w:after="0" w:line="255" w:lineRule="auto"/>
        <w:rPr>
          <w:sz w:val="20"/>
          <w:szCs w:val="20"/>
          <w:color w:val="auto"/>
        </w:rPr>
      </w:pPr>
      <w:r>
        <w:rPr>
          <w:rFonts w:ascii="Times New Roman" w:cs="Times New Roman" w:eastAsia="Times New Roman" w:hAnsi="Times New Roman"/>
          <w:sz w:val="10"/>
          <w:szCs w:val="10"/>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•currency exchange rates;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•reduced or uncertain protection for intellectual property rights in some countries;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•new and different sources of competition.</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15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39"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1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Exchange rate fluctuations may negatively affect Rezolve’s results of operations.</w:t>
      </w:r>
    </w:p>
    <w:p>
      <w:pPr>
        <w:spacing w:after="0" w:line="60" w:lineRule="exact"/>
        <w:rPr>
          <w:sz w:val="20"/>
          <w:szCs w:val="20"/>
          <w:color w:val="auto"/>
        </w:rPr>
      </w:pPr>
    </w:p>
    <w:p>
      <w:pPr>
        <w:ind w:right="100" w:firstLine="480"/>
        <w:spacing w:after="0" w:line="310" w:lineRule="auto"/>
        <w:rPr>
          <w:sz w:val="20"/>
          <w:szCs w:val="20"/>
          <w:color w:val="auto"/>
        </w:rPr>
      </w:pPr>
      <w:r>
        <w:rPr>
          <w:rFonts w:ascii="Times New Roman" w:cs="Times New Roman" w:eastAsia="Times New Roman" w:hAnsi="Times New Roman"/>
          <w:sz w:val="9"/>
          <w:szCs w:val="9"/>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operating results are expected to be subject to seasonal fluctuations.</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0"/>
          <w:szCs w:val="10"/>
          <w:color w:val="auto"/>
        </w:rPr>
        <w:t>solutions offerings, Rezolve cannot guarantee that its business will not become more seasonal in the future, and historical patterns in its business may not be a reliable indicator of Rezolve’s future sales activity or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01" w:lineRule="exact"/>
        <w:rPr>
          <w:sz w:val="20"/>
          <w:szCs w:val="20"/>
          <w:color w:val="auto"/>
        </w:rPr>
      </w:pPr>
    </w:p>
    <w:p>
      <w:pPr>
        <w:ind w:right="240" w:firstLine="480"/>
        <w:spacing w:after="0" w:line="239" w:lineRule="auto"/>
        <w:rPr>
          <w:sz w:val="20"/>
          <w:szCs w:val="20"/>
          <w:color w:val="auto"/>
        </w:rPr>
      </w:pPr>
      <w:r>
        <w:rPr>
          <w:rFonts w:ascii="Times New Roman" w:cs="Times New Roman" w:eastAsia="Times New Roman" w:hAnsi="Times New Roman"/>
          <w:sz w:val="10"/>
          <w:szCs w:val="10"/>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not be able to compete successfully against current and future competitors.</w:t>
      </w:r>
    </w:p>
    <w:p>
      <w:pPr>
        <w:spacing w:after="0" w:line="60"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become subject to a number of risks related to payments processed through Instant Buy, including: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payment of interchange and other fees, which may increase Rezolve’s operating expenses;</w:t>
      </w:r>
    </w:p>
    <w:p>
      <w:pPr>
        <w:spacing w:after="0" w:line="58" w:lineRule="exact"/>
        <w:rPr>
          <w:sz w:val="20"/>
          <w:szCs w:val="20"/>
          <w:color w:val="auto"/>
        </w:rPr>
      </w:pPr>
    </w:p>
    <w:p>
      <w:pPr>
        <w:ind w:left="480" w:right="3400"/>
        <w:spacing w:after="0" w:line="360" w:lineRule="auto"/>
        <w:rPr>
          <w:sz w:val="20"/>
          <w:szCs w:val="20"/>
          <w:color w:val="auto"/>
        </w:rPr>
      </w:pPr>
      <w:r>
        <w:rPr>
          <w:rFonts w:ascii="Times New Roman" w:cs="Times New Roman" w:eastAsia="Times New Roman" w:hAnsi="Times New Roman"/>
          <w:sz w:val="10"/>
          <w:szCs w:val="10"/>
          <w:color w:val="auto"/>
        </w:rPr>
        <w:t>•if Rezolve is unable to maintain its chargeback rate at acceptable levels, its credit card fees may increase or credit card issuers may terminate their relationship with Rezolve; •increased costs and diversion of management time and effort and other resources to deal with fraudulent transactions or chargeback disputes; •potential fraudulent or otherwise illegal activity by merchants, their customers, developers, employees or third parties;</w:t>
      </w:r>
    </w:p>
    <w:p>
      <w:pPr>
        <w:ind w:left="480"/>
        <w:spacing w:after="0"/>
        <w:rPr>
          <w:sz w:val="20"/>
          <w:szCs w:val="20"/>
          <w:color w:val="auto"/>
        </w:rPr>
      </w:pPr>
      <w:r>
        <w:rPr>
          <w:rFonts w:ascii="Times New Roman" w:cs="Times New Roman" w:eastAsia="Times New Roman" w:hAnsi="Times New Roman"/>
          <w:sz w:val="10"/>
          <w:szCs w:val="10"/>
          <w:color w:val="auto"/>
        </w:rPr>
        <w:t>•restrictions on funds or required reserves related to payments;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•additional disclosure and other requirements, including new reporting regulations and new credit card association rules.</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6" w:name="page27"/>
    <w:bookmarkEnd w:id="26"/>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3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•diversion of management time and focus from operating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•use of resources that are needed in other areas of Rezolve’s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implementation or remediation of controls, procedures and policies of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difficulty integrating the accounting systems and operations of the acquired company, including potential risks to Rezolve’s corporate culture;</w:t>
      </w:r>
    </w:p>
    <w:p>
      <w:pPr>
        <w:spacing w:after="0" w:line="58" w:lineRule="exact"/>
        <w:rPr>
          <w:sz w:val="20"/>
          <w:szCs w:val="20"/>
          <w:color w:val="auto"/>
        </w:rPr>
      </w:pPr>
    </w:p>
    <w:p>
      <w:pPr>
        <w:ind w:left="480" w:right="80"/>
        <w:spacing w:after="0" w:line="255" w:lineRule="auto"/>
        <w:rPr>
          <w:sz w:val="20"/>
          <w:szCs w:val="20"/>
          <w:color w:val="auto"/>
        </w:rPr>
      </w:pPr>
      <w:r>
        <w:rPr>
          <w:rFonts w:ascii="Times New Roman" w:cs="Times New Roman" w:eastAsia="Times New Roman" w:hAnsi="Times New Roman"/>
          <w:sz w:val="10"/>
          <w:szCs w:val="10"/>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an acquisition, retention and integration of employees from the acquired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•unforeseen costs or liabilities;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•adverse effects to Rezolve’s existing business relationships with partners and merchants as a result of the acquisition or investment;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possibility of adverse tax consequences;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•litigation or other claims arising in connection with the acquired company or investment;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a significant portion of the purchase price of companies that Rezolve acquires may be allocated to acquired goodwill and other intangible assets, which must be assessed for impairment on at least an annual basis. In the future, if Rezolve’s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acquisitions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0"/>
          <w:szCs w:val="10"/>
          <w:color w:val="auto"/>
        </w:rPr>
        <w:t>do not yield expected returns, Rezolve may be required to take charges to its operating results based on this impairment assessment process, which could adversely affect Rezolve’s results of operations.</w:t>
      </w:r>
    </w:p>
    <w:p>
      <w:pPr>
        <w:spacing w:after="0" w:line="11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the availability of Rezolve’s platform does not meet its service-level commitments to customers, Rezolve’s current and future revenues may be negatively impacted.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8" w:name="page29"/>
    <w:bookmarkEnd w:id="28"/>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typically commits to its customers that its platform will maintain a minimum service -level of availability. If Rezolve is unable to meet these commitments, Rezolve may be obligated to provide customers with additional capacity, which could significantly affect its revenues. Further, any failure to meet its service -level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does not intend to pay dividends for the foreseeable future.</w:t>
      </w:r>
    </w:p>
    <w:p>
      <w:pPr>
        <w:spacing w:after="0" w:line="60"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16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39"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9"/>
          <w:szCs w:val="9"/>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 regional or global health pandemic, including the global COVID-19 pandemic, may adversely impact Rezolve’s business, results of operations and financial performance.</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 regional or global health pandemic, depending upon its duration and severity, could have a material adverse effect on our business. For example, in March 2020, the World Health Organization characterized COVID -19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0"/>
          <w:szCs w:val="10"/>
          <w:i w:val="1"/>
          <w:iCs w:val="1"/>
          <w:color w:val="auto"/>
        </w:rPr>
        <w:t>Risk Factors</w:t>
      </w:r>
      <w:r>
        <w:rPr>
          <w:rFonts w:ascii="Times New Roman" w:cs="Times New Roman" w:eastAsia="Times New Roman" w:hAnsi="Times New Roman"/>
          <w:sz w:val="10"/>
          <w:szCs w:val="10"/>
          <w:color w:val="auto"/>
        </w:rPr>
        <w:t>” section.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is unable to hire, retain and motivate qualified personnel, its business will be adversely affected.</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Rezolve’s future success depends, in part, on its ability to continue to attract and retain highly skilled personnel. The inability to attract or retain qualified personnel or delays in hiring required personnel may seriously harmRezolve’s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0"/>
          <w:szCs w:val="10"/>
          <w:color w:val="auto"/>
        </w:rPr>
        <w:t>operating results for employee stock-based compensation under its equity grant programs which may increase the pressure to limit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expects to be dependent upon consumers’ and merchants’ willingness to use the internet and internet-enabled mobile devices for commerce.</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Rezolve’s Software, Platform, and Security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10" w:lineRule="exact"/>
        <w:rPr>
          <w:sz w:val="20"/>
          <w:szCs w:val="20"/>
          <w:color w:val="auto"/>
        </w:rPr>
      </w:pPr>
    </w:p>
    <w:p>
      <w:pPr>
        <w:ind w:right="140" w:firstLine="480"/>
        <w:spacing w:after="0" w:line="239" w:lineRule="auto"/>
        <w:rPr>
          <w:sz w:val="20"/>
          <w:szCs w:val="20"/>
          <w:color w:val="auto"/>
        </w:rPr>
      </w:pPr>
      <w:r>
        <w:rPr>
          <w:rFonts w:ascii="Times New Roman" w:cs="Times New Roman" w:eastAsia="Times New Roman" w:hAnsi="Times New Roman"/>
          <w:sz w:val="10"/>
          <w:szCs w:val="10"/>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0"/>
          <w:szCs w:val="10"/>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58"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Rezolve’s platform and systems may be subject to distributed denial-of-service (“</w:t>
      </w:r>
      <w:r>
        <w:rPr>
          <w:rFonts w:ascii="Times New Roman" w:cs="Times New Roman" w:eastAsia="Times New Roman" w:hAnsi="Times New Roman"/>
          <w:sz w:val="10"/>
          <w:szCs w:val="10"/>
          <w:b w:val="1"/>
          <w:bCs w:val="1"/>
          <w:i w:val="1"/>
          <w:iCs w:val="1"/>
          <w:color w:val="auto"/>
        </w:rPr>
        <w:t>DDoS</w:t>
      </w:r>
      <w:r>
        <w:rPr>
          <w:rFonts w:ascii="Times New Roman" w:cs="Times New Roman" w:eastAsia="Times New Roman" w:hAnsi="Times New Roman"/>
          <w:sz w:val="10"/>
          <w:szCs w:val="10"/>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 -party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1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uses a limited number of data centers to deliver its services. Any disruption of service at these facilities could harm Rezolve’s business.</w:t>
      </w:r>
    </w:p>
    <w:p>
      <w:pPr>
        <w:spacing w:after="0" w:line="60" w:lineRule="exact"/>
        <w:rPr>
          <w:sz w:val="20"/>
          <w:szCs w:val="20"/>
          <w:color w:val="auto"/>
        </w:rPr>
      </w:pPr>
    </w:p>
    <w:p>
      <w:pPr>
        <w:ind w:right="40" w:firstLine="480"/>
        <w:spacing w:after="0" w:line="238" w:lineRule="auto"/>
        <w:rPr>
          <w:sz w:val="20"/>
          <w:szCs w:val="20"/>
          <w:color w:val="auto"/>
        </w:rPr>
      </w:pPr>
      <w:r>
        <w:rPr>
          <w:rFonts w:ascii="Times New Roman" w:cs="Times New Roman" w:eastAsia="Times New Roman" w:hAnsi="Times New Roman"/>
          <w:sz w:val="10"/>
          <w:szCs w:val="10"/>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166"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0"/>
          <w:szCs w:val="10"/>
          <w:color w:val="auto"/>
        </w:rPr>
        <w:t>Providers of internet browsers may from time to time introduce new features that could make it difficult for merchants to use Rezolve’s platform. In addition, internet browsers for desktop or mobile devices could introduce new features or change existing</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31" w:name="page32"/>
    <w:bookmarkEnd w:id="31"/>
    <w:p>
      <w:pPr>
        <w:ind w:right="40"/>
        <w:spacing w:after="0" w:line="310" w:lineRule="auto"/>
        <w:rPr>
          <w:sz w:val="20"/>
          <w:szCs w:val="20"/>
          <w:color w:val="auto"/>
        </w:rPr>
      </w:pPr>
      <w:r>
        <w:rPr>
          <w:rFonts w:ascii="Times New Roman" w:cs="Times New Roman" w:eastAsia="Times New Roman" w:hAnsi="Times New Roman"/>
          <w:sz w:val="9"/>
          <w:szCs w:val="9"/>
          <w:color w:val="auto"/>
        </w:rPr>
        <w:t>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relies on computer hardware, purchased or leased, and software licensed from and services rendered by third parties in order to provide its solutions and run its business.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does not or cannot maintain the compatibility of its platform with third-party applications that its customers use in their businesses, Rezolve’s revenues will decline.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16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39" w:lineRule="exact"/>
        <w:rPr>
          <w:sz w:val="20"/>
          <w:szCs w:val="20"/>
          <w:color w:val="auto"/>
        </w:rPr>
      </w:pPr>
    </w:p>
    <w:p>
      <w:pPr>
        <w:ind w:right="360" w:firstLine="480"/>
        <w:spacing w:after="0" w:line="245" w:lineRule="auto"/>
        <w:rPr>
          <w:sz w:val="20"/>
          <w:szCs w:val="20"/>
          <w:color w:val="auto"/>
        </w:rPr>
      </w:pPr>
      <w:r>
        <w:rPr>
          <w:rFonts w:ascii="Times New Roman" w:cs="Times New Roman" w:eastAsia="Times New Roman" w:hAnsi="Times New Roman"/>
          <w:sz w:val="10"/>
          <w:szCs w:val="10"/>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06" w:lineRule="exact"/>
        <w:rPr>
          <w:sz w:val="20"/>
          <w:szCs w:val="20"/>
          <w:color w:val="auto"/>
        </w:rPr>
      </w:pPr>
    </w:p>
    <w:p>
      <w:pPr>
        <w:ind w:right="60" w:firstLine="480"/>
        <w:spacing w:after="0" w:line="247" w:lineRule="auto"/>
        <w:rPr>
          <w:sz w:val="20"/>
          <w:szCs w:val="20"/>
          <w:color w:val="auto"/>
        </w:rPr>
      </w:pPr>
      <w:r>
        <w:rPr>
          <w:rFonts w:ascii="Times New Roman" w:cs="Times New Roman" w:eastAsia="Times New Roman" w:hAnsi="Times New Roman"/>
          <w:sz w:val="10"/>
          <w:szCs w:val="10"/>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0"/>
          <w:szCs w:val="10"/>
          <w:b w:val="1"/>
          <w:bCs w:val="1"/>
          <w:i w:val="1"/>
          <w:iCs w:val="1"/>
          <w:color w:val="auto"/>
        </w:rPr>
        <w:t>European Data</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 xml:space="preserve">Protection Laws </w:t>
      </w:r>
      <w:r>
        <w:rPr>
          <w:rFonts w:ascii="Times New Roman" w:cs="Times New Roman" w:eastAsia="Times New Roman" w:hAnsi="Times New Roman"/>
          <w:sz w:val="10"/>
          <w:szCs w:val="10"/>
          <w:color w:val="auto"/>
        </w:rPr>
        <w:t>”). European Data Protection Laws regulate the collection, use and other processing of personal data, and impose requirements in connection with such processing that often are more restrictive than in other jurisdictions. For example, European Data</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Protection Laws may, for example, require companies processing personal data on behalf of customers to cooperate with data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32" w:name="page33"/>
    <w:bookmarkEnd w:id="32"/>
    <w:p>
      <w:pPr>
        <w:spacing w:after="0" w:line="255" w:lineRule="auto"/>
        <w:rPr>
          <w:sz w:val="20"/>
          <w:szCs w:val="20"/>
          <w:color w:val="auto"/>
        </w:rPr>
      </w:pPr>
      <w:r>
        <w:rPr>
          <w:rFonts w:ascii="Times New Roman" w:cs="Times New Roman" w:eastAsia="Times New Roman" w:hAnsi="Times New Roman"/>
          <w:sz w:val="10"/>
          <w:szCs w:val="10"/>
          <w:color w:val="auto"/>
        </w:rPr>
        <w:t>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01" w:lineRule="exact"/>
        <w:rPr>
          <w:sz w:val="20"/>
          <w:szCs w:val="20"/>
          <w:color w:val="auto"/>
        </w:rPr>
      </w:pPr>
    </w:p>
    <w:p>
      <w:pPr>
        <w:ind w:right="60" w:firstLine="480"/>
        <w:spacing w:after="0" w:line="266" w:lineRule="auto"/>
        <w:rPr>
          <w:sz w:val="20"/>
          <w:szCs w:val="20"/>
          <w:color w:val="auto"/>
        </w:rPr>
      </w:pPr>
      <w:r>
        <w:rPr>
          <w:rFonts w:ascii="Times New Roman" w:cs="Times New Roman" w:eastAsia="Times New Roman" w:hAnsi="Times New Roman"/>
          <w:sz w:val="9"/>
          <w:szCs w:val="9"/>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 -compliance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98" w:lineRule="exact"/>
        <w:rPr>
          <w:sz w:val="20"/>
          <w:szCs w:val="20"/>
          <w:color w:val="auto"/>
        </w:rPr>
      </w:pPr>
    </w:p>
    <w:p>
      <w:pPr>
        <w:ind w:firstLine="480"/>
        <w:spacing w:after="0" w:line="267" w:lineRule="auto"/>
        <w:rPr>
          <w:sz w:val="20"/>
          <w:szCs w:val="20"/>
          <w:color w:val="auto"/>
        </w:rPr>
      </w:pPr>
      <w:r>
        <w:rPr>
          <w:rFonts w:ascii="Times New Roman" w:cs="Times New Roman" w:eastAsia="Times New Roman" w:hAnsi="Times New Roman"/>
          <w:sz w:val="9"/>
          <w:szCs w:val="9"/>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Rezolve’s Brand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brand is important to its success. If Rezolve fails to effectively maintain, promote and enhance Rezolve’s brand, Rezolve’s business and competitive advantage may be harmed.</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33" w:name="page34"/>
    <w:bookmarkEnd w:id="33"/>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Activities of merchants or the content of their shops could damage Rezolve’s brand, subject Rezolve to liability and harm its business and financial results.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Rezolve fails to maintain a consistently high level of customer service, Rezolve’s brand, business and financial results may be harmed.</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Rezolve’s Intellectual Property</w:t>
      </w:r>
    </w:p>
    <w:p>
      <w:pPr>
        <w:spacing w:after="0" w:line="58"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39"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94"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9"/>
          <w:szCs w:val="9"/>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34" w:name="page35"/>
    <w:bookmarkEnd w:id="34"/>
    <w:p>
      <w:pPr>
        <w:ind w:right="100"/>
        <w:spacing w:after="0" w:line="241" w:lineRule="auto"/>
        <w:rPr>
          <w:sz w:val="20"/>
          <w:szCs w:val="20"/>
          <w:color w:val="auto"/>
        </w:rPr>
      </w:pPr>
      <w:r>
        <w:rPr>
          <w:rFonts w:ascii="Times New Roman" w:cs="Times New Roman" w:eastAsia="Times New Roman" w:hAnsi="Times New Roman"/>
          <w:sz w:val="10"/>
          <w:szCs w:val="10"/>
          <w:color w:val="auto"/>
        </w:rPr>
        <w:t>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08"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may be subject to claims by third parties of intellectual property infringement.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10" w:lineRule="exact"/>
        <w:rPr>
          <w:sz w:val="20"/>
          <w:szCs w:val="20"/>
          <w:color w:val="auto"/>
        </w:rPr>
      </w:pPr>
    </w:p>
    <w:p>
      <w:pPr>
        <w:ind w:right="60" w:firstLine="480"/>
        <w:spacing w:after="0" w:line="269" w:lineRule="auto"/>
        <w:rPr>
          <w:sz w:val="20"/>
          <w:szCs w:val="20"/>
          <w:color w:val="auto"/>
        </w:rPr>
      </w:pPr>
      <w:r>
        <w:rPr>
          <w:rFonts w:ascii="Times New Roman" w:cs="Times New Roman" w:eastAsia="Times New Roman" w:hAnsi="Times New Roman"/>
          <w:sz w:val="9"/>
          <w:szCs w:val="9"/>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 infringing technology, enter into royalty-bearing licensing agreements, stop selling or marketing some or all of Rezolve’s solutions or re- 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0"/>
          <w:szCs w:val="10"/>
          <w:b w:val="1"/>
          <w:bCs w:val="1"/>
          <w:i w:val="1"/>
          <w:iCs w:val="1"/>
          <w:color w:val="auto"/>
        </w:rPr>
        <w:t>Rezolve’s use of “open source” software could negatively affect its ability to sell its solutions and subject Rezolve to possible litigation.</w:t>
      </w:r>
    </w:p>
    <w:p>
      <w:pPr>
        <w:spacing w:after="0" w:line="60"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9"/>
          <w:szCs w:val="9"/>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9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01" w:lineRule="exact"/>
        <w:rPr>
          <w:sz w:val="20"/>
          <w:szCs w:val="20"/>
          <w:color w:val="auto"/>
        </w:rPr>
      </w:pPr>
    </w:p>
    <w:p>
      <w:pPr>
        <w:ind w:right="260" w:firstLine="480"/>
        <w:spacing w:after="0" w:line="241" w:lineRule="auto"/>
        <w:rPr>
          <w:sz w:val="20"/>
          <w:szCs w:val="20"/>
          <w:color w:val="auto"/>
        </w:rPr>
      </w:pPr>
      <w:r>
        <w:rPr>
          <w:rFonts w:ascii="Times New Roman" w:cs="Times New Roman" w:eastAsia="Times New Roman" w:hAnsi="Times New Roman"/>
          <w:sz w:val="10"/>
          <w:szCs w:val="10"/>
          <w:color w:val="auto"/>
        </w:rPr>
        <w:t>Although Rezolve believes that it has complied with its obligations under the various applicable licenses for open source software, it is possible that Rezolve may not be aware of all instances where open- 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Relating to Legal and Regulatory Compliance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60"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w:t>
      </w:r>
    </w:p>
    <w:p>
      <w:pPr>
        <w:spacing w:after="0" w:line="1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36" w:name="page37"/>
    <w:bookmarkEnd w:id="36"/>
    <w:p>
      <w:pPr>
        <w:ind w:right="140"/>
        <w:spacing w:after="0" w:line="285" w:lineRule="auto"/>
        <w:rPr>
          <w:sz w:val="20"/>
          <w:szCs w:val="20"/>
          <w:color w:val="auto"/>
        </w:rPr>
      </w:pPr>
      <w:r>
        <w:rPr>
          <w:rFonts w:ascii="Times New Roman" w:cs="Times New Roman" w:eastAsia="Times New Roman" w:hAnsi="Times New Roman"/>
          <w:sz w:val="9"/>
          <w:szCs w:val="9"/>
          <w:color w:val="auto"/>
        </w:rPr>
        <w:t>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39"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08" w:lineRule="exact"/>
        <w:rPr>
          <w:sz w:val="20"/>
          <w:szCs w:val="20"/>
          <w:color w:val="auto"/>
        </w:rPr>
      </w:pPr>
    </w:p>
    <w:p>
      <w:pPr>
        <w:jc w:val="both"/>
        <w:ind w:right="40" w:firstLine="480"/>
        <w:spacing w:after="0" w:line="255" w:lineRule="auto"/>
        <w:rPr>
          <w:sz w:val="20"/>
          <w:szCs w:val="20"/>
          <w:color w:val="auto"/>
        </w:rPr>
      </w:pPr>
      <w:r>
        <w:rPr>
          <w:rFonts w:ascii="Times New Roman" w:cs="Times New Roman" w:eastAsia="Times New Roman" w:hAnsi="Times New Roman"/>
          <w:sz w:val="10"/>
          <w:szCs w:val="10"/>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01"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Enhanced trade tariffs, import restrictions, export restrictions, United States regulations or other trade barriers may materially harm Rezolve’s business.</w:t>
      </w:r>
    </w:p>
    <w:p>
      <w:pPr>
        <w:spacing w:after="0" w:line="60" w:lineRule="exact"/>
        <w:rPr>
          <w:sz w:val="20"/>
          <w:szCs w:val="20"/>
          <w:color w:val="auto"/>
        </w:rPr>
      </w:pPr>
    </w:p>
    <w:p>
      <w:pPr>
        <w:ind w:right="100" w:firstLine="480"/>
        <w:spacing w:after="0" w:line="270" w:lineRule="auto"/>
        <w:rPr>
          <w:sz w:val="20"/>
          <w:szCs w:val="20"/>
          <w:color w:val="auto"/>
        </w:rPr>
      </w:pPr>
      <w:r>
        <w:rPr>
          <w:rFonts w:ascii="Times New Roman" w:cs="Times New Roman" w:eastAsia="Times New Roman" w:hAnsi="Times New Roman"/>
          <w:sz w:val="9"/>
          <w:szCs w:val="9"/>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Rezolve may be involved in legal proceedings and commercial or contractual disputes that, from time to time, are significant. Such claims may include, without limitation, commercial or contractual disputes, including disputes with merchants, intellectual</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37" w:name="page38"/>
    <w:bookmarkEnd w:id="37"/>
    <w:p>
      <w:pPr>
        <w:ind w:right="280"/>
        <w:spacing w:after="0" w:line="255" w:lineRule="auto"/>
        <w:rPr>
          <w:sz w:val="20"/>
          <w:szCs w:val="20"/>
          <w:color w:val="auto"/>
        </w:rPr>
      </w:pPr>
      <w:r>
        <w:rPr>
          <w:rFonts w:ascii="Times New Roman" w:cs="Times New Roman" w:eastAsia="Times New Roman" w:hAnsi="Times New Roman"/>
          <w:sz w:val="10"/>
          <w:szCs w:val="10"/>
          <w:color w:val="auto"/>
        </w:rPr>
        <w:t>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Certain provisions of the Articles and English law could deter takeover attempts.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Risks Related to Ownership of Ordinary Shares and Rezolve Operating as a Public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trading price of Ordinary Shares could be volatile, and the value of Ordinary Shares may decline.</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We cannot predict the prices at which Ordinary Shares will trade. The price of Ordinary Shares may be volatile and could be subject to fluctuations in response to various factors, some of which are beyond our control. These fluctuations could cause you to lose all or part of your investment in Ordinary Shares. Factors that could cause fluctuations in the trading price of Ordinary Shares include the following: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•price and volume fluctuations in the overall stock market from time to time;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•volatility in the market prices and trading volumes of technology company stocks;</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•changes in operating performance and stock market valuations of other technology companies generally, or those in Rezolve’s industry in particular; •sales of shares of Ordinary Shares by shareholders;</w:t>
      </w:r>
    </w:p>
    <w:p>
      <w:pPr>
        <w:ind w:left="480" w:right="1440"/>
        <w:spacing w:after="0" w:line="360" w:lineRule="auto"/>
        <w:rPr>
          <w:sz w:val="20"/>
          <w:szCs w:val="20"/>
          <w:color w:val="auto"/>
        </w:rPr>
      </w:pPr>
      <w:r>
        <w:rPr>
          <w:rFonts w:ascii="Times New Roman" w:cs="Times New Roman" w:eastAsia="Times New Roman" w:hAnsi="Times New Roman"/>
          <w:sz w:val="10"/>
          <w:szCs w:val="10"/>
          <w:color w:val="auto"/>
        </w:rPr>
        <w:t>•failure of securities analysts to initiate or maintain coverage of Rezolve, changes in financial estimates by securities analysts who follow Rezolve, or Rezolve’s failure to meet these estimates or the expectations of investors; •the financial projections Rezolve may provide to the public, any changes in those projections, or Rezolve’s failure to meet those projections; •announcements by Rezolve or its competitors of new offerings or contracts;</w:t>
      </w:r>
    </w:p>
    <w:p>
      <w:pPr>
        <w:ind w:left="480"/>
        <w:spacing w:after="0"/>
        <w:rPr>
          <w:sz w:val="20"/>
          <w:szCs w:val="20"/>
          <w:color w:val="auto"/>
        </w:rPr>
      </w:pPr>
      <w:r>
        <w:rPr>
          <w:rFonts w:ascii="Times New Roman" w:cs="Times New Roman" w:eastAsia="Times New Roman" w:hAnsi="Times New Roman"/>
          <w:sz w:val="10"/>
          <w:szCs w:val="10"/>
          <w:color w:val="auto"/>
        </w:rPr>
        <w:t>•the public’s reaction to Rezolve’s press releases, other public announcements, and filings with the SEC;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how customers perceive the benefits of Rezolve’s offerings and services, and future offerings;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•changes in the structure of payment systems;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•rumors and market speculation involving Rezolve or other companies in the same or similar industry;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changes in Rezolve’s results of operations or fluctuations in Rezolve’s results of operations;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•actual or anticipated developments in Rezolve’s business, Rezolve’s competitors’ businesses, or the competitive landscape generally;</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•litigation involving Rezolve, Rezolve’s industry or both, or investigations by regulators into Rezolve’s operations or those of Rezolve’s competitors; •developments or disputes concerning Rezolve’s intellectual property or other proprietary rights;</w:t>
      </w:r>
    </w:p>
    <w:p>
      <w:pPr>
        <w:ind w:left="480"/>
        <w:spacing w:after="0"/>
        <w:rPr>
          <w:sz w:val="20"/>
          <w:szCs w:val="20"/>
          <w:color w:val="auto"/>
        </w:rPr>
      </w:pPr>
      <w:r>
        <w:rPr>
          <w:rFonts w:ascii="Times New Roman" w:cs="Times New Roman" w:eastAsia="Times New Roman" w:hAnsi="Times New Roman"/>
          <w:sz w:val="10"/>
          <w:szCs w:val="10"/>
          <w:color w:val="auto"/>
        </w:rPr>
        <w:t>•any security breach or incident involving our offerings, services or site or data stored or processed by us or on our behalf;</w:t>
      </w:r>
    </w:p>
    <w:p>
      <w:pPr>
        <w:spacing w:after="0" w:line="58" w:lineRule="exact"/>
        <w:rPr>
          <w:sz w:val="20"/>
          <w:szCs w:val="20"/>
          <w:color w:val="auto"/>
        </w:rPr>
      </w:pPr>
    </w:p>
    <w:p>
      <w:pPr>
        <w:ind w:left="480" w:right="4480"/>
        <w:spacing w:after="0" w:line="360" w:lineRule="auto"/>
        <w:rPr>
          <w:sz w:val="20"/>
          <w:szCs w:val="20"/>
          <w:color w:val="auto"/>
        </w:rPr>
      </w:pPr>
      <w:r>
        <w:rPr>
          <w:rFonts w:ascii="Times New Roman" w:cs="Times New Roman" w:eastAsia="Times New Roman" w:hAnsi="Times New Roman"/>
          <w:sz w:val="10"/>
          <w:szCs w:val="10"/>
          <w:color w:val="auto"/>
        </w:rPr>
        <w:t>•announced or completed acquisitions of businesses, commercial relationships, offerings, services, or technologies by Rezolve or its competitors; •new laws or regulations or new interpretations of existing laws or regulations applicable to Rezolve’s business; •changes in accounting standards, policies, guidelines, interpretations, or principles;</w:t>
      </w:r>
    </w:p>
    <w:p>
      <w:pPr>
        <w:ind w:left="480" w:right="2140"/>
        <w:spacing w:after="0" w:line="380" w:lineRule="auto"/>
        <w:rPr>
          <w:sz w:val="20"/>
          <w:szCs w:val="20"/>
          <w:color w:val="auto"/>
        </w:rPr>
      </w:pPr>
      <w:r>
        <w:rPr>
          <w:rFonts w:ascii="Times New Roman" w:cs="Times New Roman" w:eastAsia="Times New Roman" w:hAnsi="Times New Roman"/>
          <w:sz w:val="10"/>
          <w:szCs w:val="10"/>
          <w:color w:val="auto"/>
        </w:rPr>
        <w:t>•any adverse consequences related to the Rezolve Founder weighted voting capital structure, such as stock index providers excluding companies with weighted voting capital structures from certain indices; •any significant change in Rezolve’s management; and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38" w:name="page39"/>
    <w:bookmarkEnd w:id="38"/>
    <w:p>
      <w:pPr>
        <w:ind w:left="480"/>
        <w:spacing w:after="0"/>
        <w:rPr>
          <w:sz w:val="20"/>
          <w:szCs w:val="20"/>
          <w:color w:val="auto"/>
        </w:rPr>
      </w:pPr>
      <w:r>
        <w:rPr>
          <w:rFonts w:ascii="Times New Roman" w:cs="Times New Roman" w:eastAsia="Times New Roman" w:hAnsi="Times New Roman"/>
          <w:sz w:val="10"/>
          <w:szCs w:val="10"/>
          <w:color w:val="auto"/>
        </w:rPr>
        <w:t>•general economic conditions and slow or negative growth of Rezolve’s markets and war or other hostilities.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There can be no assurance that the Public Warrants will ever be in the money at the time they become exercisable or otherwise, and they may expire worthless.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exercise price for the Public Warrants is $11.50 per Ordinary Share. There is no guarantee that such Public Warrants will ever be in the money prior to their expiration, and as such, the warrants may expire worthless.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5" w:right="68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0"/>
          <w:szCs w:val="10"/>
          <w:b w:val="1"/>
          <w:bCs w:val="1"/>
          <w:i w:val="1"/>
          <w:iCs w:val="1"/>
          <w:color w:val="auto"/>
        </w:rPr>
        <w:t>A market for our securities may not develop or be sustained, which would adversely affect the liquidity and price of Ordinary Shares.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price of Ordinary Shares may fluctuate significantly due to general market and economic conditions. 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Because Rezolve became a public reporting company by means other than a traditional underwritten initial public offering, the shareholders of Rezolve may face additional risks and uncertainties.</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Because Rezolve became a public reporting company by means of consummating the Business Combination rather than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0"/>
          <w:szCs w:val="10"/>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60" w:lineRule="exact"/>
        <w:rPr>
          <w:sz w:val="20"/>
          <w:szCs w:val="20"/>
          <w:color w:val="auto"/>
        </w:rPr>
      </w:pPr>
    </w:p>
    <w:p>
      <w:pPr>
        <w:jc w:val="both"/>
        <w:ind w:right="100" w:firstLine="480"/>
        <w:spacing w:after="0" w:line="245" w:lineRule="auto"/>
        <w:rPr>
          <w:sz w:val="20"/>
          <w:szCs w:val="20"/>
          <w:color w:val="auto"/>
        </w:rPr>
      </w:pPr>
      <w:r>
        <w:rPr>
          <w:rFonts w:ascii="Times New Roman" w:cs="Times New Roman" w:eastAsia="Times New Roman" w:hAnsi="Times New Roman"/>
          <w:sz w:val="10"/>
          <w:szCs w:val="10"/>
          <w:color w:val="auto"/>
        </w:rPr>
        <w:t>We are an “emerging growth company” as that term is used in the JOBS Act, and we may remain an emerging growth company until the earlier of (i) 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 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Rezolve is a “foreign private issuer” and, as a result, is permitted to rely on exemptions from certain stock exchange corporate governance standards applicable to U.S. issuers. This may afford less protection to holders of Ordinary Shares.</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rules under the Exchange Act requiring the filing with the SEC of quarterly reports on Form 10-Q or current reports on Form 8-K;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regulating the solicitation of proxies, consents, or authorizations in respect of a security registered under the Exchange 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sections of the Exchange Act requiring insiders to file public reports of their stock ownership and trading activities and liability for insiders who profit from trades made in a short period of time.</w:t>
      </w:r>
    </w:p>
    <w:p>
      <w:pPr>
        <w:spacing w:after="0" w:line="11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We are required to file an annual report on Form 20- 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03" w:lineRule="exact"/>
        <w:rPr>
          <w:sz w:val="20"/>
          <w:szCs w:val="20"/>
          <w:color w:val="auto"/>
        </w:rPr>
      </w:pPr>
    </w:p>
    <w:p>
      <w:pPr>
        <w:ind w:right="380" w:firstLine="480"/>
        <w:spacing w:after="0" w:line="259" w:lineRule="auto"/>
        <w:rPr>
          <w:sz w:val="20"/>
          <w:szCs w:val="20"/>
          <w:color w:val="auto"/>
        </w:rPr>
      </w:pPr>
      <w:r>
        <w:rPr>
          <w:rFonts w:ascii="Times New Roman" w:cs="Times New Roman" w:eastAsia="Times New Roman" w:hAnsi="Times New Roman"/>
          <w:sz w:val="10"/>
          <w:szCs w:val="10"/>
          <w:color w:val="auto"/>
        </w:rPr>
        <w:t>In addition, as a foreign private issuer we are exempt from the provisions of Regulation Fair Disclosure (“</w:t>
      </w:r>
      <w:r>
        <w:rPr>
          <w:rFonts w:ascii="Times New Roman" w:cs="Times New Roman" w:eastAsia="Times New Roman" w:hAnsi="Times New Roman"/>
          <w:sz w:val="10"/>
          <w:szCs w:val="10"/>
          <w:b w:val="1"/>
          <w:bCs w:val="1"/>
          <w:i w:val="1"/>
          <w:iCs w:val="1"/>
          <w:color w:val="auto"/>
        </w:rPr>
        <w:t>Regulation FD</w:t>
      </w:r>
      <w:r>
        <w:rPr>
          <w:rFonts w:ascii="Times New Roman" w:cs="Times New Roman" w:eastAsia="Times New Roman" w:hAnsi="Times New Roman"/>
          <w:sz w:val="10"/>
          <w:szCs w:val="10"/>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99"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0"/>
          <w:szCs w:val="10"/>
          <w:i w:val="1"/>
          <w:iCs w:val="1"/>
          <w:color w:val="auto"/>
        </w:rPr>
        <w:t>Management and Compensation—Foreign Private Issuer</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may lose our foreign private issuer status in the future, which could result in significant additional cost and expense.</w:t>
      </w:r>
    </w:p>
    <w:p>
      <w:pPr>
        <w:spacing w:after="0" w:line="60" w:lineRule="exact"/>
        <w:rPr>
          <w:sz w:val="20"/>
          <w:szCs w:val="20"/>
          <w:color w:val="auto"/>
        </w:rPr>
      </w:pPr>
    </w:p>
    <w:p>
      <w:pPr>
        <w:ind w:right="300" w:firstLine="480"/>
        <w:spacing w:after="0" w:line="241" w:lineRule="auto"/>
        <w:rPr>
          <w:sz w:val="20"/>
          <w:szCs w:val="20"/>
          <w:color w:val="auto"/>
        </w:rPr>
      </w:pPr>
      <w:r>
        <w:rPr>
          <w:rFonts w:ascii="Times New Roman" w:cs="Times New Roman" w:eastAsia="Times New Roman" w:hAnsi="Times New Roman"/>
          <w:sz w:val="10"/>
          <w:szCs w:val="10"/>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41" w:name="page42"/>
    <w:bookmarkEnd w:id="41"/>
    <w:p>
      <w:pPr>
        <w:ind w:right="40"/>
        <w:spacing w:after="0" w:line="255" w:lineRule="auto"/>
        <w:rPr>
          <w:sz w:val="20"/>
          <w:szCs w:val="20"/>
          <w:color w:val="auto"/>
        </w:rPr>
      </w:pPr>
      <w:r>
        <w:rPr>
          <w:rFonts w:ascii="Times New Roman" w:cs="Times New Roman" w:eastAsia="Times New Roman" w:hAnsi="Times New Roman"/>
          <w:sz w:val="10"/>
          <w:szCs w:val="10"/>
          <w:color w:val="auto"/>
        </w:rPr>
        <w:t>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issuance of additional Ordinary Shares in connection with financings, acquisitions, investments, our stock incentive plans, or otherwise will dilute all other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 the event that we do not satisfy the conditions for re-registration as a public limited company by January 9, 2025 we will not be able to effect such re-registration by that date which could impact on the eligibility of our shares for DTC.</w:t>
      </w:r>
    </w:p>
    <w:p>
      <w:pPr>
        <w:spacing w:after="0" w:line="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We have undertaken to re-register as a public limited company by January 9, 2025. In the event that the Company does not meet the conditions required to be satisfied for re-registration by that date then the company will remain a private limited liability company which could impact on the eligibility of our shares for DTC and limit the range of investors from whom new investment may be sought by the Company until such re-registration occurs.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8" w:lineRule="exact"/>
        <w:rPr>
          <w:sz w:val="20"/>
          <w:szCs w:val="20"/>
          <w:color w:val="auto"/>
        </w:rPr>
      </w:pPr>
    </w:p>
    <w:p>
      <w:pPr>
        <w:ind w:right="40" w:firstLine="480"/>
        <w:spacing w:after="0" w:line="237" w:lineRule="auto"/>
        <w:rPr>
          <w:sz w:val="20"/>
          <w:szCs w:val="20"/>
          <w:color w:val="auto"/>
        </w:rPr>
      </w:pPr>
      <w:r>
        <w:rPr>
          <w:rFonts w:ascii="Times New Roman" w:cs="Times New Roman" w:eastAsia="Times New Roman" w:hAnsi="Times New Roman"/>
          <w:sz w:val="10"/>
          <w:szCs w:val="10"/>
          <w:color w:val="auto"/>
        </w:rPr>
        <w:t>A non-U.S. corporation generally will be classified as a controlled foreign corporation for U.S. federal income tax purposes (a “</w:t>
      </w:r>
      <w:r>
        <w:rPr>
          <w:rFonts w:ascii="Times New Roman" w:cs="Times New Roman" w:eastAsia="Times New Roman" w:hAnsi="Times New Roman"/>
          <w:sz w:val="10"/>
          <w:szCs w:val="10"/>
          <w:b w:val="1"/>
          <w:bCs w:val="1"/>
          <w:i w:val="1"/>
          <w:iCs w:val="1"/>
          <w:color w:val="auto"/>
        </w:rPr>
        <w:t>CFC</w:t>
      </w:r>
      <w:r>
        <w:rPr>
          <w:rFonts w:ascii="Times New Roman" w:cs="Times New Roman" w:eastAsia="Times New Roman" w:hAnsi="Times New Roman"/>
          <w:sz w:val="10"/>
          <w:szCs w:val="10"/>
          <w:color w:val="auto"/>
        </w:rPr>
        <w:t xml:space="preserve"> ”),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42" w:name="page43"/>
    <w:bookmarkEnd w:id="42"/>
    <w:p>
      <w:pPr>
        <w:spacing w:after="0" w:line="255" w:lineRule="auto"/>
        <w:rPr>
          <w:sz w:val="20"/>
          <w:szCs w:val="20"/>
          <w:color w:val="auto"/>
        </w:rPr>
      </w:pPr>
      <w:r>
        <w:rPr>
          <w:rFonts w:ascii="Times New Roman" w:cs="Times New Roman" w:eastAsia="Times New Roman" w:hAnsi="Times New Roman"/>
          <w:sz w:val="10"/>
          <w:szCs w:val="10"/>
          <w:color w:val="auto"/>
        </w:rPr>
        <w:t>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Our U.S. shareholders may suffer adverse tax consequences if we are classified as a “passive foreign investment company.”</w:t>
      </w:r>
    </w:p>
    <w:p>
      <w:pPr>
        <w:spacing w:after="0" w:line="5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A non-U.S. corporation generally will be treated as a “passive foreign investment company” (“</w:t>
      </w:r>
      <w:r>
        <w:rPr>
          <w:rFonts w:ascii="Times New Roman" w:cs="Times New Roman" w:eastAsia="Times New Roman" w:hAnsi="Times New Roman"/>
          <w:sz w:val="10"/>
          <w:szCs w:val="10"/>
          <w:b w:val="1"/>
          <w:bCs w:val="1"/>
          <w:i w:val="1"/>
          <w:iCs w:val="1"/>
          <w:color w:val="auto"/>
        </w:rPr>
        <w:t>PFIC</w:t>
      </w:r>
      <w:r>
        <w:rPr>
          <w:rFonts w:ascii="Times New Roman" w:cs="Times New Roman" w:eastAsia="Times New Roman" w:hAnsi="Times New Roman"/>
          <w:sz w:val="10"/>
          <w:szCs w:val="10"/>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0"/>
          <w:szCs w:val="10"/>
          <w:i w:val="1"/>
          <w:iCs w:val="1"/>
          <w:color w:val="auto"/>
        </w:rPr>
        <w:t>Material Tax Considerations</w:t>
      </w:r>
      <w:r>
        <w:rPr>
          <w:rFonts w:ascii="Times New Roman" w:cs="Times New Roman" w:eastAsia="Times New Roman" w:hAnsi="Times New Roman"/>
          <w:sz w:val="10"/>
          <w:szCs w:val="10"/>
          <w:color w:val="auto"/>
        </w:rPr>
        <w:t>”) holds our ordinary shares, certain adverse U.S. federal income tax consequences could apply to such U.S. Holder. Prospective U.S. Holders should consult their tax advisors regarding the potential application of the PFIC rules to them.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The Internal Revenue Service may not agree that Rezolve should be treated as a non-U.S. corporation for U.S. federal income tax purposes.</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Although Rezolve is incorporated in England and Wales, the Internal Revenue Service (“</w:t>
      </w:r>
      <w:r>
        <w:rPr>
          <w:rFonts w:ascii="Times New Roman" w:cs="Times New Roman" w:eastAsia="Times New Roman" w:hAnsi="Times New Roman"/>
          <w:sz w:val="10"/>
          <w:szCs w:val="10"/>
          <w:b w:val="1"/>
          <w:bCs w:val="1"/>
          <w:i w:val="1"/>
          <w:iCs w:val="1"/>
          <w:color w:val="auto"/>
        </w:rPr>
        <w:t>IRS</w:t>
      </w:r>
      <w:r>
        <w:rPr>
          <w:rFonts w:ascii="Times New Roman" w:cs="Times New Roman" w:eastAsia="Times New Roman" w:hAnsi="Times New Roman"/>
          <w:sz w:val="10"/>
          <w:szCs w:val="10"/>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06"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Section 7874 of the Code may limit the ability of Armada to use certain tax attributes following the Business Combination, increase Rezolve’s U.S. affiliates’ U.S. taxable income or have other adverse consequences to Rezolve and Rezolve’s shareholders.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0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43" w:name="page44"/>
    <w:bookmarkEnd w:id="43"/>
    <w:p>
      <w:pPr>
        <w:ind w:right="240"/>
        <w:spacing w:after="0" w:line="255" w:lineRule="auto"/>
        <w:rPr>
          <w:sz w:val="20"/>
          <w:szCs w:val="20"/>
          <w:color w:val="auto"/>
        </w:rPr>
      </w:pPr>
      <w:r>
        <w:rPr>
          <w:rFonts w:ascii="Times New Roman" w:cs="Times New Roman" w:eastAsia="Times New Roman" w:hAnsi="Times New Roman"/>
          <w:sz w:val="10"/>
          <w:szCs w:val="10"/>
          <w:color w:val="auto"/>
        </w:rPr>
        <w:t>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As more fully described in the section titled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based on the terms of the Business Combination and certain factual assumptions, Rezolve does not currently expected to 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04"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However, even if Rezolve is not subject to the above adverse consequences under Section 7874, Rezolve may be limited in using its equity to engage in future acquisitions of U.S. corporations over a 36 -month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w:t>
      </w:r>
    </w:p>
    <w:p>
      <w:pPr>
        <w:spacing w:after="0" w:line="103" w:lineRule="exact"/>
        <w:rPr>
          <w:sz w:val="20"/>
          <w:szCs w:val="20"/>
          <w:color w:val="auto"/>
        </w:rPr>
      </w:pPr>
    </w:p>
    <w:p>
      <w:pPr>
        <w:ind w:right="100" w:firstLine="480"/>
        <w:spacing w:after="0" w:line="259" w:lineRule="auto"/>
        <w:rPr>
          <w:sz w:val="20"/>
          <w:szCs w:val="20"/>
          <w:color w:val="auto"/>
        </w:rPr>
      </w:pPr>
      <w:r>
        <w:rPr>
          <w:rFonts w:ascii="Times New Roman" w:cs="Times New Roman" w:eastAsia="Times New Roman" w:hAnsi="Times New Roman"/>
          <w:sz w:val="10"/>
          <w:szCs w:val="10"/>
          <w:color w:val="auto"/>
        </w:rPr>
        <w:t>See “</w:t>
      </w:r>
      <w:r>
        <w:rPr>
          <w:rFonts w:ascii="Times New Roman" w:cs="Times New Roman" w:eastAsia="Times New Roman" w:hAnsi="Times New Roman"/>
          <w:sz w:val="10"/>
          <w:szCs w:val="10"/>
          <w:i w:val="1"/>
          <w:iCs w:val="1"/>
          <w:color w:val="auto"/>
        </w:rPr>
        <w:t>Material Tax Considerations — Material U.S. Federal Income Tax Considerations—U.S. Federal Income Tax Treatment of Rezolve</w:t>
      </w:r>
      <w:r>
        <w:rPr>
          <w:rFonts w:ascii="Times New Roman" w:cs="Times New Roman" w:eastAsia="Times New Roman" w:hAnsi="Times New Roman"/>
          <w:sz w:val="10"/>
          <w:szCs w:val="10"/>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USE OF PROCEEDS</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We estimate that the net proceeds we will receive from the sale of our securities in this offering, assuming all the securities we are offering are sold, after deducting placement agent fees and other estimated offering expenses payable by us, and assuming no sale of any Pre-Funded Warrants and no exercise of the Offering Warrants being issued in this offering, will be approximately $23.27 million, based on an assumed offering price of $3.29 per Ordinary Share and accompanying Offering Warrants.</w:t>
      </w:r>
    </w:p>
    <w:p>
      <w:pPr>
        <w:spacing w:after="0" w:line="7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However, because this is a best efforts offering and there is no minimum offering amount required as a condition to the closing of this offering, the actual offering amount, the placement agent fees and net proceeds to us are not presently determinable and may be substantially less than the maximum amounts set forth on the cover page of this prospectus.</w:t>
      </w:r>
    </w:p>
    <w:p>
      <w:pPr>
        <w:spacing w:after="0" w:line="7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We expect to use the net proceeds from this offering for working capital, repayment of convertible debt and for general corporate purposes.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The amounts and timing of our actual use of the net proceeds from this offering will vary depending on numerous factors, including the factors described under “Risk Factors” located elsewhere in this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45" w:name="page46"/>
    <w:bookmarkEnd w:id="45"/>
    <w:p>
      <w:pPr>
        <w:jc w:val="center"/>
        <w:ind w:right="-459"/>
        <w:spacing w:after="0"/>
        <w:rPr>
          <w:sz w:val="20"/>
          <w:szCs w:val="20"/>
          <w:color w:val="auto"/>
        </w:rPr>
      </w:pPr>
      <w:r>
        <w:rPr>
          <w:rFonts w:ascii="Times New Roman" w:cs="Times New Roman" w:eastAsia="Times New Roman" w:hAnsi="Times New Roman"/>
          <w:sz w:val="10"/>
          <w:szCs w:val="10"/>
          <w:b w:val="1"/>
          <w:bCs w:val="1"/>
          <w:color w:val="auto"/>
        </w:rPr>
        <w:t>DILUTION</w:t>
      </w:r>
    </w:p>
    <w:p>
      <w:pPr>
        <w:spacing w:after="0" w:line="97"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If you invest in our securities in this offering, your ownership interest may be diluted immediately depending on the difference between the offering price per share of our Ordinary Shares (assuming the exercise for cash of all pre-funded warrants issued in this offering) and the as adjusted net tangible book value per share of our Ordinary Shares immediately after this offering (assuming the exercise for cash of all pre-funded warrants issued in this offering).</w:t>
      </w:r>
    </w:p>
    <w:p>
      <w:pPr>
        <w:spacing w:after="0" w:line="7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Our pro forma net tangible book value as of June 30, 2024, was approximately negative $57.7 million, or approximately $(.34) per share. Net tangible book value is determined by subtracting our total liabilities from our total tangible assets, and net tangible book value per share is determined by dividing our net tangible book value by the number of outstanding Ordinary Shares.</w:t>
      </w:r>
    </w:p>
    <w:p>
      <w:pPr>
        <w:spacing w:after="0" w:line="78"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After giving further effect to the sale and issuance of 7,598,784 Ordinary Shares and (or Pre-Funded Warrants) in this offering, at a assumed offering price of $3.29 per share and $3.29 per Pre-Funded Warrant, and deducting placement agent fees and estimated offering expenses payable by us, our pro forma as adjusted net tangible book value as of June 30, 2024, would have been approximately negative $34.5 million, or $(0.19) per Ordinary Share (assuming the exercise for cash of all pre-funded warrants issued in this offering). This represents an immediate increase in net tangible book value of approximately $0.14 per share to our existing stockholders and an immediate dilution in net tangible book value of approximately $3.48 per share to investors participating in this offering.</w:t>
      </w:r>
    </w:p>
    <w:p>
      <w:pPr>
        <w:spacing w:after="0" w:line="66"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effect per share to investors participating in this offering is determined by subtracting the pro forma as adjusted net tangible book value per share after this offering from the offering price per share paid by investors participating in this offering. The final offering price will be determined through negotiation between us, the placement agent and the investors in the offering and may be at a discount to the current market price. Therefore, the assumed offering price used throughout this prospectus may not be indicative of the final offering price. The following table illustrates this result on a per share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212529"/>
              </w:rPr>
              <w:t>Assumed offering price per share of common stock and accompanying Offering Warrant</w:t>
            </w:r>
          </w:p>
        </w:tc>
        <w:tc>
          <w:tcPr>
            <w:tcW w:w="308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0"/>
                <w:szCs w:val="10"/>
                <w:color w:val="21252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212529"/>
              </w:rPr>
              <w:t>3.29</w:t>
            </w:r>
          </w:p>
        </w:tc>
      </w:tr>
      <w:tr>
        <w:trPr>
          <w:trHeight w:val="135"/>
        </w:trPr>
        <w:tc>
          <w:tcPr>
            <w:tcW w:w="5900" w:type="dxa"/>
            <w:vAlign w:val="bottom"/>
          </w:tcPr>
          <w:p>
            <w:pPr>
              <w:ind w:left="80"/>
              <w:spacing w:after="0"/>
              <w:rPr>
                <w:sz w:val="20"/>
                <w:szCs w:val="20"/>
                <w:color w:val="auto"/>
              </w:rPr>
            </w:pPr>
            <w:r>
              <w:rPr>
                <w:rFonts w:ascii="Times New Roman" w:cs="Times New Roman" w:eastAsia="Times New Roman" w:hAnsi="Times New Roman"/>
                <w:sz w:val="10"/>
                <w:szCs w:val="10"/>
                <w:color w:val="212529"/>
              </w:rPr>
              <w:t>Pro Forma Net tangible book value per share as of June 30, 2024</w:t>
            </w:r>
          </w:p>
        </w:tc>
        <w:tc>
          <w:tcPr>
            <w:tcW w:w="3080" w:type="dxa"/>
            <w:vAlign w:val="bottom"/>
          </w:tcPr>
          <w:p>
            <w:pPr>
              <w:jc w:val="right"/>
              <w:ind w:right="611"/>
              <w:spacing w:after="0"/>
              <w:rPr>
                <w:sz w:val="20"/>
                <w:szCs w:val="20"/>
                <w:color w:val="auto"/>
              </w:rPr>
            </w:pPr>
            <w:r>
              <w:rPr>
                <w:rFonts w:ascii="Times New Roman" w:cs="Times New Roman" w:eastAsia="Times New Roman" w:hAnsi="Times New Roman"/>
                <w:sz w:val="10"/>
                <w:szCs w:val="10"/>
                <w:color w:val="21252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212529"/>
              </w:rPr>
              <w:t>(0.34)</w:t>
            </w:r>
          </w:p>
        </w:tc>
      </w:tr>
      <w:tr>
        <w:trPr>
          <w:trHeight w:val="128"/>
        </w:trPr>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212529"/>
              </w:rPr>
              <w:t>Increase per share attributable to investors participating in this offering</w:t>
            </w:r>
          </w:p>
        </w:tc>
        <w:tc>
          <w:tcPr>
            <w:tcW w:w="308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0"/>
                <w:szCs w:val="10"/>
                <w:color w:val="21252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212529"/>
              </w:rPr>
              <w:t>0.14</w:t>
            </w:r>
          </w:p>
        </w:tc>
      </w:tr>
      <w:tr>
        <w:trPr>
          <w:trHeight w:val="135"/>
        </w:trPr>
        <w:tc>
          <w:tcPr>
            <w:tcW w:w="5900" w:type="dxa"/>
            <w:vAlign w:val="bottom"/>
          </w:tcPr>
          <w:p>
            <w:pPr>
              <w:spacing w:after="0"/>
              <w:rPr>
                <w:sz w:val="20"/>
                <w:szCs w:val="20"/>
                <w:color w:val="auto"/>
              </w:rPr>
            </w:pPr>
            <w:r>
              <w:rPr>
                <w:rFonts w:ascii="Times New Roman" w:cs="Times New Roman" w:eastAsia="Times New Roman" w:hAnsi="Times New Roman"/>
                <w:sz w:val="10"/>
                <w:szCs w:val="10"/>
                <w:color w:val="212529"/>
              </w:rPr>
              <w:t>Adjusted net tangible book value per share after giving effect to this offering</w:t>
            </w:r>
          </w:p>
        </w:tc>
        <w:tc>
          <w:tcPr>
            <w:tcW w:w="3080" w:type="dxa"/>
            <w:vAlign w:val="bottom"/>
          </w:tcPr>
          <w:p>
            <w:pPr>
              <w:jc w:val="right"/>
              <w:ind w:right="611"/>
              <w:spacing w:after="0"/>
              <w:rPr>
                <w:sz w:val="20"/>
                <w:szCs w:val="20"/>
                <w:color w:val="auto"/>
              </w:rPr>
            </w:pPr>
            <w:r>
              <w:rPr>
                <w:rFonts w:ascii="Times New Roman" w:cs="Times New Roman" w:eastAsia="Times New Roman" w:hAnsi="Times New Roman"/>
                <w:sz w:val="10"/>
                <w:szCs w:val="10"/>
                <w:color w:val="21252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212529"/>
              </w:rPr>
              <w:t>(0.19)</w:t>
            </w:r>
          </w:p>
        </w:tc>
      </w:tr>
      <w:tr>
        <w:trPr>
          <w:trHeight w:val="128"/>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212529"/>
              </w:rPr>
              <w:t>Dilution per share to investors participating in this offering</w:t>
            </w:r>
          </w:p>
        </w:tc>
        <w:tc>
          <w:tcPr>
            <w:tcW w:w="308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0"/>
                <w:szCs w:val="10"/>
                <w:color w:val="21252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212529"/>
              </w:rPr>
              <w:t>3.48</w:t>
            </w:r>
          </w:p>
        </w:tc>
      </w:tr>
    </w:tbl>
    <w:p>
      <w:pPr>
        <w:spacing w:after="0" w:line="301"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A $1.00 increase in the assumed offering price per share and accompanying Offering Warrant would increase the pro forma as adjusted net tangible book value by $0.04 per share and result in dilution to investors participating in this offering of $0.96 per share, and a $1.00 decrease in the assumed offering price per share and accompanying Offering Warrant would decrease the pro forma as adjusted net tangible book value by $0.04 per share and be accretive to investors participating in this offering by $0.96 per share, in each case assuming the number of shares offered by us, as set forth on the cover page of this prospectus, remains the same and assuming no pre-funded warrants are sold in this offering, no exercise of the Offering Warrants being offered in this offering, that no value is attributed to such Offering Warrants and that such Offering Warrants are classified as and accounted for as equity, and after deducting placement agent fees and estimated expenses payable by us.</w:t>
      </w:r>
    </w:p>
    <w:p>
      <w:pPr>
        <w:spacing w:after="0" w:line="86"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If we only sell 75%, 50% or 25% of the maximum offering amount, our as adjusted net tangible book value per share after this offering would be approximately $(0.23), $(0.26) and $(0.30), respectively, and the immediate dilution in net tangible book value per share to new investors purchasing Units in this offering would be $3.52, $3.55 or $3.59, respectively, assuming no Offering Warrants or Pre- Funded Warrants are exercised, and after deducting placement agent fees and estimated offering expenses payable by us. The foregoing calculations assume that the offering price remains the same, and are after deducting placement agent fees and estimated expenses payable by us.</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number of shares of to be outstanding after this offering is based on the number of Ordinary shares outstanding as of December 19, 2024, and excludes the following: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•8,069,976 Ordinary Shares issuable upon the exercise of outstanding Warrants;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•21,349,741 Ordinary Shares issuable upon the conversion of the Convertible Notes;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•15, 373,145 Ordinary Shares issuable pursuant to the advanced subscription agreements;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•78,369,906 Ordinary Shares issuable pursuant to an agreement with </w:t>
      </w:r>
      <w:r>
        <w:rPr>
          <w:rFonts w:ascii="Times New Roman" w:cs="Times New Roman" w:eastAsia="Times New Roman" w:hAnsi="Times New Roman"/>
          <w:sz w:val="10"/>
          <w:szCs w:val="10"/>
          <w:color w:val="212529"/>
        </w:rPr>
        <w:t>YA II PN, LTD;</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3" w:right="620" w:bottom="1440" w:gutter="0" w:footer="0" w:header="0"/>
        </w:sectPr>
      </w:pPr>
    </w:p>
    <w:bookmarkStart w:id="46" w:name="page47"/>
    <w:bookmarkEnd w:id="46"/>
    <w:p>
      <w:pPr>
        <w:ind w:left="480"/>
        <w:spacing w:after="0"/>
        <w:rPr>
          <w:sz w:val="20"/>
          <w:szCs w:val="20"/>
          <w:color w:val="auto"/>
        </w:rPr>
      </w:pPr>
      <w:r>
        <w:rPr>
          <w:rFonts w:ascii="Times New Roman" w:cs="Times New Roman" w:eastAsia="Times New Roman" w:hAnsi="Times New Roman"/>
          <w:sz w:val="10"/>
          <w:szCs w:val="10"/>
          <w:color w:val="212529"/>
        </w:rPr>
        <w:t>•31,900,808 Ordinary Shares issuable upon conversion of the YA Notes (as defined herein);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212529"/>
        </w:rPr>
        <w:t xml:space="preserve">•415,294 Ordinary Shares issuable pursuant to the Northland Note; </w:t>
      </w:r>
      <w:r>
        <w:rPr>
          <w:rFonts w:ascii="Times New Roman" w:cs="Times New Roman" w:eastAsia="Times New Roman" w:hAnsi="Times New Roman"/>
          <w:sz w:val="10"/>
          <w:szCs w:val="10"/>
          <w:color w:val="000000"/>
        </w:rPr>
        <w:t>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•1,547,787 Ordinary Shares issuable upon the conversion of the Promissory Notes (as defined herein).</w:t>
      </w:r>
    </w:p>
    <w:p>
      <w:pPr>
        <w:spacing w:after="0" w:line="95"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To the extent that outstanding options or warrants are exercised, or shares are issued under our equity incentive plans, you may experience dilution. In addition, we may choose to raise additional capital due to market conditions or strategic considerations even if we believe we have sufficient funds for our current or future operating plans. To the extent that, in the future, additional capital is raised through the sale of equity, convertible debt securities, or securities with equity components, those issuances may result in dilution to our stockholders.</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5" w:right="680" w:bottom="1440" w:gutter="0" w:footer="0" w:header="0"/>
        </w:sectPr>
      </w:pPr>
    </w:p>
    <w:bookmarkStart w:id="47" w:name="page48"/>
    <w:bookmarkEnd w:id="47"/>
    <w:p>
      <w:pPr>
        <w:jc w:val="center"/>
        <w:ind w:right="-79"/>
        <w:spacing w:after="0"/>
        <w:rPr>
          <w:sz w:val="20"/>
          <w:szCs w:val="20"/>
          <w:color w:val="auto"/>
        </w:rPr>
      </w:pPr>
      <w:r>
        <w:rPr>
          <w:rFonts w:ascii="Times New Roman" w:cs="Times New Roman" w:eastAsia="Times New Roman" w:hAnsi="Times New Roman"/>
          <w:sz w:val="10"/>
          <w:szCs w:val="10"/>
          <w:b w:val="1"/>
          <w:bCs w:val="1"/>
          <w:color w:val="auto"/>
        </w:rPr>
        <w:t>DIVIDEND POLICY</w:t>
      </w:r>
    </w:p>
    <w:p>
      <w:pPr>
        <w:spacing w:after="0" w:line="97"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33" w:right="72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0"/>
          <w:szCs w:val="10"/>
          <w:b w:val="1"/>
          <w:bCs w:val="1"/>
          <w:color w:val="auto"/>
        </w:rPr>
        <w:t>MARKET PRICE OF OUR SECURITIES</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December 19, 2024, there were approximately 2 shareholders of record of Ordinary Shares and one shareholder of record of Warrants. Such numbers do not include beneficial owners holding our securities through nominee names. On December 17, 2024, the last reported closing sale prices of our Ordinary Shares and Public Warrants were $3.29 and $0.37,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FINANCIAL INFORMATION</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Defined terms included below have the same meaning as terms defined and included elsewhere in this prospectus.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60" w:lineRule="exact"/>
        <w:rPr>
          <w:sz w:val="20"/>
          <w:szCs w:val="20"/>
          <w:color w:val="auto"/>
        </w:rPr>
      </w:pPr>
    </w:p>
    <w:p>
      <w:pPr>
        <w:ind w:right="320" w:firstLine="705"/>
        <w:spacing w:after="0" w:line="245" w:lineRule="auto"/>
        <w:rPr>
          <w:sz w:val="20"/>
          <w:szCs w:val="20"/>
          <w:color w:val="auto"/>
        </w:rPr>
      </w:pPr>
      <w:r>
        <w:rPr>
          <w:rFonts w:ascii="Times New Roman" w:cs="Times New Roman" w:eastAsia="Times New Roman" w:hAnsi="Times New Roman"/>
          <w:sz w:val="10"/>
          <w:szCs w:val="10"/>
          <w:color w:val="auto"/>
        </w:rPr>
        <w:t xml:space="preserve">The following unaudited pro forma condensed combined financial information is based on Rezolve's historical consolidated financial statements and Armada's historical financial statements and gives effect to the consummation of the Business Combination. </w:t>
      </w:r>
      <w:r>
        <w:rPr>
          <w:rFonts w:ascii="Times New Roman" w:cs="Times New Roman" w:eastAsia="Times New Roman" w:hAnsi="Times New Roman"/>
          <w:sz w:val="10"/>
          <w:szCs w:val="10"/>
          <w:color w:val="212529"/>
        </w:rPr>
        <w:t>The unaudited pro forma condensed combined financial information has been prepared in accordance with Article 11 of Regulation S-X as amended by the final rule, Release No. 33-10786 “Amendments to Financial Disclosures about Acquired and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212529"/>
        </w:rPr>
        <w:t>Disposed Businesses.”</w:t>
      </w:r>
    </w:p>
    <w:p>
      <w:pPr>
        <w:spacing w:after="0" w:line="45" w:lineRule="exact"/>
        <w:rPr>
          <w:sz w:val="20"/>
          <w:szCs w:val="20"/>
          <w:color w:val="auto"/>
        </w:rPr>
      </w:pPr>
    </w:p>
    <w:p>
      <w:pPr>
        <w:ind w:right="280" w:firstLine="705"/>
        <w:spacing w:after="0" w:line="255" w:lineRule="auto"/>
        <w:rPr>
          <w:sz w:val="20"/>
          <w:szCs w:val="20"/>
          <w:color w:val="auto"/>
        </w:rPr>
      </w:pPr>
      <w:r>
        <w:rPr>
          <w:rFonts w:ascii="Times New Roman" w:cs="Times New Roman" w:eastAsia="Times New Roman" w:hAnsi="Times New Roman"/>
          <w:sz w:val="10"/>
          <w:szCs w:val="10"/>
          <w:color w:val="212529"/>
        </w:rPr>
        <w:t>The following unaudited pro forma condensed combined Balance Sheet as of June 30, 2024 and the unaudited pro forma condensed combined statement of operations for the six months ended June 30, 2024, present the combination of the financial information of Rezolve and Armada after giving effect to the Business Combination.</w:t>
      </w:r>
    </w:p>
    <w:p>
      <w:pPr>
        <w:spacing w:after="0" w:line="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212529"/>
        </w:rPr>
        <w:t>Armada is a newly organized blank check company incorporated in Delaware on November 5, 2020, for the purpose of effecting a merger, stock exchange, asset acquisition, stock purchase, reorganization or other similar business combination with one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212529"/>
        </w:rPr>
        <w:t>more businesses.</w:t>
      </w:r>
    </w:p>
    <w:p>
      <w:pPr>
        <w:spacing w:after="0" w:line="48" w:lineRule="exact"/>
        <w:rPr>
          <w:sz w:val="20"/>
          <w:szCs w:val="20"/>
          <w:color w:val="auto"/>
        </w:rPr>
      </w:pPr>
    </w:p>
    <w:p>
      <w:pPr>
        <w:ind w:right="100" w:firstLine="705"/>
        <w:spacing w:after="0" w:line="255" w:lineRule="auto"/>
        <w:rPr>
          <w:sz w:val="20"/>
          <w:szCs w:val="20"/>
          <w:color w:val="auto"/>
        </w:rPr>
      </w:pPr>
      <w:r>
        <w:rPr>
          <w:rFonts w:ascii="Times New Roman" w:cs="Times New Roman" w:eastAsia="Times New Roman" w:hAnsi="Times New Roman"/>
          <w:sz w:val="10"/>
          <w:szCs w:val="10"/>
          <w:color w:val="212529"/>
        </w:rPr>
        <w:t>Rezolve provides an engagement platform, powered by cutting-edge artificial intelligence and machine learning that empowers retailers, brands, and manufacturers to create robust, dynamic connections with consumers, transcending barriers of location and device, whether they are mobile or desktop.</w:t>
      </w:r>
    </w:p>
    <w:p>
      <w:pPr>
        <w:spacing w:after="0" w:line="41"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unaudited pro forma condensed combined balance sheet does not purport to represent, and is not necessarily indicative of, what the actual financial condition of the Combined Company would have been had the Business Combination taken place on June 30, 2024,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2024, nor are they indicative of the results of operations of the Combined Company for any future period. The unaudited pro forma condensed combined financial information should be read in conjunction with:</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352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included elsewhere in this proxy statement/prospectus; •the historical unaudited financial statements for Armada as of and for the quarter ended June 30, 2024, included elsewhere in this proxy statement/prospectus;</w:t>
      </w:r>
    </w:p>
    <w:p>
      <w:pPr>
        <w:ind w:left="480" w:right="3360"/>
        <w:spacing w:after="0" w:line="37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as of, and for the year ended, December 31, 2023, included elsewhere in this proxy statement/prospectus; •the historical unaudited carve-out financial statements of Rezolve as of, and for the six months ended, June 30, 2024, included elsewhere in this proxy statements/prospectus;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w:t>
      </w:r>
      <w:r>
        <w:rPr>
          <w:rFonts w:ascii="Times New Roman" w:cs="Times New Roman" w:eastAsia="Times New Roman" w:hAnsi="Times New Roman"/>
          <w:sz w:val="10"/>
          <w:szCs w:val="10"/>
          <w:color w:val="auto"/>
        </w:rPr>
        <w: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Accounting for the Business Combination</w:t>
      </w:r>
    </w:p>
    <w:p>
      <w:pPr>
        <w:spacing w:after="0" w:line="112" w:lineRule="exact"/>
        <w:rPr>
          <w:sz w:val="20"/>
          <w:szCs w:val="20"/>
          <w:color w:val="auto"/>
        </w:rPr>
      </w:pPr>
    </w:p>
    <w:p>
      <w:pPr>
        <w:jc w:val="both"/>
        <w:ind w:right="260" w:firstLine="705"/>
        <w:spacing w:after="0" w:line="245"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Rezolve has been determined to be the accounting acquirer based on evaluation of the following facts and circumstances:</w:t>
      </w:r>
    </w:p>
    <w:p>
      <w:pPr>
        <w:spacing w:after="0" w:line="45" w:lineRule="exact"/>
        <w:rPr>
          <w:sz w:val="20"/>
          <w:szCs w:val="20"/>
          <w:color w:val="auto"/>
        </w:rPr>
      </w:pPr>
    </w:p>
    <w:p>
      <w:pPr>
        <w:ind w:left="480" w:right="4100"/>
        <w:spacing w:after="0" w:line="360" w:lineRule="auto"/>
        <w:rPr>
          <w:sz w:val="20"/>
          <w:szCs w:val="20"/>
          <w:color w:val="auto"/>
        </w:rPr>
      </w:pPr>
      <w:r>
        <w:rPr>
          <w:rFonts w:ascii="Times New Roman" w:cs="Times New Roman" w:eastAsia="Times New Roman" w:hAnsi="Times New Roman"/>
          <w:sz w:val="10"/>
          <w:szCs w:val="10"/>
          <w:color w:val="auto"/>
        </w:rPr>
        <w:t>•Rezolve’s shareholders will have majority of the voting power under both the minimum redemption and maximum redemption scenarios described below; •Rezolve will appoint majority of the directors of Rezolve;</w:t>
      </w:r>
    </w:p>
    <w:p>
      <w:pPr>
        <w:ind w:left="480"/>
        <w:spacing w:after="0"/>
        <w:rPr>
          <w:sz w:val="20"/>
          <w:szCs w:val="20"/>
          <w:color w:val="auto"/>
        </w:rPr>
      </w:pPr>
      <w:r>
        <w:rPr>
          <w:rFonts w:ascii="Times New Roman" w:cs="Times New Roman" w:eastAsia="Times New Roman" w:hAnsi="Times New Roman"/>
          <w:sz w:val="10"/>
          <w:szCs w:val="10"/>
          <w:color w:val="auto"/>
        </w:rPr>
        <w:t>•Rezolve’s existing management will comprise the management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•Rezolve’s operations will comprise the ongoing operations of Rezolve;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the larger entity based on historical revenues and business operations;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0" w:name="page51"/>
    <w:bookmarkEnd w:id="50"/>
    <w:p>
      <w:pPr>
        <w:ind w:left="480"/>
        <w:spacing w:after="0"/>
        <w:rPr>
          <w:sz w:val="20"/>
          <w:szCs w:val="20"/>
          <w:color w:val="auto"/>
        </w:rPr>
      </w:pPr>
      <w:r>
        <w:rPr>
          <w:rFonts w:ascii="Times New Roman" w:cs="Times New Roman" w:eastAsia="Times New Roman" w:hAnsi="Times New Roman"/>
          <w:sz w:val="10"/>
          <w:szCs w:val="10"/>
          <w:color w:val="auto"/>
        </w:rPr>
        <w:t>•Rezolve will continue to use Rezolve Limited’s name and Rezolve’s headquarters in London.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Description of the Transaction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summary of the Business Combination and related transactions is as follows: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Business Combination Agreement:</w:t>
      </w:r>
    </w:p>
    <w:p>
      <w:pPr>
        <w:spacing w:after="0" w:line="170" w:lineRule="exact"/>
        <w:rPr>
          <w:sz w:val="20"/>
          <w:szCs w:val="20"/>
          <w:color w:val="auto"/>
        </w:rPr>
      </w:pPr>
    </w:p>
    <w:p>
      <w:pPr>
        <w:ind w:left="1180" w:right="40"/>
        <w:spacing w:after="0" w:line="241" w:lineRule="auto"/>
        <w:rPr>
          <w:sz w:val="20"/>
          <w:szCs w:val="20"/>
          <w:color w:val="auto"/>
        </w:rPr>
      </w:pPr>
      <w:r>
        <w:rPr>
          <w:rFonts w:ascii="Times New Roman" w:cs="Times New Roman" w:eastAsia="Times New Roman" w:hAnsi="Times New Roman"/>
          <w:sz w:val="10"/>
          <w:szCs w:val="10"/>
          <w:color w:val="auto"/>
        </w:rPr>
        <w:t>(i)a pre-Closing demerger (the “Pre-Closing Demerger”) of Rezolve Limited will be effected pursuant to UK legislation under which (a)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48" w:lineRule="exact"/>
        <w:rPr>
          <w:sz w:val="20"/>
          <w:szCs w:val="20"/>
          <w:color w:val="auto"/>
        </w:rPr>
      </w:pPr>
    </w:p>
    <w:p>
      <w:pPr>
        <w:ind w:left="1180" w:right="100"/>
        <w:spacing w:after="0" w:line="245" w:lineRule="auto"/>
        <w:rPr>
          <w:sz w:val="20"/>
          <w:szCs w:val="20"/>
          <w:color w:val="auto"/>
        </w:rPr>
      </w:pPr>
      <w:r>
        <w:rPr>
          <w:rFonts w:ascii="Times New Roman" w:cs="Times New Roman" w:eastAsia="Times New Roman" w:hAnsi="Times New Roman"/>
          <w:sz w:val="10"/>
          <w:szCs w:val="10"/>
          <w:color w:val="auto"/>
        </w:rPr>
        <w:t>(ii)a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1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 See the sections in this summary entitled “The Business Combination Proposal” for more information.</w:t>
      </w:r>
    </w:p>
    <w:p>
      <w:pPr>
        <w:spacing w:after="0" w:line="45" w:lineRule="exact"/>
        <w:rPr>
          <w:sz w:val="20"/>
          <w:szCs w:val="20"/>
          <w:color w:val="auto"/>
        </w:rPr>
      </w:pPr>
    </w:p>
    <w:p>
      <w:pPr>
        <w:jc w:val="both"/>
        <w:ind w:left="480" w:right="40"/>
        <w:spacing w:after="0" w:line="245" w:lineRule="auto"/>
        <w:rPr>
          <w:sz w:val="20"/>
          <w:szCs w:val="20"/>
          <w:color w:val="auto"/>
        </w:rPr>
      </w:pPr>
      <w:r>
        <w:rPr>
          <w:rFonts w:ascii="Times New Roman" w:cs="Times New Roman" w:eastAsia="Times New Roman" w:hAnsi="Times New Roman"/>
          <w:sz w:val="10"/>
          <w:szCs w:val="10"/>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gridSpan w:val="4"/>
          </w:tcPr>
          <w:p>
            <w:pPr>
              <w:jc w:val="right"/>
              <w:ind w:right="54"/>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vMerge w:val="restart"/>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Rezolve</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Corp. I</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as of</w:t>
            </w: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restart"/>
          </w:tcPr>
          <w:p>
            <w:pPr>
              <w:jc w:val="center"/>
              <w:ind w:right="139"/>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3"/>
        </w:trPr>
        <w:tc>
          <w:tcPr>
            <w:tcW w:w="4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assets:</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1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w w:val="9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60,298</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13,242</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(1,300,000 )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(a)</w:t>
            </w:r>
          </w:p>
        </w:tc>
        <w:tc>
          <w:tcPr>
            <w:tcW w:w="1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(700,000 )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(a)</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(6,035,757 )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(b)</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(1,491,622 )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(3,056,726 )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(d)</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12,510,565</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receivable, net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11,434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Prepaid expenses and other current assets</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430,691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41,788</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472,479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Total current assets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502,423</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55,030</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(73,540 )</w:t>
            </w: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483,913</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Property and equipment,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61,542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Goodwill and Intangible assets, net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3,396,489</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Investment and investment held in trust account, net</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16,126,337</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(1,322,729 )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(14,803,608 )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260" w:type="dxa"/>
            <w:vAlign w:val="bottom"/>
          </w:tcPr>
          <w:p>
            <w:pPr>
              <w:spacing w:after="0" w:line="78" w:lineRule="exact"/>
              <w:rPr>
                <w:sz w:val="20"/>
                <w:szCs w:val="20"/>
                <w:color w:val="auto"/>
              </w:rPr>
            </w:pPr>
            <w:r>
              <w:rPr>
                <w:rFonts w:ascii="Times New Roman" w:cs="Times New Roman" w:eastAsia="Times New Roman" w:hAnsi="Times New Roman"/>
                <w:sz w:val="8"/>
                <w:szCs w:val="8"/>
                <w:color w:val="auto"/>
              </w:rPr>
              <w:t>Total assets</w:t>
            </w:r>
          </w:p>
        </w:tc>
        <w:tc>
          <w:tcPr>
            <w:tcW w:w="180" w:type="dxa"/>
            <w:vAlign w:val="bottom"/>
          </w:tcPr>
          <w:p>
            <w:pPr>
              <w:jc w:val="right"/>
              <w:ind w:right="79"/>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96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3,960,454</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ind w:right="799"/>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16,181,367</w:t>
            </w:r>
          </w:p>
        </w:tc>
        <w:tc>
          <w:tcPr>
            <w:tcW w:w="1660" w:type="dxa"/>
            <w:vAlign w:val="bottom"/>
            <w:gridSpan w:val="3"/>
          </w:tcPr>
          <w:p>
            <w:pPr>
              <w:jc w:val="right"/>
              <w:ind w:right="40"/>
              <w:spacing w:after="0" w:line="78" w:lineRule="exact"/>
              <w:rPr>
                <w:sz w:val="20"/>
                <w:szCs w:val="20"/>
                <w:color w:val="auto"/>
              </w:rPr>
            </w:pPr>
            <w:r>
              <w:rPr>
                <w:rFonts w:ascii="Times New Roman" w:cs="Times New Roman" w:eastAsia="Times New Roman" w:hAnsi="Times New Roman"/>
                <w:sz w:val="5"/>
                <w:szCs w:val="5"/>
                <w:color w:val="auto"/>
              </w:rPr>
              <w:t xml:space="preserve">(16,199,877 </w:t>
            </w:r>
            <w:r>
              <w:rPr>
                <w:rFonts w:ascii="Times New Roman" w:cs="Times New Roman" w:eastAsia="Times New Roman" w:hAnsi="Times New Roman"/>
                <w:sz w:val="8"/>
                <w:szCs w:val="8"/>
                <w:color w:val="auto"/>
                <w:vertAlign w:val="subscript"/>
              </w:rPr>
              <w:t>)</w:t>
            </w:r>
          </w:p>
        </w:tc>
        <w:tc>
          <w:tcPr>
            <w:tcW w:w="400" w:type="dxa"/>
            <w:vAlign w:val="bottom"/>
          </w:tcPr>
          <w:p>
            <w:pPr>
              <w:spacing w:after="0"/>
              <w:rPr>
                <w:sz w:val="8"/>
                <w:szCs w:val="8"/>
                <w:color w:val="auto"/>
              </w:rPr>
            </w:pP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3,941,944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Liabilities and Equity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Current liabilities:</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Bank overdraft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11,187,836</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(e)</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11,335,872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Accounts payable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6,035,757</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(6,035,757 )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(b)</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4,055,537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Due to related party</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1,093,471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Short term debt to related party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860,778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Taxes payable</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1,491,622</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(1,491,622 )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(c)</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148,036</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(148,036 )</w:t>
            </w: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Notes-Related Party</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3,056,726</w:t>
            </w: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(3,056,726 )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(d)</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gridSpan w:val="3"/>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Ordinary shares payable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10,236,655</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(10,236,655 )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(g)</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Subscription agreement liability, net</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354,503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Accrued expenses and other payables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4,708,590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Share-based payment liability</w:t>
            </w:r>
          </w:p>
        </w:tc>
        <w:tc>
          <w:tcPr>
            <w:tcW w:w="180" w:type="dxa"/>
            <w:vAlign w:val="bottom"/>
          </w:tcPr>
          <w:p>
            <w:pPr>
              <w:spacing w:after="0"/>
              <w:rPr>
                <w:sz w:val="8"/>
                <w:szCs w:val="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1,383,298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Promissory loan note</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437,956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current liabilities</w:t>
            </w: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22,776,285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(9,484,888 )</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24,230,005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debt</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38,737,594</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(38,737,594 )</w:t>
            </w:r>
          </w:p>
        </w:tc>
        <w:tc>
          <w:tcPr>
            <w:tcW w:w="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b w:val="1"/>
                <w:bCs w:val="1"/>
                <w:color w:val="auto"/>
              </w:rPr>
              <w:t>(h)</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28,641,250</w:t>
            </w:r>
          </w:p>
        </w:tc>
        <w:tc>
          <w:tcPr>
            <w:tcW w:w="80" w:type="dxa"/>
            <w:vAlign w:val="bottom"/>
          </w:tcPr>
          <w:p>
            <w:pPr>
              <w:spacing w:after="0"/>
              <w:rPr>
                <w:sz w:val="8"/>
                <w:szCs w:val="8"/>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(q)</w:t>
            </w: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Convertible promissory notes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5,395,702</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Total liabilities</w:t>
            </w:r>
          </w:p>
        </w:tc>
        <w:tc>
          <w:tcPr>
            <w:tcW w:w="18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9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66,909,581</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900" w:type="dxa"/>
            <w:vAlign w:val="bottom"/>
          </w:tcPr>
          <w:p>
            <w:pPr>
              <w:jc w:val="right"/>
              <w:ind w:right="799"/>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10,938,608</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(19,581,232 )</w:t>
            </w:r>
          </w:p>
        </w:tc>
        <w:tc>
          <w:tcPr>
            <w:tcW w:w="400" w:type="dxa"/>
            <w:vAlign w:val="bottom"/>
          </w:tcPr>
          <w:p>
            <w:pPr>
              <w:spacing w:after="0"/>
              <w:rPr>
                <w:sz w:val="9"/>
                <w:szCs w:val="9"/>
                <w:color w:val="auto"/>
              </w:rPr>
            </w:pPr>
          </w:p>
        </w:tc>
        <w:tc>
          <w:tcPr>
            <w:tcW w:w="180" w:type="dxa"/>
            <w:vAlign w:val="bottom"/>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58,266,957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Commitments and Contingencies</w:t>
            </w: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3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tcPr>
          <w:p>
            <w:pPr>
              <w:spacing w:after="0"/>
              <w:rPr>
                <w:sz w:val="20"/>
                <w:szCs w:val="20"/>
                <w:color w:val="auto"/>
              </w:rPr>
            </w:pPr>
            <w:r>
              <w:rPr>
                <w:rFonts w:ascii="Times New Roman" w:cs="Times New Roman" w:eastAsia="Times New Roman" w:hAnsi="Times New Roman"/>
                <w:sz w:val="8"/>
                <w:szCs w:val="8"/>
                <w:color w:val="auto"/>
              </w:rPr>
              <w:t>Common stock subject to possible redemption, 1,417,687 shares at redemption value of approximately $11.31 per share</w:t>
            </w: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(14,803,608 )</w:t>
            </w:r>
          </w:p>
        </w:tc>
        <w:tc>
          <w:tcPr>
            <w:tcW w:w="40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rPr>
              <w:t>(f)</w:t>
            </w:r>
          </w:p>
        </w:tc>
        <w:tc>
          <w:tcPr>
            <w:tcW w:w="18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26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8"/>
                <w:szCs w:val="8"/>
                <w:color w:val="auto"/>
              </w:rPr>
              <w:t>(1,237,178 )</w:t>
            </w:r>
          </w:p>
        </w:tc>
        <w:tc>
          <w:tcPr>
            <w:tcW w:w="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b w:val="1"/>
                <w:bCs w:val="1"/>
                <w:color w:val="auto"/>
              </w:rPr>
              <w:t>(i)</w:t>
            </w: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16,040,786</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8"/>
                <w:szCs w:val="8"/>
                <w:color w:val="auto"/>
              </w:rPr>
              <w:t>(16,040,786 )</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AT JUNE 30,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4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Armada</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gridSpan w:val="4"/>
          </w:tcPr>
          <w:p>
            <w:pPr>
              <w:ind w:left="118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340" w:type="dxa"/>
            <w:vAlign w:val="bottom"/>
          </w:tcPr>
          <w:p>
            <w:pPr>
              <w:spacing w:after="0"/>
              <w:rPr>
                <w:sz w:val="7"/>
                <w:szCs w:val="7"/>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Rezolve</w:t>
            </w:r>
          </w:p>
        </w:tc>
        <w:tc>
          <w:tcPr>
            <w:tcW w:w="9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Acquisition</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40" w:type="dxa"/>
            <w:vAlign w:val="bottom"/>
          </w:tcPr>
          <w:p>
            <w:pPr>
              <w:spacing w:after="0"/>
              <w:rPr>
                <w:sz w:val="4"/>
                <w:szCs w:val="4"/>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AI Limited and</w:t>
            </w: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900" w:type="dxa"/>
            <w:vAlign w:val="bottom"/>
            <w:vMerge w:val="restart"/>
          </w:tcPr>
          <w:p>
            <w:pPr>
              <w:jc w:val="center"/>
              <w:ind w:left="399"/>
              <w:spacing w:after="0"/>
              <w:rPr>
                <w:sz w:val="20"/>
                <w:szCs w:val="20"/>
                <w:color w:val="auto"/>
              </w:rPr>
            </w:pPr>
            <w:r>
              <w:rPr>
                <w:rFonts w:ascii="Times New Roman" w:cs="Times New Roman" w:eastAsia="Times New Roman" w:hAnsi="Times New Roman"/>
                <w:sz w:val="8"/>
                <w:szCs w:val="8"/>
                <w:b w:val="1"/>
                <w:bCs w:val="1"/>
                <w:color w:val="auto"/>
              </w:rPr>
              <w:t>Corp. I</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40" w:type="dxa"/>
            <w:vAlign w:val="bottom"/>
          </w:tcPr>
          <w:p>
            <w:pPr>
              <w:spacing w:after="0"/>
              <w:rPr>
                <w:sz w:val="4"/>
                <w:szCs w:val="4"/>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Subsidiaries</w:t>
            </w: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w w:val="98"/>
              </w:rPr>
              <w:t>(Historical</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40" w:type="dxa"/>
            <w:vAlign w:val="bottom"/>
          </w:tcPr>
          <w:p>
            <w:pPr>
              <w:spacing w:after="0"/>
              <w:rPr>
                <w:sz w:val="4"/>
                <w:szCs w:val="4"/>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(Historical as</w:t>
            </w: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as of</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8"/>
                <w:szCs w:val="8"/>
                <w:b w:val="1"/>
                <w:bCs w:val="1"/>
                <w:color w:val="auto"/>
              </w:rPr>
              <w:t>Transaction Accounting</w:t>
            </w: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340" w:type="dxa"/>
            <w:vAlign w:val="bottom"/>
          </w:tcPr>
          <w:p>
            <w:pPr>
              <w:spacing w:after="0"/>
              <w:rPr>
                <w:sz w:val="4"/>
                <w:szCs w:val="4"/>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of 6/30/2024</w:t>
            </w: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434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900" w:type="dxa"/>
            <w:vAlign w:val="bottom"/>
            <w:vMerge w:val="restart"/>
          </w:tcPr>
          <w:p>
            <w:pPr>
              <w:jc w:val="center"/>
              <w:ind w:left="379"/>
              <w:spacing w:after="0"/>
              <w:rPr>
                <w:sz w:val="20"/>
                <w:szCs w:val="20"/>
                <w:color w:val="auto"/>
              </w:rPr>
            </w:pPr>
            <w:r>
              <w:rPr>
                <w:rFonts w:ascii="Times New Roman" w:cs="Times New Roman" w:eastAsia="Times New Roman" w:hAnsi="Times New Roman"/>
                <w:sz w:val="8"/>
                <w:szCs w:val="8"/>
                <w:b w:val="1"/>
                <w:bCs w:val="1"/>
                <w:color w:val="auto"/>
              </w:rPr>
              <w:t>6/30/2024)</w:t>
            </w: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8"/>
                <w:szCs w:val="8"/>
                <w:b w:val="1"/>
                <w:bCs w:val="1"/>
                <w:color w:val="auto"/>
              </w:rPr>
              <w:t>Pro Forma Combined</w:t>
            </w:r>
          </w:p>
        </w:tc>
        <w:tc>
          <w:tcPr>
            <w:tcW w:w="0" w:type="dxa"/>
            <w:vAlign w:val="bottom"/>
          </w:tcPr>
          <w:p>
            <w:pPr>
              <w:spacing w:after="0"/>
              <w:rPr>
                <w:sz w:val="1"/>
                <w:szCs w:val="1"/>
                <w:color w:val="auto"/>
              </w:rPr>
            </w:pPr>
          </w:p>
        </w:tc>
      </w:tr>
      <w:tr>
        <w:trPr>
          <w:trHeight w:val="51"/>
        </w:trPr>
        <w:tc>
          <w:tcPr>
            <w:tcW w:w="43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Stockholders' Equity:</w:t>
            </w: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34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Ordinary shares</w:t>
            </w: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(h)</w:t>
            </w: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340" w:type="dxa"/>
            <w:vAlign w:val="bottom"/>
          </w:tcPr>
          <w:p>
            <w:pPr>
              <w:spacing w:after="0"/>
              <w:rPr>
                <w:sz w:val="20"/>
                <w:szCs w:val="20"/>
                <w:color w:val="auto"/>
              </w:rPr>
            </w:pPr>
            <w:r>
              <w:rPr>
                <w:rFonts w:ascii="Times New Roman" w:cs="Times New Roman" w:eastAsia="Times New Roman" w:hAnsi="Times New Roman"/>
                <w:sz w:val="8"/>
                <w:szCs w:val="8"/>
                <w:color w:val="auto"/>
              </w:rPr>
              <w:t>Shares issued and outstanding as of June 30, 2024 - 932,997,081; as of December 31, 2023 - 932,969,424 at par value £ 0.0001</w:t>
            </w: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127,313</w:t>
            </w: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9"/>
                <w:szCs w:val="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863</w:t>
            </w:r>
          </w:p>
        </w:tc>
        <w:tc>
          <w:tcPr>
            <w:tcW w:w="12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141,390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1,436</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(g)</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(k)</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103</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(i)</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303</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7,464</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Series A shares issued and outstanding as of June 30, 2024 and December 31, 2023 - 28,039,517 nil at par value £0.0001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3,868</w:t>
            </w: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(3,868 )</w:t>
            </w: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20"/>
                <w:szCs w:val="20"/>
                <w:color w:val="auto"/>
              </w:rPr>
            </w:pPr>
            <w:r>
              <w:rPr>
                <w:rFonts w:ascii="Times New Roman" w:cs="Times New Roman" w:eastAsia="Times New Roman" w:hAnsi="Times New Roman"/>
                <w:sz w:val="8"/>
                <w:szCs w:val="8"/>
                <w:color w:val="auto"/>
              </w:rPr>
              <w:t>Common stock, $0.0001 par value; 100,000,000 shares authorized; 5,709,500 shares issued and outstanding</w:t>
            </w: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w:t>
            </w: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(570 )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Additional paid-in capital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176,274,941</w:t>
            </w: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261,161</w:t>
            </w:r>
          </w:p>
        </w:tc>
        <w:tc>
          <w:tcPr>
            <w:tcW w:w="220" w:type="dxa"/>
            <w:vAlign w:val="bottom"/>
            <w:shd w:val="clear" w:color="auto" w:fill="CCEEFF"/>
          </w:tcPr>
          <w:p>
            <w:pPr>
              <w:spacing w:after="0"/>
              <w:rPr>
                <w:sz w:val="8"/>
                <w:szCs w:val="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rPr>
              <w:t>(1,300,000 )</w:t>
            </w: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rPr>
              <w:t>(51,527,293 )</w:t>
            </w: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38,736,731</w:t>
            </w:r>
          </w:p>
        </w:tc>
        <w:tc>
          <w:tcPr>
            <w:tcW w:w="12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(h)</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10,235,219</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(g)</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531</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(j)</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1,237,075</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(i)</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3,062,197</w:t>
            </w:r>
          </w:p>
        </w:tc>
        <w:tc>
          <w:tcPr>
            <w:tcW w:w="120" w:type="dxa"/>
            <w:vAlign w:val="bottom"/>
          </w:tcPr>
          <w:p>
            <w:pPr>
              <w:spacing w:after="0"/>
              <w:rPr>
                <w:sz w:val="8"/>
                <w:szCs w:val="8"/>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36,731,490</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(11,059,758 )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(n)</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(492,800 )</w:t>
            </w:r>
          </w:p>
        </w:tc>
        <w:tc>
          <w:tcPr>
            <w:tcW w:w="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(o)</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(276,572,830 )</w:t>
            </w: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(28,641,250 )</w:t>
            </w:r>
          </w:p>
        </w:tc>
        <w:tc>
          <w:tcPr>
            <w:tcW w:w="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(q)</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20"/>
                <w:szCs w:val="20"/>
                <w:color w:val="auto"/>
              </w:rPr>
            </w:pPr>
            <w:r>
              <w:rPr>
                <w:rFonts w:ascii="Times New Roman" w:cs="Times New Roman" w:eastAsia="Times New Roman" w:hAnsi="Times New Roman"/>
                <w:sz w:val="8"/>
                <w:szCs w:val="8"/>
                <w:color w:val="auto"/>
              </w:rPr>
              <w:t>Stock subscription receivable</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(178,720 )</w:t>
            </w: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(178,720 )</w:t>
            </w: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Accumulated deficit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(239,133,876 )</w:t>
            </w:r>
          </w:p>
        </w:tc>
        <w:tc>
          <w:tcPr>
            <w:tcW w:w="9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(11,059,758 )</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(700,000 )</w:t>
            </w:r>
          </w:p>
        </w:tc>
        <w:tc>
          <w:tcPr>
            <w:tcW w:w="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(a)</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(2,717,736 )</w:t>
            </w: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(f)</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(3,062,500 )</w:t>
            </w:r>
          </w:p>
        </w:tc>
        <w:tc>
          <w:tcPr>
            <w:tcW w:w="54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(36,738,954 )</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(m)</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11,059,758</w:t>
            </w:r>
          </w:p>
        </w:tc>
        <w:tc>
          <w:tcPr>
            <w:tcW w:w="120" w:type="dxa"/>
            <w:vAlign w:val="bottom"/>
            <w:shd w:val="clear" w:color="auto" w:fill="CFF0FC"/>
          </w:tcPr>
          <w:p>
            <w:pPr>
              <w:spacing w:after="0"/>
              <w:rPr>
                <w:sz w:val="8"/>
                <w:szCs w:val="8"/>
                <w:color w:val="auto"/>
              </w:rPr>
            </w:pPr>
          </w:p>
        </w:tc>
        <w:tc>
          <w:tcPr>
            <w:tcW w:w="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(n)</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492,800</w:t>
            </w:r>
          </w:p>
        </w:tc>
        <w:tc>
          <w:tcPr>
            <w:tcW w:w="120" w:type="dxa"/>
            <w:vAlign w:val="bottom"/>
          </w:tcPr>
          <w:p>
            <w:pPr>
              <w:spacing w:after="0"/>
              <w:rPr>
                <w:sz w:val="8"/>
                <w:szCs w:val="8"/>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(o)</w:t>
            </w: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8"/>
                <w:szCs w:val="8"/>
                <w:color w:val="auto"/>
              </w:rPr>
            </w:pPr>
          </w:p>
        </w:tc>
        <w:tc>
          <w:tcPr>
            <w:tcW w:w="1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276,572,830</w:t>
            </w:r>
          </w:p>
        </w:tc>
        <w:tc>
          <w:tcPr>
            <w:tcW w:w="120" w:type="dxa"/>
            <w:vAlign w:val="bottom"/>
            <w:shd w:val="clear" w:color="auto" w:fill="CFF0FC"/>
          </w:tcPr>
          <w:p>
            <w:pPr>
              <w:spacing w:after="0"/>
              <w:rPr>
                <w:sz w:val="8"/>
                <w:szCs w:val="8"/>
                <w:color w:val="auto"/>
              </w:rPr>
            </w:pPr>
          </w:p>
        </w:tc>
        <w:tc>
          <w:tcPr>
            <w:tcW w:w="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(p)</w:t>
            </w:r>
          </w:p>
        </w:tc>
        <w:tc>
          <w:tcPr>
            <w:tcW w:w="1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40" w:type="dxa"/>
            <w:vAlign w:val="bottom"/>
          </w:tcPr>
          <w:p>
            <w:pPr>
              <w:spacing w:after="0"/>
              <w:rPr>
                <w:sz w:val="20"/>
                <w:szCs w:val="20"/>
                <w:color w:val="auto"/>
              </w:rPr>
            </w:pPr>
            <w:r>
              <w:rPr>
                <w:rFonts w:ascii="Times New Roman" w:cs="Times New Roman" w:eastAsia="Times New Roman" w:hAnsi="Times New Roman"/>
                <w:sz w:val="8"/>
                <w:szCs w:val="8"/>
                <w:color w:val="auto"/>
              </w:rPr>
              <w:t>Accumulated other comprehensive loss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(42,653 )</w:t>
            </w:r>
          </w:p>
        </w:tc>
        <w:tc>
          <w:tcPr>
            <w:tcW w:w="90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8"/>
                <w:szCs w:val="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(42,653 )</w:t>
            </w:r>
          </w:p>
        </w:tc>
        <w:tc>
          <w:tcPr>
            <w:tcW w:w="0" w:type="dxa"/>
            <w:vAlign w:val="bottom"/>
          </w:tcPr>
          <w:p>
            <w:pPr>
              <w:spacing w:after="0"/>
              <w:rPr>
                <w:sz w:val="1"/>
                <w:szCs w:val="1"/>
                <w:color w:val="auto"/>
              </w:rPr>
            </w:pPr>
          </w:p>
        </w:tc>
      </w:tr>
      <w:tr>
        <w:trPr>
          <w:trHeight w:val="98"/>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Total shareholders' equity (deficit)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(62,949,127 )</w:t>
            </w:r>
          </w:p>
        </w:tc>
        <w:tc>
          <w:tcPr>
            <w:tcW w:w="900" w:type="dxa"/>
            <w:vAlign w:val="bottom"/>
            <w:shd w:val="clear" w:color="auto" w:fill="CFF0FC"/>
          </w:tcPr>
          <w:p>
            <w:pPr>
              <w:spacing w:after="0"/>
              <w:rPr>
                <w:sz w:val="8"/>
                <w:szCs w:val="8"/>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color w:val="auto"/>
              </w:rPr>
              <w:t>(10,798,027 )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19,422,141</w:t>
            </w:r>
          </w:p>
        </w:tc>
        <w:tc>
          <w:tcPr>
            <w:tcW w:w="12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(54,325,013 )</w:t>
            </w:r>
          </w:p>
        </w:tc>
        <w:tc>
          <w:tcPr>
            <w:tcW w:w="0" w:type="dxa"/>
            <w:vAlign w:val="bottom"/>
          </w:tcPr>
          <w:p>
            <w:pPr>
              <w:spacing w:after="0"/>
              <w:rPr>
                <w:sz w:val="1"/>
                <w:szCs w:val="1"/>
                <w:color w:val="auto"/>
              </w:rPr>
            </w:pPr>
          </w:p>
        </w:tc>
      </w:tr>
      <w:tr>
        <w:trPr>
          <w:trHeight w:val="98"/>
        </w:trPr>
        <w:tc>
          <w:tcPr>
            <w:tcW w:w="4340" w:type="dxa"/>
            <w:vAlign w:val="bottom"/>
          </w:tcPr>
          <w:p>
            <w:pPr>
              <w:spacing w:after="0" w:line="78" w:lineRule="exact"/>
              <w:rPr>
                <w:sz w:val="20"/>
                <w:szCs w:val="20"/>
                <w:color w:val="auto"/>
              </w:rPr>
            </w:pPr>
            <w:r>
              <w:rPr>
                <w:rFonts w:ascii="Times New Roman" w:cs="Times New Roman" w:eastAsia="Times New Roman" w:hAnsi="Times New Roman"/>
                <w:sz w:val="8"/>
                <w:szCs w:val="8"/>
                <w:color w:val="auto"/>
              </w:rPr>
              <w:t>Total liabilities and shareholders' equity</w:t>
            </w:r>
          </w:p>
        </w:tc>
        <w:tc>
          <w:tcPr>
            <w:tcW w:w="13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3,960,454</w:t>
            </w: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16,181,367</w:t>
            </w:r>
          </w:p>
        </w:tc>
        <w:tc>
          <w:tcPr>
            <w:tcW w:w="220" w:type="dxa"/>
            <w:vAlign w:val="bottom"/>
          </w:tcPr>
          <w:p>
            <w:pPr>
              <w:spacing w:after="0"/>
              <w:rPr>
                <w:sz w:val="8"/>
                <w:szCs w:val="8"/>
                <w:color w:val="auto"/>
              </w:rPr>
            </w:pPr>
          </w:p>
        </w:tc>
        <w:tc>
          <w:tcPr>
            <w:tcW w:w="1440" w:type="dxa"/>
            <w:vAlign w:val="bottom"/>
            <w:gridSpan w:val="2"/>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(16,199,877 </w:t>
            </w:r>
            <w:r>
              <w:rPr>
                <w:rFonts w:ascii="Times New Roman" w:cs="Times New Roman" w:eastAsia="Times New Roman" w:hAnsi="Times New Roman"/>
                <w:sz w:val="8"/>
                <w:szCs w:val="8"/>
                <w:color w:val="auto"/>
                <w:vertAlign w:val="subscript"/>
              </w:rPr>
              <w:t>)</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jc w:val="right"/>
              <w:spacing w:after="0" w:line="78" w:lineRule="exact"/>
              <w:rPr>
                <w:sz w:val="20"/>
                <w:szCs w:val="20"/>
                <w:color w:val="auto"/>
              </w:rPr>
            </w:pPr>
            <w:r>
              <w:rPr>
                <w:rFonts w:ascii="Times New Roman" w:cs="Times New Roman" w:eastAsia="Times New Roman" w:hAnsi="Times New Roman"/>
                <w:sz w:val="8"/>
                <w:szCs w:val="8"/>
                <w:color w:val="auto"/>
              </w:rPr>
              <w:t>3,941,944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0"/>
          <w:szCs w:val="10"/>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PERIOD ENDED JUNE 30,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4"/>
          </w:tcPr>
          <w:p>
            <w:pPr>
              <w:jc w:val="center"/>
              <w:ind w:left="700"/>
              <w:spacing w:after="0"/>
              <w:rPr>
                <w:sz w:val="20"/>
                <w:szCs w:val="20"/>
                <w:color w:val="auto"/>
              </w:rPr>
            </w:pPr>
            <w:r>
              <w:rPr>
                <w:rFonts w:ascii="Times New Roman" w:cs="Times New Roman" w:eastAsia="Times New Roman" w:hAnsi="Times New Roman"/>
                <w:sz w:val="8"/>
                <w:szCs w:val="8"/>
                <w:b w:val="1"/>
                <w:bCs w:val="1"/>
                <w:color w:val="auto"/>
              </w:rPr>
              <w:t>Proforma Combined</w:t>
            </w:r>
          </w:p>
        </w:tc>
        <w:tc>
          <w:tcPr>
            <w:tcW w:w="1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tcPr>
          <w:p>
            <w:pPr>
              <w:jc w:val="center"/>
              <w:ind w:right="160"/>
              <w:spacing w:after="0" w:line="89" w:lineRule="exact"/>
              <w:rPr>
                <w:sz w:val="20"/>
                <w:szCs w:val="20"/>
                <w:color w:val="auto"/>
              </w:rPr>
            </w:pPr>
            <w:r>
              <w:rPr>
                <w:rFonts w:ascii="Times New Roman" w:cs="Times New Roman" w:eastAsia="Times New Roman" w:hAnsi="Times New Roman"/>
                <w:sz w:val="8"/>
                <w:szCs w:val="8"/>
                <w:b w:val="1"/>
                <w:bCs w:val="1"/>
                <w:color w:val="auto"/>
              </w:rPr>
              <w:t>Rezolve AI Limited and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gridSpan w:val="3"/>
          </w:tcPr>
          <w:p>
            <w:pPr>
              <w:jc w:val="center"/>
              <w:ind w:right="260"/>
              <w:spacing w:after="0" w:line="89" w:lineRule="exact"/>
              <w:rPr>
                <w:sz w:val="20"/>
                <w:szCs w:val="20"/>
                <w:color w:val="auto"/>
              </w:rPr>
            </w:pPr>
            <w:r>
              <w:rPr>
                <w:rFonts w:ascii="Times New Roman" w:cs="Times New Roman" w:eastAsia="Times New Roman" w:hAnsi="Times New Roman"/>
                <w:sz w:val="8"/>
                <w:szCs w:val="8"/>
                <w:b w:val="1"/>
                <w:bCs w:val="1"/>
                <w:color w:val="auto"/>
              </w:rPr>
              <w:t>Armada Acquisition Corp. I</w:t>
            </w: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Subsidiaries (Six months ended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8"/>
                <w:szCs w:val="8"/>
                <w:b w:val="1"/>
                <w:bCs w:val="1"/>
                <w:color w:val="auto"/>
              </w:rPr>
              <w:t>Transaction Accounting Adjustments</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Pro Forma Consolidated</w:t>
            </w:r>
          </w:p>
        </w:tc>
      </w:tr>
      <w:tr>
        <w:trPr>
          <w:trHeight w:val="109"/>
        </w:trPr>
        <w:tc>
          <w:tcPr>
            <w:tcW w:w="4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8"/>
                <w:szCs w:val="8"/>
                <w:b w:val="1"/>
                <w:bCs w:val="1"/>
                <w:color w:val="auto"/>
                <w:w w:val="96"/>
              </w:rPr>
              <w:t>2024)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4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Revenue</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20" w:type="dxa"/>
            <w:vAlign w:val="bottom"/>
            <w:shd w:val="clear" w:color="auto" w:fill="CFF0FC"/>
          </w:tcPr>
          <w:p>
            <w:pPr>
              <w:spacing w:after="0"/>
              <w:rPr>
                <w:sz w:val="8"/>
                <w:szCs w:val="8"/>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53,399</w:t>
            </w:r>
          </w:p>
        </w:tc>
        <w:tc>
          <w:tcPr>
            <w:tcW w:w="100" w:type="dxa"/>
            <w:vAlign w:val="bottom"/>
            <w:shd w:val="clear" w:color="auto" w:fill="CFF0FC"/>
          </w:tcPr>
          <w:p>
            <w:pPr>
              <w:spacing w:after="0"/>
              <w:rPr>
                <w:sz w:val="8"/>
                <w:szCs w:val="8"/>
                <w:color w:val="auto"/>
              </w:rPr>
            </w:pPr>
          </w:p>
        </w:tc>
      </w:tr>
      <w:tr>
        <w:trPr>
          <w:trHeight w:val="195"/>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Cost of sales</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16,177</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Stock-based compensation</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551,409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(551,409 )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Sales and marketing expense</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1,431,430</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4,599,000</w:t>
            </w: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6,030,430</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8,066,209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20" w:type="dxa"/>
            <w:vAlign w:val="bottom"/>
          </w:tcPr>
          <w:p>
            <w:pPr>
              <w:spacing w:after="0"/>
              <w:rPr>
                <w:sz w:val="8"/>
                <w:szCs w:val="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45,124,701</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32,139,954</w:t>
            </w:r>
          </w:p>
        </w:tc>
        <w:tc>
          <w:tcPr>
            <w:tcW w:w="12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(bb)</w:t>
            </w: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3,062,500</w:t>
            </w:r>
          </w:p>
        </w:tc>
        <w:tc>
          <w:tcPr>
            <w:tcW w:w="120" w:type="dxa"/>
            <w:vAlign w:val="bottom"/>
          </w:tcPr>
          <w:p>
            <w:pPr>
              <w:spacing w:after="0"/>
              <w:rPr>
                <w:sz w:val="8"/>
                <w:szCs w:val="8"/>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(cc)</w:t>
            </w: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Formation cost</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1,304,629</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(1,304,629 )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(aa)</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Other operating costs and expenses</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84,500</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120,841</w:t>
            </w: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Impairment of customer list</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Impairment of goodwill</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r>
      <w:tr>
        <w:trPr>
          <w:trHeight w:val="108"/>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operating expenses</w:t>
            </w:r>
          </w:p>
        </w:tc>
        <w:tc>
          <w:tcPr>
            <w:tcW w:w="60" w:type="dxa"/>
            <w:vAlign w:val="bottom"/>
          </w:tcPr>
          <w:p>
            <w:pPr>
              <w:spacing w:after="0"/>
              <w:rPr>
                <w:sz w:val="9"/>
                <w:szCs w:val="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9,719,157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1,856,038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39,801,454</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51,376,649</w:t>
            </w:r>
          </w:p>
        </w:tc>
        <w:tc>
          <w:tcPr>
            <w:tcW w:w="100" w:type="dxa"/>
            <w:vAlign w:val="bottom"/>
          </w:tcPr>
          <w:p>
            <w:pPr>
              <w:spacing w:after="0"/>
              <w:rPr>
                <w:sz w:val="9"/>
                <w:szCs w:val="9"/>
                <w:color w:val="auto"/>
              </w:rPr>
            </w:pPr>
          </w:p>
        </w:tc>
      </w:tr>
      <w:tr>
        <w:trPr>
          <w:trHeight w:val="87"/>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60" w:type="dxa"/>
            <w:vAlign w:val="bottom"/>
            <w:gridSpan w:val="2"/>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gridSpan w:val="2"/>
          </w:tcPr>
          <w:p>
            <w:pPr>
              <w:spacing w:after="0"/>
              <w:rPr>
                <w:sz w:val="7"/>
                <w:szCs w:val="7"/>
                <w:color w:val="auto"/>
              </w:rPr>
            </w:pPr>
          </w:p>
        </w:tc>
      </w:tr>
      <w:tr>
        <w:trPr>
          <w:trHeight w:val="100"/>
        </w:trPr>
        <w:tc>
          <w:tcPr>
            <w:tcW w:w="4280" w:type="dxa"/>
            <w:vAlign w:val="bottom"/>
            <w:shd w:val="clear" w:color="auto" w:fill="CFF0FC"/>
          </w:tcPr>
          <w:p>
            <w:pPr>
              <w:spacing w:after="0" w:line="78" w:lineRule="exact"/>
              <w:rPr>
                <w:sz w:val="20"/>
                <w:szCs w:val="20"/>
                <w:color w:val="auto"/>
              </w:rPr>
            </w:pPr>
            <w:r>
              <w:rPr>
                <w:rFonts w:ascii="Times New Roman" w:cs="Times New Roman" w:eastAsia="Times New Roman" w:hAnsi="Times New Roman"/>
                <w:sz w:val="8"/>
                <w:szCs w:val="8"/>
                <w:b w:val="1"/>
                <w:bCs w:val="1"/>
                <w:color w:val="auto"/>
              </w:rPr>
              <w:t>Loss from operations</w:t>
            </w:r>
          </w:p>
        </w:tc>
        <w:tc>
          <w:tcPr>
            <w:tcW w:w="60" w:type="dxa"/>
            <w:vAlign w:val="bottom"/>
            <w:shd w:val="clear" w:color="auto" w:fill="CFF0FC"/>
          </w:tcPr>
          <w:p>
            <w:pPr>
              <w:jc w:val="right"/>
              <w:spacing w:after="0" w:line="78" w:lineRule="exact"/>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(9,665,758 </w:t>
            </w:r>
            <w:r>
              <w:rPr>
                <w:rFonts w:ascii="Times New Roman" w:cs="Times New Roman" w:eastAsia="Times New Roman" w:hAnsi="Times New Roman"/>
                <w:sz w:val="8"/>
                <w:szCs w:val="8"/>
                <w:color w:val="auto"/>
                <w:vertAlign w:val="subscript"/>
              </w:rPr>
              <w:t>)</w:t>
            </w:r>
          </w:p>
        </w:tc>
        <w:tc>
          <w:tcPr>
            <w:tcW w:w="160" w:type="dxa"/>
            <w:vAlign w:val="bottom"/>
            <w:gridSpan w:val="2"/>
            <w:shd w:val="clear" w:color="auto" w:fill="CFF0FC"/>
          </w:tcPr>
          <w:p>
            <w:pPr>
              <w:jc w:val="right"/>
              <w:ind w:right="20"/>
              <w:spacing w:after="0" w:line="78" w:lineRule="exact"/>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(1,856,038 </w:t>
            </w:r>
            <w:r>
              <w:rPr>
                <w:rFonts w:ascii="Times New Roman" w:cs="Times New Roman" w:eastAsia="Times New Roman" w:hAnsi="Times New Roman"/>
                <w:sz w:val="8"/>
                <w:szCs w:val="8"/>
                <w:color w:val="auto"/>
                <w:vertAlign w:val="subscript"/>
              </w:rPr>
              <w:t>)</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ind w:left="20"/>
              <w:spacing w:after="0" w:line="78" w:lineRule="exact"/>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shd w:val="clear" w:color="auto" w:fill="CFF0FC"/>
          </w:tcPr>
          <w:p>
            <w:pPr>
              <w:jc w:val="right"/>
              <w:ind w:right="80"/>
              <w:spacing w:after="0" w:line="78" w:lineRule="exact"/>
              <w:rPr>
                <w:sz w:val="20"/>
                <w:szCs w:val="20"/>
                <w:color w:val="auto"/>
              </w:rPr>
            </w:pPr>
            <w:r>
              <w:rPr>
                <w:rFonts w:ascii="Times New Roman" w:cs="Times New Roman" w:eastAsia="Times New Roman" w:hAnsi="Times New Roman"/>
                <w:sz w:val="5"/>
                <w:szCs w:val="5"/>
                <w:color w:val="auto"/>
              </w:rPr>
              <w:t xml:space="preserve">(39,801,454 </w:t>
            </w:r>
            <w:r>
              <w:rPr>
                <w:rFonts w:ascii="Times New Roman" w:cs="Times New Roman" w:eastAsia="Times New Roman" w:hAnsi="Times New Roman"/>
                <w:sz w:val="8"/>
                <w:szCs w:val="8"/>
                <w:color w:val="auto"/>
                <w:vertAlign w:val="subscript"/>
              </w:rPr>
              <w:t>)</w:t>
            </w:r>
          </w:p>
        </w:tc>
        <w:tc>
          <w:tcPr>
            <w:tcW w:w="700" w:type="dxa"/>
            <w:vAlign w:val="bottom"/>
            <w:gridSpan w:val="2"/>
            <w:shd w:val="clear" w:color="auto" w:fill="CFF0FC"/>
          </w:tcPr>
          <w:p>
            <w:pPr>
              <w:jc w:val="right"/>
              <w:ind w:right="160"/>
              <w:spacing w:after="0" w:line="78" w:lineRule="exact"/>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shd w:val="clear" w:color="auto" w:fill="CFF0FC"/>
          </w:tcPr>
          <w:p>
            <w:pPr>
              <w:jc w:val="right"/>
              <w:ind w:right="60"/>
              <w:spacing w:after="0" w:line="78" w:lineRule="exact"/>
              <w:rPr>
                <w:sz w:val="20"/>
                <w:szCs w:val="20"/>
                <w:color w:val="auto"/>
              </w:rPr>
            </w:pPr>
            <w:r>
              <w:rPr>
                <w:rFonts w:ascii="Times New Roman" w:cs="Times New Roman" w:eastAsia="Times New Roman" w:hAnsi="Times New Roman"/>
                <w:sz w:val="5"/>
                <w:szCs w:val="5"/>
                <w:color w:val="auto"/>
              </w:rPr>
              <w:t xml:space="preserve">(51,323,250 </w:t>
            </w:r>
            <w:r>
              <w:rPr>
                <w:rFonts w:ascii="Times New Roman" w:cs="Times New Roman" w:eastAsia="Times New Roman" w:hAnsi="Times New Roman"/>
                <w:sz w:val="8"/>
                <w:szCs w:val="8"/>
                <w:color w:val="auto"/>
                <w:vertAlign w:val="subscript"/>
              </w:rPr>
              <w:t>)</w:t>
            </w:r>
          </w:p>
        </w:tc>
      </w:tr>
      <w:tr>
        <w:trPr>
          <w:trHeight w:val="195"/>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8"/>
                <w:szCs w:val="8"/>
                <w:b w:val="1"/>
                <w:bCs w:val="1"/>
                <w:color w:val="auto"/>
              </w:rPr>
              <w:t>Other (expense) income</w:t>
            </w:r>
          </w:p>
        </w:tc>
        <w:tc>
          <w:tcPr>
            <w:tcW w:w="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4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Interest expense</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(3,009,002 )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(338,861 )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(492,800 )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(dd)</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(3,840,663 )</w:t>
            </w: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Interest income</w:t>
            </w: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476,445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(476,445 )</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6"/>
              </w:rPr>
              <w:t>(ee)</w:t>
            </w: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(107,816 )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(2,100,000 )</w:t>
            </w:r>
          </w:p>
        </w:tc>
        <w:tc>
          <w:tcPr>
            <w:tcW w:w="70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(ff)</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(2,207,816 )</w:t>
            </w:r>
          </w:p>
        </w:tc>
      </w:tr>
      <w:tr>
        <w:trPr>
          <w:trHeight w:val="197"/>
        </w:trPr>
        <w:tc>
          <w:tcPr>
            <w:tcW w:w="428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Total other (expenses) / income, net</w:t>
            </w:r>
          </w:p>
        </w:tc>
        <w:tc>
          <w:tcPr>
            <w:tcW w:w="6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(3,116,818 )</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137,584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(3,069,245 )</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(6,048,479 )</w:t>
            </w:r>
          </w:p>
        </w:tc>
      </w:tr>
      <w:tr>
        <w:trPr>
          <w:trHeight w:val="96"/>
        </w:trPr>
        <w:tc>
          <w:tcPr>
            <w:tcW w:w="4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spacing w:after="0"/>
              <w:rPr>
                <w:sz w:val="8"/>
                <w:szCs w:val="8"/>
                <w:color w:val="auto"/>
              </w:rPr>
            </w:pPr>
          </w:p>
        </w:tc>
      </w:tr>
      <w:tr>
        <w:trPr>
          <w:trHeight w:val="98"/>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Income (loss) before taxes</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(12,782,576 )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(1,718,454 )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(42,870,699 )</w:t>
            </w: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(57,371,729 )</w:t>
            </w:r>
          </w:p>
        </w:tc>
      </w:tr>
      <w:tr>
        <w:trPr>
          <w:trHeight w:val="195"/>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Provision for income taxes</w:t>
            </w:r>
          </w:p>
        </w:tc>
        <w:tc>
          <w:tcPr>
            <w:tcW w:w="6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(59,870 )</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(85,487 )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85,487</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89"/>
              </w:rPr>
              <w:t>(gg)</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(207,906 )</w:t>
            </w:r>
          </w:p>
        </w:tc>
      </w:tr>
      <w:tr>
        <w:trPr>
          <w:trHeight w:val="98"/>
        </w:trPr>
        <w:tc>
          <w:tcPr>
            <w:tcW w:w="42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(148,036 )</w:t>
            </w:r>
          </w:p>
        </w:tc>
        <w:tc>
          <w:tcPr>
            <w:tcW w:w="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w w:val="98"/>
              </w:rPr>
              <w:t>(hh)</w:t>
            </w: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98"/>
        </w:trPr>
        <w:tc>
          <w:tcPr>
            <w:tcW w:w="42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income</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132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(12,842,446 </w:t>
            </w:r>
            <w:r>
              <w:rPr>
                <w:rFonts w:ascii="Times New Roman" w:cs="Times New Roman" w:eastAsia="Times New Roman" w:hAnsi="Times New Roman"/>
                <w:sz w:val="16"/>
                <w:szCs w:val="16"/>
                <w:color w:val="auto"/>
                <w:vertAlign w:val="subscript"/>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120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(1,803,941 </w:t>
            </w:r>
            <w:r>
              <w:rPr>
                <w:rFonts w:ascii="Times New Roman" w:cs="Times New Roman" w:eastAsia="Times New Roman" w:hAnsi="Times New Roman"/>
                <w:sz w:val="16"/>
                <w:szCs w:val="16"/>
                <w:color w:val="auto"/>
                <w:vertAlign w:val="subscript"/>
              </w:rPr>
              <w:t>)</w:t>
            </w:r>
          </w:p>
        </w:tc>
        <w:tc>
          <w:tcPr>
            <w:tcW w:w="10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8"/>
                <w:szCs w:val="8"/>
                <w:color w:val="auto"/>
              </w:rPr>
              <w:t>$</w:t>
            </w:r>
          </w:p>
        </w:tc>
        <w:tc>
          <w:tcPr>
            <w:tcW w:w="960" w:type="dxa"/>
            <w:vAlign w:val="bottom"/>
            <w:gridSpan w:val="2"/>
          </w:tcPr>
          <w:p>
            <w:pPr>
              <w:jc w:val="right"/>
              <w:ind w:right="80"/>
              <w:spacing w:after="0" w:line="175" w:lineRule="exact"/>
              <w:rPr>
                <w:sz w:val="20"/>
                <w:szCs w:val="20"/>
                <w:color w:val="auto"/>
              </w:rPr>
            </w:pPr>
            <w:r>
              <w:rPr>
                <w:rFonts w:ascii="Times New Roman" w:cs="Times New Roman" w:eastAsia="Times New Roman" w:hAnsi="Times New Roman"/>
                <w:sz w:val="8"/>
                <w:szCs w:val="8"/>
                <w:color w:val="auto"/>
              </w:rPr>
              <w:t xml:space="preserve">(42,933,248 </w:t>
            </w:r>
            <w:r>
              <w:rPr>
                <w:rFonts w:ascii="Times New Roman" w:cs="Times New Roman" w:eastAsia="Times New Roman" w:hAnsi="Times New Roman"/>
                <w:sz w:val="16"/>
                <w:szCs w:val="16"/>
                <w:color w:val="auto"/>
                <w:vertAlign w:val="subscript"/>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w:t>
            </w:r>
          </w:p>
        </w:tc>
        <w:tc>
          <w:tcPr>
            <w:tcW w:w="134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8"/>
                <w:szCs w:val="8"/>
                <w:color w:val="auto"/>
              </w:rPr>
              <w:t xml:space="preserve">(57,579,635 </w:t>
            </w:r>
            <w:r>
              <w:rPr>
                <w:rFonts w:ascii="Times New Roman" w:cs="Times New Roman" w:eastAsia="Times New Roman" w:hAnsi="Times New Roman"/>
                <w:sz w:val="16"/>
                <w:szCs w:val="16"/>
                <w:color w:val="auto"/>
                <w:vertAlign w:val="subscript"/>
              </w:rPr>
              <w:t>)</w:t>
            </w:r>
          </w:p>
        </w:tc>
      </w:tr>
      <w:tr>
        <w:trPr>
          <w:trHeight w:val="98"/>
        </w:trPr>
        <w:tc>
          <w:tcPr>
            <w:tcW w:w="4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Earnings Per Share</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Weighted average shares of Rezolve common stock used in computing net loss per share, basic and diluted</w:t>
            </w:r>
          </w:p>
        </w:tc>
        <w:tc>
          <w:tcPr>
            <w:tcW w:w="60" w:type="dxa"/>
            <w:vAlign w:val="bottom"/>
          </w:tcPr>
          <w:p>
            <w:pPr>
              <w:spacing w:after="0"/>
              <w:rPr>
                <w:sz w:val="8"/>
                <w:szCs w:val="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927,893,144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w:t>
            </w:r>
          </w:p>
        </w:tc>
        <w:tc>
          <w:tcPr>
            <w:tcW w:w="60" w:type="dxa"/>
            <w:vAlign w:val="bottom"/>
            <w:shd w:val="clear" w:color="auto" w:fill="CFF0FC"/>
          </w:tcPr>
          <w:p>
            <w:pPr>
              <w:spacing w:after="0"/>
              <w:rPr>
                <w:sz w:val="8"/>
                <w:szCs w:val="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(0.01 )</w:t>
            </w: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06"/>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98"/>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Basic and diluted weighted average shares outstanding, common stock subject to possible redemption</w:t>
            </w: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5,709,500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8"/>
                <w:szCs w:val="8"/>
                <w:color w:val="auto"/>
              </w:rPr>
              <w:t>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(0.05 )</w:t>
            </w: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95"/>
        </w:trPr>
        <w:tc>
          <w:tcPr>
            <w:tcW w:w="4280" w:type="dxa"/>
            <w:vAlign w:val="bottom"/>
          </w:tcPr>
          <w:p>
            <w:pPr>
              <w:ind w:left="40"/>
              <w:spacing w:after="0"/>
              <w:rPr>
                <w:sz w:val="20"/>
                <w:szCs w:val="20"/>
                <w:color w:val="auto"/>
              </w:rPr>
            </w:pPr>
            <w:r>
              <w:rPr>
                <w:rFonts w:ascii="Times New Roman" w:cs="Times New Roman" w:eastAsia="Times New Roman" w:hAnsi="Times New Roman"/>
                <w:sz w:val="8"/>
                <w:szCs w:val="8"/>
                <w:color w:val="auto"/>
              </w:rPr>
              <w:t>Proforma Basic and diluted weighted average shares outstanding, common stock subject to possible redemption</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204,702,306</w:t>
            </w:r>
          </w:p>
        </w:tc>
        <w:tc>
          <w:tcPr>
            <w:tcW w:w="100" w:type="dxa"/>
            <w:vAlign w:val="bottom"/>
          </w:tcPr>
          <w:p>
            <w:pPr>
              <w:spacing w:after="0"/>
              <w:rPr>
                <w:sz w:val="16"/>
                <w:szCs w:val="16"/>
                <w:color w:val="auto"/>
              </w:rPr>
            </w:pPr>
          </w:p>
        </w:tc>
      </w:tr>
      <w:tr>
        <w:trPr>
          <w:trHeight w:val="98"/>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Proforma Net loss per share, basic and diluted</w:t>
            </w:r>
          </w:p>
        </w:tc>
        <w:tc>
          <w:tcPr>
            <w:tcW w:w="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(0.28 )</w:t>
            </w:r>
          </w:p>
        </w:tc>
      </w:tr>
    </w:tbl>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See accompanying notes to the unaudited pro forma condensed combined financial information.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PRO FORMA CONDENSED COMBINED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1—Basis of Presentation</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(iii) Rezolve’s existing management will comprise the management of Rezolve; (iv) Rezolve will comprise the ongoing operations of Rezolve; (v) Rezolve is the larger entity based on historical revenues and business operations; and (vi) Rezolve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0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should be read in conjunction with:</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notes to the unaudited pro forma condensed combined financial statements;</w:t>
      </w:r>
    </w:p>
    <w:p>
      <w:pPr>
        <w:spacing w:after="0" w:line="58" w:lineRule="exact"/>
        <w:rPr>
          <w:sz w:val="20"/>
          <w:szCs w:val="20"/>
          <w:color w:val="auto"/>
        </w:rPr>
      </w:pPr>
    </w:p>
    <w:p>
      <w:pPr>
        <w:ind w:left="480" w:right="4180"/>
        <w:spacing w:after="0" w:line="400" w:lineRule="auto"/>
        <w:rPr>
          <w:sz w:val="20"/>
          <w:szCs w:val="20"/>
          <w:color w:val="auto"/>
        </w:rPr>
      </w:pPr>
      <w:r>
        <w:rPr>
          <w:rFonts w:ascii="Times New Roman" w:cs="Times New Roman" w:eastAsia="Times New Roman" w:hAnsi="Times New Roman"/>
          <w:sz w:val="9"/>
          <w:szCs w:val="9"/>
          <w:color w:val="auto"/>
        </w:rPr>
        <w:t>•the historical audited financial statements of Armada as of and for the year ended September 30, 2023 and 2022, incorporated by reference in this filing; •the historical unaudited financial statements for Armada as of and for the quarter ended December 31, 2023, incorporated by reference to this filing;</w:t>
      </w:r>
    </w:p>
    <w:p>
      <w:pPr>
        <w:ind w:left="480" w:right="2900"/>
        <w:spacing w:after="0" w:line="380" w:lineRule="auto"/>
        <w:rPr>
          <w:sz w:val="20"/>
          <w:szCs w:val="20"/>
          <w:color w:val="auto"/>
        </w:rPr>
      </w:pPr>
      <w:r>
        <w:rPr>
          <w:rFonts w:ascii="Times New Roman" w:cs="Times New Roman" w:eastAsia="Times New Roman" w:hAnsi="Times New Roman"/>
          <w:sz w:val="10"/>
          <w:szCs w:val="10"/>
          <w:color w:val="auto"/>
        </w:rPr>
        <w:t>•the historical audited carve-out financial statements of Rezolve AI Limited as of, and for the year ended, December 31, 2023, included elsewhere in this proxy statement/prospectus; and •the section entitled “</w:t>
      </w:r>
      <w:r>
        <w:rPr>
          <w:rFonts w:ascii="Times New Roman" w:cs="Times New Roman" w:eastAsia="Times New Roman" w:hAnsi="Times New Roman"/>
          <w:sz w:val="10"/>
          <w:szCs w:val="10"/>
          <w:i w:val="1"/>
          <w:iCs w:val="1"/>
          <w:color w:val="auto"/>
        </w:rPr>
        <w:t>Management’s Discussion and Analysis of Financial Condition and Results of Operations</w:t>
      </w:r>
      <w:r>
        <w:rPr>
          <w:rFonts w:ascii="Times New Roman" w:cs="Times New Roman" w:eastAsia="Times New Roman" w:hAnsi="Times New Roman"/>
          <w:sz w:val="10"/>
          <w:szCs w:val="10"/>
          <w:color w:val="auto"/>
        </w:rPr>
        <w:t>”</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unaudited condensed pro forma adjustments, which are described in the accompanying notes, may be revised as additional information becomes available and is evaluated.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55" w:name="page56"/>
    <w:bookmarkEnd w:id="55"/>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They should be read in conjunction with the audited financial statements and notes thereto of each of Armada and Rezolve included elsewhere in this proxy statement/prospectus.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2—Unaudited pro forma condensed combined balance sheet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to the unaudited pro forma condensed combined balance sheet as of December 31, 2023 are as follows: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w:t>
      </w:r>
      <w:r>
        <w:rPr>
          <w:rFonts w:ascii="Times New Roman" w:cs="Times New Roman" w:eastAsia="Times New Roman" w:hAnsi="Times New Roman"/>
          <w:sz w:val="10"/>
          <w:szCs w:val="10"/>
          <w:color w:val="auto"/>
        </w:rPr>
        <w:t>Reflects the estimated transaction costs incurred including, but not limited to advisory fees, legal fees and demerger costs that will be paid in connection with the consummation of the Business Combination.</w:t>
      </w:r>
    </w:p>
    <w:p>
      <w:pPr>
        <w:spacing w:after="0" w:line="6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•Fees. Fee payments of an aggregate of approximately $31.5 million to CCM, Northland and Cantor Fitzgerald due upon Closing of the Business Combination.</w:t>
      </w:r>
    </w:p>
    <w:p>
      <w:pPr>
        <w:spacing w:after="0" w:line="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0"/>
          <w:szCs w:val="10"/>
          <w:color w:val="auto"/>
        </w:rPr>
        <w:t>•Demerger and Liquidation costs of approximately $3.1 million.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(b)</w:t>
      </w:r>
      <w:r>
        <w:rPr>
          <w:rFonts w:ascii="Times New Roman" w:cs="Times New Roman" w:eastAsia="Times New Roman" w:hAnsi="Times New Roman"/>
          <w:sz w:val="10"/>
          <w:szCs w:val="10"/>
          <w:color w:val="auto"/>
        </w:rPr>
        <w:t>Reflects the settlement of Accounts payable of Armada primarily due to legal costs of the Business Combinations.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w:t>
      </w:r>
      <w:r>
        <w:rPr>
          <w:rFonts w:ascii="Times New Roman" w:cs="Times New Roman" w:eastAsia="Times New Roman" w:hAnsi="Times New Roman"/>
          <w:sz w:val="10"/>
          <w:szCs w:val="10"/>
          <w:color w:val="auto"/>
        </w:rPr>
        <w:t>Reflects the payment of taxes payable using interest earned on cash held in trust.</w:t>
      </w:r>
    </w:p>
    <w:p>
      <w:pPr>
        <w:spacing w:after="0" w:line="58"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i w:val="1"/>
          <w:iCs w:val="1"/>
          <w:color w:val="auto"/>
        </w:rPr>
        <w:t>(d)</w:t>
      </w:r>
      <w:r>
        <w:rPr>
          <w:rFonts w:ascii="Times New Roman" w:cs="Times New Roman" w:eastAsia="Times New Roman" w:hAnsi="Times New Roman"/>
          <w:sz w:val="10"/>
          <w:szCs w:val="10"/>
          <w:color w:val="auto"/>
        </w:rPr>
        <w:t>Reflects a promissory note issued by Rezolve AI Limited to Cohen &amp; Company Financial Management LLC for $3,056,726 with interest on the principal amount outstanding at a rate of 4.95% per annum with the principal amount and any accrued interest</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due and payable on August 14, 2027.</w:t>
      </w:r>
    </w:p>
    <w:p>
      <w:pPr>
        <w:spacing w:after="0" w:line="37" w:lineRule="exact"/>
        <w:rPr>
          <w:sz w:val="20"/>
          <w:szCs w:val="20"/>
          <w:color w:val="auto"/>
        </w:rPr>
      </w:pPr>
    </w:p>
    <w:p>
      <w:pPr>
        <w:ind w:left="480" w:right="40"/>
        <w:spacing w:after="0" w:line="239" w:lineRule="auto"/>
        <w:rPr>
          <w:sz w:val="20"/>
          <w:szCs w:val="20"/>
          <w:color w:val="auto"/>
        </w:rPr>
      </w:pPr>
      <w:r>
        <w:rPr>
          <w:rFonts w:ascii="Times New Roman" w:cs="Times New Roman" w:eastAsia="Times New Roman" w:hAnsi="Times New Roman"/>
          <w:sz w:val="10"/>
          <w:szCs w:val="10"/>
          <w:i w:val="1"/>
          <w:iCs w:val="1"/>
          <w:color w:val="auto"/>
        </w:rPr>
        <w:t>(e)</w:t>
      </w:r>
      <w:r>
        <w:rPr>
          <w:rFonts w:ascii="Times New Roman" w:cs="Times New Roman" w:eastAsia="Times New Roman" w:hAnsi="Times New Roman"/>
          <w:sz w:val="10"/>
          <w:szCs w:val="10"/>
          <w:color w:val="auto"/>
        </w:rPr>
        <w:t>Reflects the withdrawals of cash from the Trust Account, excluding the redemptions in note (f) . The Charter Limitation in the Armada Charter would prohibit Armada from closing the Business Combination if has net tangible assets less than $5,000,001</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(f)</w:t>
      </w:r>
      <w:r>
        <w:rPr>
          <w:rFonts w:ascii="Times New Roman" w:cs="Times New Roman" w:eastAsia="Times New Roman" w:hAnsi="Times New Roman"/>
          <w:sz w:val="10"/>
          <w:szCs w:val="10"/>
          <w:color w:val="auto"/>
        </w:rPr>
        <w:t>Reflects the redemption of 1,300,391 shares in August 2024, respectively out of a total of 1,417,687 as at June 30,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(g)</w:t>
      </w:r>
      <w:r>
        <w:rPr>
          <w:rFonts w:ascii="Times New Roman" w:cs="Times New Roman" w:eastAsia="Times New Roman" w:hAnsi="Times New Roman"/>
          <w:sz w:val="10"/>
          <w:szCs w:val="10"/>
          <w:color w:val="auto"/>
        </w:rPr>
        <w:t>Reflects the conversion of the ordinary shares payable under the rights issue upon the completion of the reorganization immediately before listing.</w:t>
      </w:r>
    </w:p>
    <w:p>
      <w:pPr>
        <w:spacing w:after="0" w:line="58"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i w:val="1"/>
          <w:iCs w:val="1"/>
          <w:color w:val="auto"/>
        </w:rPr>
        <w:t>(h)</w:t>
      </w:r>
      <w:r>
        <w:rPr>
          <w:rFonts w:ascii="Times New Roman" w:cs="Times New Roman" w:eastAsia="Times New Roman" w:hAnsi="Times New Roman"/>
          <w:sz w:val="10"/>
          <w:szCs w:val="10"/>
          <w:color w:val="auto"/>
        </w:rPr>
        <w:t>Reflects the conversion of short-term convertible debt into Rezolve Common stock at $1 per loan note to a 5% discount to the pre-equity consummation of the Business Combination. Reflects the conversion of long-term convertible debt at the close of the</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w:t>
      </w:r>
      <w:r>
        <w:rPr>
          <w:rFonts w:ascii="Times New Roman" w:cs="Times New Roman" w:eastAsia="Times New Roman" w:hAnsi="Times New Roman"/>
          <w:sz w:val="10"/>
          <w:szCs w:val="10"/>
          <w:color w:val="auto"/>
        </w:rPr>
        <w:t>Reflects the exchange of Armada Common Stock having a nominal value of $0.0001 per share into the Combined Company’s ordinary shares of £0.0001 per share, with the remainder captured in Rezolve’s additional paid-in capital.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(j)</w:t>
      </w:r>
      <w:r>
        <w:rPr>
          <w:rFonts w:ascii="Times New Roman" w:cs="Times New Roman" w:eastAsia="Times New Roman" w:hAnsi="Times New Roman"/>
          <w:sz w:val="10"/>
          <w:szCs w:val="10"/>
          <w:color w:val="auto"/>
        </w:rPr>
        <w:t>Reflects the conversion of Armada redeemable stock into Rezolve ordinary shares under the minimum redemption scenarios.</w:t>
      </w:r>
    </w:p>
    <w:p>
      <w:pPr>
        <w:spacing w:after="0" w:line="58"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0"/>
          <w:szCs w:val="10"/>
          <w:i w:val="1"/>
          <w:iCs w:val="1"/>
          <w:color w:val="auto"/>
        </w:rPr>
        <w:t>(k)</w:t>
      </w:r>
      <w:r>
        <w:rPr>
          <w:rFonts w:ascii="Times New Roman" w:cs="Times New Roman" w:eastAsia="Times New Roman" w:hAnsi="Times New Roman"/>
          <w:sz w:val="10"/>
          <w:szCs w:val="10"/>
          <w:color w:val="auto"/>
        </w:rPr>
        <w:t>Pursuant to the Business Combination, each outstanding share of Rezolve’s Series A Preferred Stock will automatically convert into one Rezolve ordinary share and thereafter the ordinary shares will be the subject of the Company Reorganization. As a</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result, the adjustments reflect the reduction in Rezolve’s Series A shares, and a corresponding increase in Rezolve’s ordinary shares.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(l)</w:t>
      </w: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56" w:name="page57"/>
    <w:bookmarkEnd w:id="56"/>
    <w:p>
      <w:pPr>
        <w:ind w:left="480"/>
        <w:spacing w:after="0"/>
        <w:rPr>
          <w:sz w:val="20"/>
          <w:szCs w:val="20"/>
          <w:color w:val="auto"/>
        </w:rPr>
      </w:pPr>
      <w:r>
        <w:rPr>
          <w:rFonts w:ascii="Times New Roman" w:cs="Times New Roman" w:eastAsia="Times New Roman" w:hAnsi="Times New Roman"/>
          <w:sz w:val="10"/>
          <w:szCs w:val="10"/>
          <w:i w:val="1"/>
          <w:iCs w:val="1"/>
          <w:color w:val="auto"/>
        </w:rPr>
        <w:t>(m)</w:t>
      </w:r>
      <w:r>
        <w:rPr>
          <w:rFonts w:ascii="Times New Roman" w:cs="Times New Roman" w:eastAsia="Times New Roman" w:hAnsi="Times New Roman"/>
          <w:sz w:val="10"/>
          <w:szCs w:val="10"/>
          <w:color w:val="auto"/>
        </w:rPr>
        <w:t>Reflects the grant of 58.3 million ordinary shares at a valuation of $0.63 for employee shares that will trigger a grant upon amending the articles of the company, anticipated before the close of the Business Combination.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(n)</w:t>
      </w:r>
      <w:r>
        <w:rPr>
          <w:rFonts w:ascii="Times New Roman" w:cs="Times New Roman" w:eastAsia="Times New Roman" w:hAnsi="Times New Roman"/>
          <w:sz w:val="10"/>
          <w:szCs w:val="10"/>
          <w:color w:val="auto"/>
        </w:rPr>
        <w:t>Elimination of historical retained earnings of Armada as part of the acquisition accounting.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(o)</w:t>
      </w: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(p)</w:t>
      </w:r>
      <w:r>
        <w:rPr>
          <w:rFonts w:ascii="Times New Roman" w:cs="Times New Roman" w:eastAsia="Times New Roman" w:hAnsi="Times New Roman"/>
          <w:sz w:val="10"/>
          <w:szCs w:val="10"/>
          <w:color w:val="auto"/>
        </w:rPr>
        <w:t>Reflects the reclass of accumulated deficit from Rezolve Limited into Additional Paid-in Capital of Rezolve Ai Limited upon demerger of Rezolve Limited,</w:t>
      </w:r>
    </w:p>
    <w:p>
      <w:pPr>
        <w:spacing w:after="0" w:line="58" w:lineRule="exact"/>
        <w:rPr>
          <w:sz w:val="20"/>
          <w:szCs w:val="20"/>
          <w:color w:val="auto"/>
        </w:rPr>
      </w:pPr>
    </w:p>
    <w:p>
      <w:pPr>
        <w:ind w:left="480"/>
        <w:spacing w:after="0" w:line="288" w:lineRule="auto"/>
        <w:rPr>
          <w:sz w:val="20"/>
          <w:szCs w:val="20"/>
          <w:color w:val="auto"/>
        </w:rPr>
      </w:pPr>
      <w:r>
        <w:rPr>
          <w:rFonts w:ascii="Times New Roman" w:cs="Times New Roman" w:eastAsia="Times New Roman" w:hAnsi="Times New Roman"/>
          <w:sz w:val="9"/>
          <w:szCs w:val="9"/>
          <w:i w:val="1"/>
          <w:iCs w:val="1"/>
          <w:color w:val="auto"/>
        </w:rPr>
        <w:t>(q)</w:t>
      </w:r>
      <w:r>
        <w:rPr>
          <w:rFonts w:ascii="Times New Roman" w:cs="Times New Roman" w:eastAsia="Times New Roman" w:hAnsi="Times New Roman"/>
          <w:sz w:val="9"/>
          <w:szCs w:val="9"/>
          <w:color w:val="auto"/>
        </w:rPr>
        <w:t>Reflects an aggregate of $ 28,641,250 principal amount due under certain promissory notes, consisting of (1) a promissory note issued by Armada to Northland Securities, Inc. for $5,141,250 with interest on the principal amount outstanding at a rate of 10%</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9"/>
          <w:szCs w:val="9"/>
          <w:color w:val="auto"/>
        </w:rPr>
        <w:t>per annum from July 30, 2024,until the note is fully paid; (2) a promissory note issued by Armada to J.V.B.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3—Unaudited pro forma condensed combined statements of operations adjustments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 forma adjustments included in the unaudited pro forma condensed combined statement of operations for the year ended December 31, 2023 are as follows:</w:t>
      </w:r>
    </w:p>
    <w:p>
      <w:pPr>
        <w:spacing w:after="0" w:line="58" w:lineRule="exact"/>
        <w:rPr>
          <w:sz w:val="20"/>
          <w:szCs w:val="20"/>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a reclassification of Armada costs to conform with S-X 5-03.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issuance of 2.5 million ordinary shares at a valuation of $1.23 for employee shares options that vest immediately upon close of the Business Combination.</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Issuance of Sponsor’s Founders Shares to Polar Asset Management reflected at $0.56 per share based on a valuation obtained as of June 1, 2023.</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interest income earned assuming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580" w:hanging="140"/>
        <w:spacing w:after="0"/>
        <w:tabs>
          <w:tab w:leader="none" w:pos="58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estimated costs of the Pre-Closing Demerger that will be paid in connection with the consummation of the Business Combination. This is a non-recurring item.</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adjustment to eliminate the taxes payable on interest income that would have not been incurred given the Business Combination completed on January 1, 2024.</w:t>
      </w:r>
    </w:p>
    <w:p>
      <w:pPr>
        <w:spacing w:after="0" w:line="57" w:lineRule="exact"/>
        <w:rPr>
          <w:rFonts w:ascii="Times New Roman" w:cs="Times New Roman" w:eastAsia="Times New Roman" w:hAnsi="Times New Roman"/>
          <w:sz w:val="10"/>
          <w:szCs w:val="10"/>
          <w:i w:val="1"/>
          <w:iCs w:val="1"/>
          <w:color w:val="auto"/>
        </w:rPr>
      </w:pPr>
    </w:p>
    <w:p>
      <w:pPr>
        <w:ind w:left="620" w:hanging="180"/>
        <w:spacing w:after="0"/>
        <w:tabs>
          <w:tab w:leader="none" w:pos="620" w:val="left"/>
        </w:tabs>
        <w:numPr>
          <w:ilvl w:val="0"/>
          <w:numId w:val="4"/>
        </w:numPr>
        <w:rPr>
          <w:rFonts w:ascii="Times New Roman" w:cs="Times New Roman" w:eastAsia="Times New Roman" w:hAnsi="Times New Roman"/>
          <w:sz w:val="10"/>
          <w:szCs w:val="10"/>
          <w:i w:val="1"/>
          <w:iCs w:val="1"/>
          <w:color w:val="auto"/>
        </w:rPr>
      </w:pPr>
      <w:r>
        <w:rPr>
          <w:rFonts w:ascii="Times New Roman" w:cs="Times New Roman" w:eastAsia="Times New Roman" w:hAnsi="Times New Roman"/>
          <w:sz w:val="10"/>
          <w:szCs w:val="10"/>
          <w:color w:val="auto"/>
        </w:rPr>
        <w:t>Reflects the excise tax payable on the redemption of 1,300,391 shares in August 2024, respectively out of a total of 1,417,687 at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4—Earnings per Share</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57" w:name="page58"/>
    <w:bookmarkEnd w:id="57"/>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Business of Rezolve Limited—Partner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left="10" w:right="20" w:firstLine="48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38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1805305" cy="5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313" w:lineRule="exact"/>
        <w:rPr>
          <w:sz w:val="20"/>
          <w:szCs w:val="20"/>
          <w:color w:val="auto"/>
        </w:rPr>
      </w:pPr>
    </w:p>
    <w:p>
      <w:pPr>
        <w:ind w:left="5270" w:right="4420" w:hanging="5270"/>
        <w:spacing w:after="0" w:line="409" w:lineRule="auto"/>
        <w:tabs>
          <w:tab w:leader="none" w:pos="63" w:val="left"/>
        </w:tabs>
        <w:numPr>
          <w:ilvl w:val="0"/>
          <w:numId w:val="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179070</wp:posOffset>
            </wp:positionV>
            <wp:extent cx="677862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58" w:name="page59"/>
    <w:bookmarkEnd w:id="58"/>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58" w:lineRule="exact"/>
        <w:rPr>
          <w:sz w:val="20"/>
          <w:szCs w:val="20"/>
          <w:color w:val="auto"/>
        </w:rPr>
      </w:pPr>
    </w:p>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years ended December 31,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Impairment of investment in ANY</w:t>
      </w:r>
      <w:r>
        <w:rPr>
          <w:rFonts w:ascii="Times New Roman" w:cs="Times New Roman" w:eastAsia="Times New Roman" w:hAnsi="Times New Roman"/>
          <w:sz w:val="10"/>
          <w:szCs w:val="10"/>
          <w:color w:val="auto"/>
        </w:rPr>
        <w:t>: Consists of the value of the investment in ANY which was impaired following the Company’s loss of voting rights and indicators of impairment.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0"/>
          <w:szCs w:val="10"/>
          <w:b w:val="1"/>
          <w:bCs w:val="1"/>
          <w:color w:val="auto"/>
        </w:rPr>
        <w:t>Results of Operations for the year ended December 31, 2023.</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vMerge w:val="restart"/>
          </w:tcPr>
          <w:p>
            <w:pPr>
              <w:jc w:val="right"/>
              <w:ind w:right="15"/>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180" w:type="dxa"/>
            <w:vAlign w:val="bottom"/>
          </w:tcPr>
          <w:p>
            <w:pPr>
              <w:jc w:val="right"/>
              <w:ind w:right="715"/>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540" w:type="dxa"/>
            <w:vAlign w:val="bottom"/>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745,040</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6,731,254</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4,338,557</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17,986,528</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86,640,500</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0" w:type="dxa"/>
            <w:vAlign w:val="bottom"/>
          </w:tcPr>
          <w:p>
            <w:pPr>
              <w:spacing w:after="0"/>
              <w:rPr>
                <w:sz w:val="1"/>
                <w:szCs w:val="1"/>
                <w:color w:val="auto"/>
              </w:rPr>
            </w:pPr>
          </w:p>
        </w:tc>
      </w:tr>
      <w:tr>
        <w:trPr>
          <w:trHeight w:val="113"/>
        </w:trPr>
        <w:tc>
          <w:tcPr>
            <w:tcW w:w="3140" w:type="dxa"/>
            <w:vAlign w:val="bottom"/>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26,151,325</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107,161,306</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loss</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(26,006,274 )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(107,046,147 )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(4,791,782 )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(3,884,695 )</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18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125,366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256,659</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other expenses, net</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(4,666,416 )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(3,628,036 )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taxes</w:t>
            </w:r>
          </w:p>
        </w:tc>
        <w:tc>
          <w:tcPr>
            <w:tcW w:w="2180" w:type="dxa"/>
            <w:vAlign w:val="bottom"/>
          </w:tcPr>
          <w:p>
            <w:pPr>
              <w:spacing w:after="0"/>
              <w:rPr>
                <w:sz w:val="9"/>
                <w:szCs w:val="9"/>
                <w:color w:val="auto"/>
              </w:rPr>
            </w:pP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(30,672,690 )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(110,674,183 )</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(38,765 )</w:t>
            </w: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180" w:type="dxa"/>
            <w:vAlign w:val="bottom"/>
          </w:tcPr>
          <w:p>
            <w:pPr>
              <w:spacing w:after="0"/>
              <w:rPr>
                <w:sz w:val="10"/>
                <w:szCs w:val="10"/>
                <w:color w:val="auto"/>
              </w:rPr>
            </w:pPr>
          </w:p>
        </w:tc>
        <w:tc>
          <w:tcPr>
            <w:tcW w:w="6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Comparison of year ended December 31, 2023 and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gridSpan w:val="3"/>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jc w:val="right"/>
              <w:ind w:right="1215"/>
              <w:spacing w:after="0"/>
              <w:rPr>
                <w:sz w:val="20"/>
                <w:szCs w:val="20"/>
                <w:color w:val="auto"/>
              </w:rPr>
            </w:pPr>
            <w:r>
              <w:rPr>
                <w:rFonts w:ascii="Times New Roman" w:cs="Times New Roman" w:eastAsia="Times New Roman" w:hAnsi="Times New Roman"/>
                <w:sz w:val="8"/>
                <w:szCs w:val="8"/>
                <w:b w:val="1"/>
                <w:bCs w:val="1"/>
                <w:color w:val="auto"/>
                <w:w w:val="91"/>
              </w:rPr>
              <w:t>Change</w:t>
            </w:r>
          </w:p>
        </w:tc>
      </w:tr>
      <w:tr>
        <w:trPr>
          <w:trHeight w:val="106"/>
        </w:trPr>
        <w:tc>
          <w:tcPr>
            <w:tcW w:w="4100" w:type="dxa"/>
            <w:vAlign w:val="bottom"/>
          </w:tcPr>
          <w:p>
            <w:pPr>
              <w:spacing w:after="0"/>
              <w:rPr>
                <w:sz w:val="9"/>
                <w:szCs w:val="9"/>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2022</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w:t>
            </w:r>
          </w:p>
        </w:tc>
        <w:tc>
          <w:tcPr>
            <w:tcW w:w="1520" w:type="dxa"/>
            <w:vAlign w:val="bottom"/>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Revenues</w:t>
            </w:r>
          </w:p>
        </w:tc>
        <w:tc>
          <w:tcPr>
            <w:tcW w:w="7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2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115,159</w:t>
            </w:r>
          </w:p>
        </w:tc>
        <w:tc>
          <w:tcPr>
            <w:tcW w:w="2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29,892</w:t>
            </w:r>
          </w:p>
        </w:tc>
        <w:tc>
          <w:tcPr>
            <w:tcW w:w="1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26 %</w:t>
            </w:r>
          </w:p>
        </w:tc>
      </w:tr>
      <w:tr>
        <w:trPr>
          <w:trHeight w:val="113"/>
        </w:trPr>
        <w:tc>
          <w:tcPr>
            <w:tcW w:w="410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revenues</w:t>
            </w:r>
          </w:p>
        </w:tc>
        <w:tc>
          <w:tcPr>
            <w:tcW w:w="760" w:type="dxa"/>
            <w:vAlign w:val="bottom"/>
          </w:tcPr>
          <w:p>
            <w:pPr>
              <w:jc w:val="right"/>
              <w:ind w:right="655"/>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145,051</w:t>
            </w:r>
          </w:p>
        </w:tc>
        <w:tc>
          <w:tcPr>
            <w:tcW w:w="220" w:type="dxa"/>
            <w:vAlign w:val="bottom"/>
          </w:tcPr>
          <w:p>
            <w:pPr>
              <w:spacing w:after="0"/>
              <w:rPr>
                <w:sz w:val="9"/>
                <w:szCs w:val="9"/>
                <w:color w:val="auto"/>
              </w:rPr>
            </w:pPr>
          </w:p>
        </w:tc>
        <w:tc>
          <w:tcPr>
            <w:tcW w:w="420" w:type="dxa"/>
            <w:vAlign w:val="bottom"/>
          </w:tcPr>
          <w:p>
            <w:pPr>
              <w:jc w:val="right"/>
              <w:ind w:right="31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115,159</w:t>
            </w:r>
          </w:p>
        </w:tc>
        <w:tc>
          <w:tcPr>
            <w:tcW w:w="520" w:type="dxa"/>
            <w:vAlign w:val="bottom"/>
            <w:gridSpan w:val="2"/>
          </w:tcPr>
          <w:p>
            <w:pPr>
              <w:jc w:val="right"/>
              <w:ind w:right="260"/>
              <w:spacing w:after="0" w:line="93"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29,892</w:t>
            </w:r>
          </w:p>
        </w:tc>
        <w:tc>
          <w:tcPr>
            <w:tcW w:w="15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26 %</w:t>
            </w:r>
          </w:p>
        </w:tc>
      </w:tr>
      <w:tr>
        <w:trPr>
          <w:trHeight w:val="23"/>
        </w:trPr>
        <w:tc>
          <w:tcPr>
            <w:tcW w:w="4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$0.11 million for the year ended December 31, 2022 as compared to $0.15 million for the year ended December 31, 2023 is attributable to increased ticketing revenue from Spain.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year ended December 31, 2023, as compared to the year ended December 31, 2022:</w:t>
      </w:r>
    </w:p>
    <w:p>
      <w:pPr>
        <w:spacing w:after="0" w:line="12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Change</w:t>
            </w:r>
          </w:p>
        </w:tc>
        <w:tc>
          <w:tcPr>
            <w:tcW w:w="1040" w:type="dxa"/>
            <w:vAlign w:val="bottom"/>
          </w:tcPr>
          <w:p>
            <w:pPr>
              <w:spacing w:after="0"/>
              <w:rPr>
                <w:sz w:val="8"/>
                <w:szCs w:val="8"/>
                <w:color w:val="auto"/>
              </w:rPr>
            </w:pPr>
          </w:p>
        </w:tc>
      </w:tr>
      <w:tr>
        <w:trPr>
          <w:trHeight w:val="106"/>
        </w:trPr>
        <w:tc>
          <w:tcPr>
            <w:tcW w:w="416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jc w:val="right"/>
              <w:ind w:right="534"/>
              <w:spacing w:after="0"/>
              <w:rPr>
                <w:sz w:val="20"/>
                <w:szCs w:val="20"/>
                <w:color w:val="auto"/>
              </w:rPr>
            </w:pPr>
            <w:r>
              <w:rPr>
                <w:rFonts w:ascii="Times New Roman" w:cs="Times New Roman" w:eastAsia="Times New Roman" w:hAnsi="Times New Roman"/>
                <w:sz w:val="8"/>
                <w:szCs w:val="8"/>
                <w:b w:val="1"/>
                <w:bCs w:val="1"/>
                <w:color w:val="auto"/>
              </w:rPr>
              <w:t>$</w:t>
            </w:r>
          </w:p>
        </w:tc>
        <w:tc>
          <w:tcPr>
            <w:tcW w:w="440" w:type="dxa"/>
            <w:vAlign w:val="bottom"/>
          </w:tcPr>
          <w:p>
            <w:pPr>
              <w:spacing w:after="0"/>
              <w:rPr>
                <w:sz w:val="9"/>
                <w:szCs w:val="9"/>
                <w:color w:val="auto"/>
              </w:rPr>
            </w:pPr>
          </w:p>
        </w:tc>
        <w:tc>
          <w:tcPr>
            <w:tcW w:w="1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700" w:type="dxa"/>
            <w:vAlign w:val="bottom"/>
          </w:tcPr>
          <w:p>
            <w:pPr>
              <w:jc w:val="right"/>
              <w:ind w:right="5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620" w:type="dxa"/>
            <w:vAlign w:val="bottom"/>
            <w:gridSpan w:val="2"/>
          </w:tcPr>
          <w:p>
            <w:pPr>
              <w:jc w:val="right"/>
              <w:ind w:right="3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745,040</w:t>
            </w:r>
          </w:p>
        </w:tc>
        <w:tc>
          <w:tcPr>
            <w:tcW w:w="50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(710,259 )</w:t>
            </w: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(95) %</w:t>
            </w:r>
          </w:p>
        </w:tc>
      </w:tr>
      <w:tr>
        <w:trPr>
          <w:trHeight w:val="113"/>
        </w:trPr>
        <w:tc>
          <w:tcPr>
            <w:tcW w:w="416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6,731,254</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4,338,557</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2,392,697</w:t>
            </w:r>
          </w:p>
        </w:tc>
        <w:tc>
          <w:tcPr>
            <w:tcW w:w="44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55 %</w:t>
            </w: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7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17,986,528</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86,640,500</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(68,653,972 )</w:t>
            </w: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(79) %</w:t>
            </w:r>
          </w:p>
        </w:tc>
      </w:tr>
      <w:tr>
        <w:trPr>
          <w:trHeight w:val="113"/>
        </w:trPr>
        <w:tc>
          <w:tcPr>
            <w:tcW w:w="416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821,364</w:t>
            </w:r>
          </w:p>
        </w:tc>
        <w:tc>
          <w:tcPr>
            <w:tcW w:w="44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245 %</w:t>
            </w: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7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6,639</w:t>
            </w:r>
          </w:p>
        </w:tc>
        <w:tc>
          <w:tcPr>
            <w:tcW w:w="440" w:type="dxa"/>
            <w:vAlign w:val="bottom"/>
          </w:tcPr>
          <w:p>
            <w:pPr>
              <w:spacing w:after="0"/>
              <w:rPr>
                <w:sz w:val="9"/>
                <w:szCs w:val="9"/>
                <w:color w:val="auto"/>
              </w:rPr>
            </w:pP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3 %</w:t>
            </w:r>
          </w:p>
        </w:tc>
      </w:tr>
      <w:tr>
        <w:trPr>
          <w:trHeight w:val="113"/>
        </w:trPr>
        <w:tc>
          <w:tcPr>
            <w:tcW w:w="416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7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320" w:type="dxa"/>
            <w:vAlign w:val="bottom"/>
            <w:gridSpan w:val="2"/>
            <w:shd w:val="clear" w:color="auto" w:fill="CFF0FC"/>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(14,822,022 )</w:t>
            </w:r>
          </w:p>
        </w:tc>
        <w:tc>
          <w:tcPr>
            <w:tcW w:w="10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416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7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color w:val="auto"/>
              </w:rPr>
              <w:t>(44,438 )</w:t>
            </w:r>
          </w:p>
        </w:tc>
        <w:tc>
          <w:tcPr>
            <w:tcW w:w="10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4160" w:type="dxa"/>
            <w:vAlign w:val="bottom"/>
            <w:shd w:val="clear" w:color="auto" w:fill="CFF0FC"/>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operating expenses</w:t>
            </w:r>
          </w:p>
        </w:tc>
        <w:tc>
          <w:tcPr>
            <w:tcW w:w="700" w:type="dxa"/>
            <w:vAlign w:val="bottom"/>
            <w:shd w:val="clear" w:color="auto" w:fill="CFF0FC"/>
          </w:tcPr>
          <w:p>
            <w:pPr>
              <w:jc w:val="right"/>
              <w:ind w:right="59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w w:val="97"/>
              </w:rPr>
              <w:t>26,151,325</w:t>
            </w:r>
          </w:p>
        </w:tc>
        <w:tc>
          <w:tcPr>
            <w:tcW w:w="620" w:type="dxa"/>
            <w:vAlign w:val="bottom"/>
            <w:gridSpan w:val="2"/>
            <w:shd w:val="clear" w:color="auto" w:fill="CFF0FC"/>
          </w:tcPr>
          <w:p>
            <w:pPr>
              <w:jc w:val="right"/>
              <w:ind w:right="380"/>
              <w:spacing w:after="0" w:line="9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107,161,306</w:t>
            </w:r>
          </w:p>
        </w:tc>
        <w:tc>
          <w:tcPr>
            <w:tcW w:w="500" w:type="dxa"/>
            <w:vAlign w:val="bottom"/>
            <w:gridSpan w:val="2"/>
            <w:shd w:val="clear" w:color="auto" w:fill="CFF0FC"/>
          </w:tcPr>
          <w:p>
            <w:pPr>
              <w:jc w:val="right"/>
              <w:ind w:right="260"/>
              <w:spacing w:after="0" w:line="93" w:lineRule="exact"/>
              <w:rPr>
                <w:sz w:val="20"/>
                <w:szCs w:val="20"/>
                <w:color w:val="auto"/>
              </w:rPr>
            </w:pPr>
            <w:r>
              <w:rPr>
                <w:rFonts w:ascii="Times New Roman" w:cs="Times New Roman" w:eastAsia="Times New Roman" w:hAnsi="Times New Roman"/>
                <w:sz w:val="10"/>
                <w:szCs w:val="10"/>
                <w:color w:val="auto"/>
              </w:rPr>
              <w:t>$</w:t>
            </w:r>
          </w:p>
        </w:tc>
        <w:tc>
          <w:tcPr>
            <w:tcW w:w="1320" w:type="dxa"/>
            <w:vAlign w:val="bottom"/>
            <w:gridSpan w:val="2"/>
            <w:shd w:val="clear" w:color="auto" w:fill="CFF0FC"/>
          </w:tcPr>
          <w:p>
            <w:pPr>
              <w:jc w:val="right"/>
              <w:ind w:right="400"/>
              <w:spacing w:after="0" w:line="93" w:lineRule="exact"/>
              <w:rPr>
                <w:sz w:val="20"/>
                <w:szCs w:val="20"/>
                <w:color w:val="auto"/>
              </w:rPr>
            </w:pPr>
            <w:r>
              <w:rPr>
                <w:rFonts w:ascii="Times New Roman" w:cs="Times New Roman" w:eastAsia="Times New Roman" w:hAnsi="Times New Roman"/>
                <w:sz w:val="6"/>
                <w:szCs w:val="6"/>
                <w:color w:val="auto"/>
              </w:rPr>
              <w:t xml:space="preserve">(81,009,981 </w:t>
            </w:r>
            <w:r>
              <w:rPr>
                <w:rFonts w:ascii="Times New Roman" w:cs="Times New Roman" w:eastAsia="Times New Roman" w:hAnsi="Times New Roman"/>
                <w:sz w:val="10"/>
                <w:szCs w:val="10"/>
                <w:color w:val="auto"/>
                <w:vertAlign w:val="subscript"/>
              </w:rPr>
              <w:t>)</w:t>
            </w:r>
          </w:p>
        </w:tc>
        <w:tc>
          <w:tcPr>
            <w:tcW w:w="1040" w:type="dxa"/>
            <w:vAlign w:val="bottom"/>
            <w:shd w:val="clear" w:color="auto" w:fill="CFF0FC"/>
          </w:tcPr>
          <w:p>
            <w:pPr>
              <w:jc w:val="right"/>
              <w:ind w:right="72"/>
              <w:spacing w:after="0" w:line="93" w:lineRule="exact"/>
              <w:rPr>
                <w:sz w:val="20"/>
                <w:szCs w:val="20"/>
                <w:color w:val="auto"/>
              </w:rPr>
            </w:pPr>
            <w:r>
              <w:rPr>
                <w:rFonts w:ascii="Times New Roman" w:cs="Times New Roman" w:eastAsia="Times New Roman" w:hAnsi="Times New Roman"/>
                <w:sz w:val="10"/>
                <w:szCs w:val="10"/>
                <w:color w:val="auto"/>
              </w:rPr>
              <w:t>(76) %</w:t>
            </w:r>
          </w:p>
        </w:tc>
      </w:tr>
      <w:tr>
        <w:trPr>
          <w:trHeight w:val="23"/>
        </w:trPr>
        <w:tc>
          <w:tcPr>
            <w:tcW w:w="41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1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640" w:top="1213" w:right="116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decreased by $0.7 million, for the year ended December 31, 2023, compared to the year ended December 31, 2022. This was due to the impairment of inventory of $0.7 million in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increased by $2.4 million, for the year ended December 31, 2023, compared to the year ended December 31, 2022. This was primarily due to an increase in share-based payments of $3.3 million from a grant made in September 2023, offset by a reduction of $0.5 million and $0.4 million in advertisement and salary costs, respectively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$68.6 million, for the year ended December 31, 2023, compared to the year ended December 31, 2022. $14.6 million of the reduction related to the impairment of investment in ANY in 2022. Share-based payments to employees increased by $3.6 million due to a grant in September 2023. Share based payments to directors decreased by $36.5 million for payments to related parties 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increased by $0.8 million due to an impairment of a loan receivables to Swipeby and Moneymatic.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$0.24 million, for the year ended December 31, 2023, compared to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Impairment of goodwill</w:t>
      </w:r>
    </w:p>
    <w:p>
      <w:pPr>
        <w:spacing w:after="0" w:line="60"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Impairment of investment in ANY in the year ended December 31, 2023 decreased by $14.8 million primarily due to an impairment charge in 2022. We impaired our investment in ANY due to the loss of voting rights, the uncertainty of completing the acquisition of control of ANY at the end of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year ended December 31, 2023, as compared to the year ended December 31, 2022:</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gridSpan w:val="3"/>
          </w:tcPr>
          <w:p>
            <w:pPr>
              <w:jc w:val="right"/>
              <w:ind w:right="56"/>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60" w:type="dxa"/>
            <w:vAlign w:val="bottom"/>
            <w:gridSpan w:val="2"/>
          </w:tcPr>
          <w:p>
            <w:pPr>
              <w:jc w:val="right"/>
              <w:ind w:right="1231"/>
              <w:spacing w:after="0"/>
              <w:rPr>
                <w:sz w:val="20"/>
                <w:szCs w:val="20"/>
                <w:color w:val="auto"/>
              </w:rPr>
            </w:pPr>
            <w:r>
              <w:rPr>
                <w:rFonts w:ascii="Times New Roman" w:cs="Times New Roman" w:eastAsia="Times New Roman" w:hAnsi="Times New Roman"/>
                <w:sz w:val="8"/>
                <w:szCs w:val="8"/>
                <w:b w:val="1"/>
                <w:bCs w:val="1"/>
                <w:color w:val="auto"/>
                <w:w w:val="98"/>
              </w:rPr>
              <w:t>Change</w:t>
            </w:r>
          </w:p>
        </w:tc>
      </w:tr>
      <w:tr>
        <w:trPr>
          <w:trHeight w:val="106"/>
        </w:trPr>
        <w:tc>
          <w:tcPr>
            <w:tcW w:w="4100" w:type="dxa"/>
            <w:vAlign w:val="bottom"/>
          </w:tcPr>
          <w:p>
            <w:pPr>
              <w:spacing w:after="0"/>
              <w:rPr>
                <w:sz w:val="9"/>
                <w:szCs w:val="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w:t>
            </w:r>
          </w:p>
        </w:tc>
        <w:tc>
          <w:tcPr>
            <w:tcW w:w="1560" w:type="dxa"/>
            <w:vAlign w:val="bottom"/>
            <w:gridSpan w:val="2"/>
          </w:tcPr>
          <w:p>
            <w:pPr>
              <w:jc w:val="right"/>
              <w:ind w:right="651"/>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7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41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740" w:type="dxa"/>
            <w:vAlign w:val="bottom"/>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200" w:type="dxa"/>
            <w:vAlign w:val="bottom"/>
          </w:tcPr>
          <w:p>
            <w:pPr>
              <w:spacing w:after="0"/>
              <w:rPr>
                <w:sz w:val="9"/>
                <w:szCs w:val="9"/>
                <w:color w:val="auto"/>
              </w:rPr>
            </w:pP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200" w:type="dxa"/>
            <w:vAlign w:val="bottom"/>
          </w:tcPr>
          <w:p>
            <w:pPr>
              <w:spacing w:after="0"/>
              <w:rPr>
                <w:sz w:val="9"/>
                <w:szCs w:val="9"/>
                <w:color w:val="auto"/>
              </w:rPr>
            </w:pPr>
          </w:p>
        </w:tc>
        <w:tc>
          <w:tcPr>
            <w:tcW w:w="30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907,087</w:t>
            </w:r>
          </w:p>
        </w:tc>
        <w:tc>
          <w:tcPr>
            <w:tcW w:w="15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23 %</w:t>
            </w:r>
          </w:p>
        </w:tc>
      </w:tr>
      <w:tr>
        <w:trPr>
          <w:trHeight w:val="113"/>
        </w:trPr>
        <w:tc>
          <w:tcPr>
            <w:tcW w:w="41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7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(125,366 )</w:t>
            </w:r>
          </w:p>
        </w:tc>
        <w:tc>
          <w:tcPr>
            <w:tcW w:w="42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(256,659 )</w:t>
            </w: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131,293</w:t>
            </w:r>
          </w:p>
        </w:tc>
        <w:tc>
          <w:tcPr>
            <w:tcW w:w="15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(51 )%</w:t>
            </w:r>
          </w:p>
        </w:tc>
      </w:tr>
      <w:tr>
        <w:trPr>
          <w:trHeight w:val="115"/>
        </w:trPr>
        <w:tc>
          <w:tcPr>
            <w:tcW w:w="410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color w:val="auto"/>
              </w:rPr>
              <w:t>Total other expense, net</w:t>
            </w:r>
          </w:p>
        </w:tc>
        <w:tc>
          <w:tcPr>
            <w:tcW w:w="7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4,666,416</w:t>
            </w:r>
          </w:p>
        </w:tc>
        <w:tc>
          <w:tcPr>
            <w:tcW w:w="20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3,628,036</w:t>
            </w:r>
          </w:p>
        </w:tc>
        <w:tc>
          <w:tcPr>
            <w:tcW w:w="2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1,038,380</w:t>
            </w:r>
          </w:p>
        </w:tc>
        <w:tc>
          <w:tcPr>
            <w:tcW w:w="20" w:type="dxa"/>
            <w:vAlign w:val="bottom"/>
            <w:tcBorders>
              <w:bottom w:val="single" w:sz="8" w:color="auto"/>
            </w:tcBorders>
          </w:tcPr>
          <w:p>
            <w:pPr>
              <w:spacing w:after="0"/>
              <w:rPr>
                <w:sz w:val="10"/>
                <w:szCs w:val="10"/>
                <w:color w:val="auto"/>
              </w:rPr>
            </w:pPr>
          </w:p>
        </w:tc>
        <w:tc>
          <w:tcPr>
            <w:tcW w:w="15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29 %</w:t>
            </w:r>
          </w:p>
        </w:tc>
      </w:tr>
    </w:tbl>
    <w:p>
      <w:pPr>
        <w:spacing w:after="0" w:line="136"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 million of interest costs related to the convertible loan note.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$107.1 million for the year ended December 31, 2022 million to $26.0 million for the year ended December 31, 2023. This was due to a decrease in Operating expenses from $107.2 million for the year ended December 31, 2022 to $26.2 million for the year ended 31 December, 2023.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140" w:type="dxa"/>
            <w:vAlign w:val="bottom"/>
          </w:tcPr>
          <w:p>
            <w:pPr>
              <w:spacing w:after="0"/>
              <w:rPr>
                <w:sz w:val="9"/>
                <w:szCs w:val="9"/>
                <w:color w:val="auto"/>
              </w:rPr>
            </w:pPr>
          </w:p>
        </w:tc>
        <w:tc>
          <w:tcPr>
            <w:tcW w:w="218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1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218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r>
        <w:trPr>
          <w:trHeight w:val="113"/>
        </w:trPr>
        <w:tc>
          <w:tcPr>
            <w:tcW w:w="3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0" w:type="dxa"/>
            <w:vAlign w:val="bottom"/>
          </w:tcPr>
          <w:p>
            <w:pPr>
              <w:spacing w:after="0"/>
              <w:rPr>
                <w:sz w:val="1"/>
                <w:szCs w:val="1"/>
                <w:color w:val="auto"/>
              </w:rPr>
            </w:pPr>
          </w:p>
        </w:tc>
      </w:tr>
      <w:tr>
        <w:trPr>
          <w:trHeight w:val="113"/>
        </w:trPr>
        <w:tc>
          <w:tcPr>
            <w:tcW w:w="31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2180" w:type="dxa"/>
            <w:vAlign w:val="bottom"/>
          </w:tcPr>
          <w:p>
            <w:pPr>
              <w:spacing w:after="0"/>
              <w:rPr>
                <w:sz w:val="9"/>
                <w:szCs w:val="9"/>
                <w:color w:val="auto"/>
              </w:rPr>
            </w:pPr>
          </w:p>
        </w:tc>
        <w:tc>
          <w:tcPr>
            <w:tcW w:w="6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38,765</w:t>
            </w:r>
          </w:p>
        </w:tc>
        <w:tc>
          <w:tcPr>
            <w:tcW w:w="0" w:type="dxa"/>
            <w:vAlign w:val="bottom"/>
          </w:tcPr>
          <w:p>
            <w:pPr>
              <w:spacing w:after="0"/>
              <w:rPr>
                <w:sz w:val="1"/>
                <w:szCs w:val="1"/>
                <w:color w:val="auto"/>
              </w:rPr>
            </w:pPr>
          </w:p>
        </w:tc>
      </w:tr>
      <w:tr>
        <w:trPr>
          <w:trHeight w:val="113"/>
        </w:trPr>
        <w:tc>
          <w:tcPr>
            <w:tcW w:w="31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18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25"/>
        </w:trPr>
        <w:tc>
          <w:tcPr>
            <w:tcW w:w="3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2180" w:type="dxa"/>
            <w:vAlign w:val="bottom"/>
          </w:tcPr>
          <w:p>
            <w:pPr>
              <w:jc w:val="right"/>
              <w:ind w:right="714"/>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(106,553,691 )</w:t>
            </w: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8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82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8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•One-time impairments of the Taiwan and German businesses;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to non-recurring capital raising activities;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88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2022.</w:t>
      </w:r>
    </w:p>
    <w:p>
      <w:pPr>
        <w:spacing w:after="0" w:line="58" w:lineRule="exact"/>
        <w:rPr>
          <w:sz w:val="20"/>
          <w:szCs w:val="20"/>
          <w:color w:val="auto"/>
        </w:rPr>
      </w:pPr>
    </w:p>
    <w:p>
      <w:pPr>
        <w:ind w:left="480"/>
        <w:spacing w:after="0" w:line="245" w:lineRule="auto"/>
        <w:rPr>
          <w:sz w:val="20"/>
          <w:szCs w:val="20"/>
          <w:color w:val="auto"/>
        </w:rPr>
      </w:pPr>
      <w:r>
        <w:rPr>
          <w:rFonts w:ascii="Times New Roman" w:cs="Times New Roman" w:eastAsia="Times New Roman" w:hAnsi="Times New Roman"/>
          <w:sz w:val="10"/>
          <w:szCs w:val="10"/>
          <w:color w:val="auto"/>
        </w:rPr>
        <w:t>•Share based compensation issued to related parties represents for the year ended December 31, 2023 represents share based compensation of $ 33.4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64" w:name="page65"/>
    <w:bookmarkEnd w:id="64"/>
    <w:p>
      <w:pPr>
        <w:ind w:left="480"/>
        <w:spacing w:after="0"/>
        <w:rPr>
          <w:sz w:val="20"/>
          <w:szCs w:val="20"/>
          <w:color w:val="auto"/>
        </w:rPr>
      </w:pPr>
      <w:r>
        <w:rPr>
          <w:rFonts w:ascii="Times New Roman" w:cs="Times New Roman" w:eastAsia="Times New Roman" w:hAnsi="Times New Roman"/>
          <w:sz w:val="10"/>
          <w:szCs w:val="10"/>
          <w:color w:val="auto"/>
        </w:rPr>
        <w:t>•Share based compensation for consultancy expenses relate to shares issued to consultants for advisory services. These fees were paid primarily in relation to capital raising activities in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of these costs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300" w:type="dxa"/>
            <w:vAlign w:val="bottom"/>
          </w:tcPr>
          <w:p>
            <w:pPr>
              <w:spacing w:after="0"/>
              <w:rPr>
                <w:sz w:val="9"/>
                <w:szCs w:val="9"/>
                <w:color w:val="auto"/>
              </w:rPr>
            </w:pPr>
          </w:p>
        </w:tc>
        <w:tc>
          <w:tcPr>
            <w:tcW w:w="2020" w:type="dxa"/>
            <w:vAlign w:val="bottom"/>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300" w:type="dxa"/>
            <w:vAlign w:val="bottom"/>
          </w:tcPr>
          <w:p>
            <w:pPr>
              <w:spacing w:after="0"/>
              <w:rPr>
                <w:sz w:val="8"/>
                <w:szCs w:val="8"/>
                <w:color w:val="auto"/>
              </w:rPr>
            </w:pPr>
          </w:p>
        </w:tc>
        <w:tc>
          <w:tcPr>
            <w:tcW w:w="20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2020" w:type="dxa"/>
            <w:vAlign w:val="bottom"/>
            <w:shd w:val="clear" w:color="auto" w:fill="CFF0FC"/>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(30,736,098 )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3,884,698</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235,797</w:t>
            </w:r>
          </w:p>
        </w:tc>
        <w:tc>
          <w:tcPr>
            <w:tcW w:w="0" w:type="dxa"/>
            <w:vAlign w:val="bottom"/>
          </w:tcPr>
          <w:p>
            <w:pPr>
              <w:spacing w:after="0"/>
              <w:rPr>
                <w:sz w:val="1"/>
                <w:szCs w:val="1"/>
                <w:color w:val="auto"/>
              </w:rPr>
            </w:pPr>
          </w:p>
        </w:tc>
      </w:tr>
      <w:tr>
        <w:trPr>
          <w:trHeight w:val="113"/>
        </w:trPr>
        <w:tc>
          <w:tcPr>
            <w:tcW w:w="33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EBITDA</w:t>
            </w:r>
          </w:p>
        </w:tc>
        <w:tc>
          <w:tcPr>
            <w:tcW w:w="2020" w:type="dxa"/>
            <w:vAlign w:val="bottom"/>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(25,638,472 )</w:t>
            </w:r>
          </w:p>
        </w:tc>
        <w:tc>
          <w:tcPr>
            <w:tcW w:w="540" w:type="dxa"/>
            <w:vAlign w:val="bottom"/>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(106,553,691 )</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 loss</w:t>
            </w:r>
          </w:p>
        </w:tc>
        <w:tc>
          <w:tcPr>
            <w:tcW w:w="2020" w:type="dxa"/>
            <w:vAlign w:val="bottom"/>
          </w:tcPr>
          <w:p>
            <w:pPr>
              <w:spacing w:after="0"/>
              <w:rPr>
                <w:sz w:val="9"/>
                <w:szCs w:val="9"/>
                <w:color w:val="auto"/>
              </w:rPr>
            </w:pPr>
          </w:p>
        </w:tc>
        <w:tc>
          <w:tcPr>
            <w:tcW w:w="6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(375,298 )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(714,914 )</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in ANY</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44,438</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0" w:type="dxa"/>
            <w:vAlign w:val="bottom"/>
          </w:tcPr>
          <w:p>
            <w:pPr>
              <w:spacing w:after="0"/>
              <w:rPr>
                <w:sz w:val="1"/>
                <w:szCs w:val="1"/>
                <w:color w:val="auto"/>
              </w:rPr>
            </w:pPr>
          </w:p>
        </w:tc>
      </w:tr>
      <w:tr>
        <w:trPr>
          <w:trHeight w:val="106"/>
        </w:trPr>
        <w:tc>
          <w:tcPr>
            <w:tcW w:w="3300" w:type="dxa"/>
            <w:vAlign w:val="bottom"/>
            <w:shd w:val="clear" w:color="auto" w:fill="CFF0FC"/>
          </w:tcPr>
          <w:p>
            <w:pPr>
              <w:ind w:left="120"/>
              <w:spacing w:after="0" w:line="106" w:lineRule="exact"/>
              <w:rPr>
                <w:sz w:val="20"/>
                <w:szCs w:val="20"/>
                <w:color w:val="auto"/>
              </w:rPr>
            </w:pPr>
            <w:r>
              <w:rPr>
                <w:rFonts w:ascii="Times New Roman" w:cs="Times New Roman" w:eastAsia="Times New Roman" w:hAnsi="Times New Roman"/>
                <w:sz w:val="10"/>
                <w:szCs w:val="10"/>
                <w:color w:val="auto"/>
              </w:rPr>
              <w:t>Impairment of prepayments and other current</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color w:val="auto"/>
              </w:rPr>
              <w:t>assets</w:t>
            </w:r>
          </w:p>
        </w:tc>
        <w:tc>
          <w:tcPr>
            <w:tcW w:w="20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rPr>
              <w:t>731,940</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loan and accounts receivable .</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7,136,168</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3,002,021</w:t>
            </w:r>
          </w:p>
        </w:tc>
        <w:tc>
          <w:tcPr>
            <w:tcW w:w="540" w:type="dxa"/>
            <w:vAlign w:val="bottom"/>
          </w:tcPr>
          <w:p>
            <w:pPr>
              <w:spacing w:after="0"/>
              <w:rPr>
                <w:sz w:val="9"/>
                <w:szCs w:val="9"/>
                <w:color w:val="auto"/>
              </w:rPr>
            </w:pPr>
          </w:p>
        </w:tc>
        <w:tc>
          <w:tcPr>
            <w:tcW w:w="92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0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485,080</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0" w:type="dxa"/>
            <w:vAlign w:val="bottom"/>
          </w:tcPr>
          <w:p>
            <w:pPr>
              <w:spacing w:after="0"/>
              <w:rPr>
                <w:sz w:val="1"/>
                <w:szCs w:val="1"/>
                <w:color w:val="auto"/>
              </w:rPr>
            </w:pPr>
          </w:p>
        </w:tc>
      </w:tr>
      <w:tr>
        <w:trPr>
          <w:trHeight w:val="113"/>
        </w:trPr>
        <w:tc>
          <w:tcPr>
            <w:tcW w:w="33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Employee and Other Share-based compensation</w:t>
            </w:r>
          </w:p>
        </w:tc>
        <w:tc>
          <w:tcPr>
            <w:tcW w:w="2020" w:type="dxa"/>
            <w:vAlign w:val="bottom"/>
          </w:tcPr>
          <w:p>
            <w:pPr>
              <w:spacing w:after="0"/>
              <w:rPr>
                <w:sz w:val="9"/>
                <w:szCs w:val="9"/>
                <w:color w:val="auto"/>
              </w:rPr>
            </w:pPr>
          </w:p>
        </w:tc>
        <w:tc>
          <w:tcPr>
            <w:tcW w:w="6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5,238,117</w:t>
            </w:r>
          </w:p>
        </w:tc>
        <w:tc>
          <w:tcPr>
            <w:tcW w:w="540" w:type="dxa"/>
            <w:vAlign w:val="bottom"/>
          </w:tcPr>
          <w:p>
            <w:pPr>
              <w:spacing w:after="0"/>
              <w:rPr>
                <w:sz w:val="9"/>
                <w:szCs w:val="9"/>
                <w:color w:val="auto"/>
              </w:rPr>
            </w:pPr>
          </w:p>
        </w:tc>
        <w:tc>
          <w:tcPr>
            <w:tcW w:w="92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2,115,015</w:t>
            </w:r>
          </w:p>
        </w:tc>
        <w:tc>
          <w:tcPr>
            <w:tcW w:w="0" w:type="dxa"/>
            <w:vAlign w:val="bottom"/>
          </w:tcPr>
          <w:p>
            <w:pPr>
              <w:spacing w:after="0"/>
              <w:rPr>
                <w:sz w:val="1"/>
                <w:szCs w:val="1"/>
                <w:color w:val="auto"/>
              </w:rPr>
            </w:pPr>
          </w:p>
        </w:tc>
      </w:tr>
      <w:tr>
        <w:trPr>
          <w:trHeight w:val="113"/>
        </w:trPr>
        <w:tc>
          <w:tcPr>
            <w:tcW w:w="33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Adjusted EBITDA .</w:t>
            </w:r>
          </w:p>
        </w:tc>
        <w:tc>
          <w:tcPr>
            <w:tcW w:w="2020" w:type="dxa"/>
            <w:vAlign w:val="bottom"/>
            <w:shd w:val="clear" w:color="auto" w:fill="CFF0FC"/>
          </w:tcPr>
          <w:p>
            <w:pPr>
              <w:jc w:val="right"/>
              <w:ind w:right="7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w w:val="99"/>
              </w:rPr>
              <w:t>(15,355,075 )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(24,164,553 )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December 31, 2023 and December 31,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760" w:type="dxa"/>
            <w:vAlign w:val="bottom"/>
            <w:vMerge w:val="restart"/>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2023</w:t>
            </w:r>
          </w:p>
        </w:tc>
        <w:tc>
          <w:tcPr>
            <w:tcW w:w="11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7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Unrestricted cash and cash equivalents</w:t>
            </w:r>
          </w:p>
        </w:tc>
        <w:tc>
          <w:tcPr>
            <w:tcW w:w="2760" w:type="dxa"/>
            <w:vAlign w:val="bottom"/>
            <w:shd w:val="clear" w:color="auto" w:fill="CFF0FC"/>
          </w:tcPr>
          <w:p>
            <w:pPr>
              <w:jc w:val="right"/>
              <w:ind w:right="7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Undrawn convertible notes</w:t>
            </w:r>
          </w:p>
        </w:tc>
        <w:tc>
          <w:tcPr>
            <w:tcW w:w="2760" w:type="dxa"/>
            <w:vAlign w:val="bottom"/>
          </w:tcPr>
          <w:p>
            <w:pPr>
              <w:spacing w:after="0"/>
              <w:rPr>
                <w:sz w:val="9"/>
                <w:szCs w:val="9"/>
                <w:color w:val="auto"/>
              </w:rPr>
            </w:pPr>
          </w:p>
        </w:tc>
        <w:tc>
          <w:tcPr>
            <w:tcW w:w="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Available liquidity</w:t>
            </w:r>
          </w:p>
        </w:tc>
        <w:tc>
          <w:tcPr>
            <w:tcW w:w="2760" w:type="dxa"/>
            <w:vAlign w:val="bottom"/>
            <w:shd w:val="clear" w:color="auto" w:fill="CFF0FC"/>
          </w:tcPr>
          <w:p>
            <w:pPr>
              <w:jc w:val="right"/>
              <w:ind w:right="75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58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jc w:val="right"/>
              <w:ind w:right="1533"/>
              <w:spacing w:after="0"/>
              <w:rPr>
                <w:sz w:val="20"/>
                <w:szCs w:val="20"/>
                <w:color w:val="auto"/>
              </w:rPr>
            </w:pPr>
            <w:r>
              <w:rPr>
                <w:rFonts w:ascii="Times New Roman" w:cs="Times New Roman" w:eastAsia="Times New Roman" w:hAnsi="Times New Roman"/>
                <w:sz w:val="10"/>
                <w:szCs w:val="10"/>
                <w:color w:val="auto"/>
              </w:rPr>
              <w:t>55</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280" w:type="dxa"/>
            <w:vAlign w:val="bottom"/>
          </w:tcPr>
          <w:p>
            <w:pPr>
              <w:spacing w:after="0"/>
              <w:rPr>
                <w:sz w:val="9"/>
                <w:szCs w:val="9"/>
                <w:color w:val="auto"/>
              </w:rPr>
            </w:pPr>
          </w:p>
        </w:tc>
        <w:tc>
          <w:tcPr>
            <w:tcW w:w="204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Year Ended December 31,</w:t>
            </w:r>
          </w:p>
        </w:tc>
        <w:tc>
          <w:tcPr>
            <w:tcW w:w="920" w:type="dxa"/>
            <w:vAlign w:val="bottom"/>
            <w:vMerge w:val="restart"/>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328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204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w w:val="99"/>
              </w:rPr>
              <w:t>(13,001,875 )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(26,788,906 )</w:t>
            </w:r>
          </w:p>
        </w:tc>
        <w:tc>
          <w:tcPr>
            <w:tcW w:w="0" w:type="dxa"/>
            <w:vAlign w:val="bottom"/>
          </w:tcPr>
          <w:p>
            <w:pPr>
              <w:spacing w:after="0"/>
              <w:rPr>
                <w:sz w:val="1"/>
                <w:szCs w:val="1"/>
                <w:color w:val="auto"/>
              </w:rPr>
            </w:pPr>
          </w:p>
        </w:tc>
      </w:tr>
      <w:tr>
        <w:trPr>
          <w:trHeight w:val="113"/>
        </w:trPr>
        <w:tc>
          <w:tcPr>
            <w:tcW w:w="32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2040" w:type="dxa"/>
            <w:vAlign w:val="bottom"/>
          </w:tcPr>
          <w:p>
            <w:pPr>
              <w:spacing w:after="0"/>
              <w:rPr>
                <w:sz w:val="9"/>
                <w:szCs w:val="9"/>
                <w:color w:val="auto"/>
              </w:rPr>
            </w:pPr>
          </w:p>
        </w:tc>
        <w:tc>
          <w:tcPr>
            <w:tcW w:w="66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(1,781,524 )</w:t>
            </w:r>
          </w:p>
        </w:tc>
        <w:tc>
          <w:tcPr>
            <w:tcW w:w="54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(36,854 )</w:t>
            </w: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204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14,712,061</w:t>
            </w:r>
          </w:p>
        </w:tc>
        <w:tc>
          <w:tcPr>
            <w:tcW w:w="54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23,999,920</w:t>
            </w:r>
          </w:p>
        </w:tc>
        <w:tc>
          <w:tcPr>
            <w:tcW w:w="0" w:type="dxa"/>
            <w:vAlign w:val="bottom"/>
          </w:tcPr>
          <w:p>
            <w:pPr>
              <w:spacing w:after="0"/>
              <w:rPr>
                <w:sz w:val="1"/>
                <w:szCs w:val="1"/>
                <w:color w:val="auto"/>
              </w:rPr>
            </w:pPr>
          </w:p>
        </w:tc>
      </w:tr>
      <w:tr>
        <w:trPr>
          <w:trHeight w:val="106"/>
        </w:trPr>
        <w:tc>
          <w:tcPr>
            <w:tcW w:w="32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040" w:type="dxa"/>
            <w:vAlign w:val="bottom"/>
          </w:tcPr>
          <w:p>
            <w:pPr>
              <w:spacing w:after="0"/>
              <w:rPr>
                <w:sz w:val="10"/>
                <w:szCs w:val="10"/>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42,399</w:t>
            </w:r>
          </w:p>
        </w:tc>
        <w:tc>
          <w:tcPr>
            <w:tcW w:w="540" w:type="dxa"/>
            <w:vAlign w:val="bottom"/>
          </w:tcPr>
          <w:p>
            <w:pPr>
              <w:spacing w:after="0"/>
              <w:rPr>
                <w:sz w:val="10"/>
                <w:szCs w:val="10"/>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177,287</w:t>
            </w:r>
          </w:p>
        </w:tc>
        <w:tc>
          <w:tcPr>
            <w:tcW w:w="0" w:type="dxa"/>
            <w:vAlign w:val="bottom"/>
          </w:tcPr>
          <w:p>
            <w:pPr>
              <w:spacing w:after="0"/>
              <w:rPr>
                <w:sz w:val="1"/>
                <w:szCs w:val="1"/>
                <w:color w:val="auto"/>
              </w:rPr>
            </w:pPr>
          </w:p>
        </w:tc>
      </w:tr>
      <w:tr>
        <w:trPr>
          <w:trHeight w:val="113"/>
        </w:trPr>
        <w:tc>
          <w:tcPr>
            <w:tcW w:w="32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040" w:type="dxa"/>
            <w:vAlign w:val="bottom"/>
            <w:shd w:val="clear" w:color="auto" w:fill="CFF0FC"/>
          </w:tcPr>
          <w:p>
            <w:pPr>
              <w:jc w:val="right"/>
              <w:ind w:right="7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(28,939 )</w:t>
            </w:r>
          </w:p>
        </w:tc>
        <w:tc>
          <w:tcPr>
            <w:tcW w:w="540" w:type="dxa"/>
            <w:vAlign w:val="bottom"/>
            <w:shd w:val="clear" w:color="auto" w:fill="CFF0FC"/>
          </w:tcPr>
          <w:p>
            <w:pPr>
              <w:jc w:val="right"/>
              <w:ind w:right="3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(2,648,553 )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5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color w:val="auto"/>
        </w:rPr>
        <w:t>We have debt outstanding to DBLP Sea Cow Limited (a company incorporated in the Seychelles)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which is wholly legally owned by Daniel Wagner and beneficially owned by John Wagner, in the amounts of $447,067. There are no formal loan documents in place and no interest is payable.</w:t>
      </w:r>
    </w:p>
    <w:p>
      <w:pPr>
        <w:spacing w:after="0" w:line="99"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at year ended December 31, 2023 we had a secured convertible Loan Note Instrument in respect of $39,625,000 in aggregate principal amount of loan notes of $1.00 each in the capital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6"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66" w:name="page67"/>
    <w:bookmarkEnd w:id="66"/>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right="80"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09"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18"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2023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68" w:name="page69"/>
    <w:bookmarkEnd w:id="68"/>
    <w:p>
      <w:pPr>
        <w:ind w:right="40" w:firstLine="705"/>
        <w:spacing w:after="0" w:line="243" w:lineRule="auto"/>
        <w:rPr>
          <w:sz w:val="20"/>
          <w:szCs w:val="20"/>
          <w:color w:val="auto"/>
        </w:rPr>
      </w:pPr>
      <w:r>
        <w:rPr>
          <w:rFonts w:ascii="Times New Roman" w:cs="Times New Roman" w:eastAsia="Times New Roman" w:hAnsi="Times New Roman"/>
          <w:sz w:val="10"/>
          <w:szCs w:val="10"/>
          <w:color w:val="auto"/>
        </w:rPr>
        <w:t>On September 6, 2024, YA and Rezolve amended and restated the YA Agreement (the “</w:t>
      </w:r>
      <w:r>
        <w:rPr>
          <w:rFonts w:ascii="Times New Roman" w:cs="Times New Roman" w:eastAsia="Times New Roman" w:hAnsi="Times New Roman"/>
          <w:sz w:val="10"/>
          <w:szCs w:val="10"/>
          <w:b w:val="1"/>
          <w:bCs w:val="1"/>
          <w:i w:val="1"/>
          <w:iCs w:val="1"/>
          <w:color w:val="auto"/>
        </w:rPr>
        <w:t>Second A&amp;R YA Agreement</w:t>
      </w:r>
      <w:r>
        <w:rPr>
          <w:rFonts w:ascii="Times New Roman" w:cs="Times New Roman" w:eastAsia="Times New Roman" w:hAnsi="Times New Roman"/>
          <w:sz w:val="10"/>
          <w:szCs w:val="10"/>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Additional YA Note and the third tranche in an original principal amount of Two Million Five Hundred Thousand Dollars ($2,500,000) that was funded as part of the Third YA Note. The Second A&amp;R YA Agreement superseded the original agreement.</w:t>
      </w:r>
    </w:p>
    <w:p>
      <w:pPr>
        <w:spacing w:after="0" w:line="44" w:lineRule="exact"/>
        <w:rPr>
          <w:sz w:val="20"/>
          <w:szCs w:val="20"/>
          <w:color w:val="auto"/>
        </w:rPr>
      </w:pPr>
    </w:p>
    <w:p>
      <w:pPr>
        <w:ind w:right="200" w:firstLine="705"/>
        <w:spacing w:after="0" w:line="247"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auto"/>
        </w:rPr>
        <w:t>YA Note Amendment</w:t>
      </w:r>
      <w:r>
        <w:rPr>
          <w:rFonts w:ascii="Times New Roman" w:cs="Times New Roman" w:eastAsia="Times New Roman" w:hAnsi="Times New Roman"/>
          <w:sz w:val="10"/>
          <w:szCs w:val="10"/>
          <w:color w:val="auto"/>
        </w:rPr>
        <w:t>” and the YA Note, as amended by the YA Note Amendment, the “</w:t>
      </w:r>
      <w:r>
        <w:rPr>
          <w:rFonts w:ascii="Times New Roman" w:cs="Times New Roman" w:eastAsia="Times New Roman" w:hAnsi="Times New Roman"/>
          <w:sz w:val="10"/>
          <w:szCs w:val="10"/>
          <w:b w:val="1"/>
          <w:bCs w:val="1"/>
          <w:i w:val="1"/>
          <w:iCs w:val="1"/>
          <w:color w:val="auto"/>
        </w:rPr>
        <w:t>Amended YA Note</w:t>
      </w:r>
      <w:r>
        <w:rPr>
          <w:rFonts w:ascii="Times New Roman" w:cs="Times New Roman" w:eastAsia="Times New Roman" w:hAnsi="Times New Roman"/>
          <w:sz w:val="10"/>
          <w:szCs w:val="10"/>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42" w:lineRule="exact"/>
        <w:rPr>
          <w:sz w:val="20"/>
          <w:szCs w:val="20"/>
          <w:color w:val="auto"/>
        </w:rPr>
      </w:pPr>
    </w:p>
    <w:p>
      <w:pPr>
        <w:ind w:right="40" w:firstLine="705"/>
        <w:spacing w:after="0" w:line="243" w:lineRule="auto"/>
        <w:rPr>
          <w:sz w:val="20"/>
          <w:szCs w:val="20"/>
          <w:color w:val="auto"/>
        </w:rPr>
      </w:pPr>
      <w:r>
        <w:rPr>
          <w:rFonts w:ascii="Times New Roman" w:cs="Times New Roman" w:eastAsia="Times New Roman" w:hAnsi="Times New Roman"/>
          <w:sz w:val="10"/>
          <w:szCs w:val="10"/>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0"/>
          <w:szCs w:val="10"/>
          <w:b w:val="1"/>
          <w:bCs w:val="1"/>
          <w:i w:val="1"/>
          <w:iCs w:val="1"/>
          <w:color w:val="auto"/>
        </w:rPr>
        <w:t>Second YA Note</w:t>
      </w:r>
      <w:r>
        <w:rPr>
          <w:rFonts w:ascii="Times New Roman" w:cs="Times New Roman" w:eastAsia="Times New Roman" w:hAnsi="Times New Roman"/>
          <w:sz w:val="10"/>
          <w:szCs w:val="10"/>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$ 2,500,000 (the "</w:t>
      </w:r>
      <w:r>
        <w:rPr>
          <w:rFonts w:ascii="Times New Roman" w:cs="Times New Roman" w:eastAsia="Times New Roman" w:hAnsi="Times New Roman"/>
          <w:sz w:val="10"/>
          <w:szCs w:val="10"/>
          <w:b w:val="1"/>
          <w:bCs w:val="1"/>
          <w:i w:val="1"/>
          <w:iCs w:val="1"/>
          <w:color w:val="auto"/>
        </w:rPr>
        <w:t>Third YA Note</w:t>
      </w:r>
      <w:r>
        <w:rPr>
          <w:rFonts w:ascii="Times New Roman" w:cs="Times New Roman" w:eastAsia="Times New Roman" w:hAnsi="Times New Roman"/>
          <w:sz w:val="10"/>
          <w:szCs w:val="10"/>
          <w:color w:val="auto"/>
        </w:rPr>
        <w:t>", and together with the Second YA Note, the "</w:t>
      </w:r>
      <w:r>
        <w:rPr>
          <w:rFonts w:ascii="Times New Roman" w:cs="Times New Roman" w:eastAsia="Times New Roman" w:hAnsi="Times New Roman"/>
          <w:sz w:val="10"/>
          <w:szCs w:val="10"/>
          <w:b w:val="1"/>
          <w:bCs w:val="1"/>
          <w:i w:val="1"/>
          <w:iCs w:val="1"/>
          <w:color w:val="auto"/>
        </w:rPr>
        <w:t>Additional YA Notes</w:t>
      </w:r>
      <w:r>
        <w:rPr>
          <w:rFonts w:ascii="Times New Roman" w:cs="Times New Roman" w:eastAsia="Times New Roman" w:hAnsi="Times New Roman"/>
          <w:sz w:val="10"/>
          <w:szCs w:val="10"/>
          <w:color w:val="auto"/>
        </w:rPr>
        <w:t>") . The Additional YA Notes were issued at a 5% issue discount. The Additional YA Notes bear interest at an annual rate of 10% of the outstanding principal balance and matures on September 11, 2025.</w:t>
      </w:r>
    </w:p>
    <w:p>
      <w:pPr>
        <w:spacing w:after="0" w:line="104" w:lineRule="exact"/>
        <w:rPr>
          <w:sz w:val="20"/>
          <w:szCs w:val="20"/>
          <w:color w:val="auto"/>
        </w:rPr>
      </w:pPr>
    </w:p>
    <w:p>
      <w:pPr>
        <w:ind w:right="80" w:firstLine="705"/>
        <w:spacing w:after="0" w:line="267" w:lineRule="auto"/>
        <w:rPr>
          <w:sz w:val="20"/>
          <w:szCs w:val="20"/>
          <w:color w:val="auto"/>
        </w:rPr>
      </w:pPr>
      <w:r>
        <w:rPr>
          <w:rFonts w:ascii="Times New Roman" w:cs="Times New Roman" w:eastAsia="Times New Roman" w:hAnsi="Times New Roman"/>
          <w:sz w:val="9"/>
          <w:szCs w:val="9"/>
          <w:color w:val="auto"/>
        </w:rPr>
        <w:t>The Amended YA Note and Additional YA Notes (together, the "</w:t>
      </w:r>
      <w:r>
        <w:rPr>
          <w:rFonts w:ascii="Times New Roman" w:cs="Times New Roman" w:eastAsia="Times New Roman" w:hAnsi="Times New Roman"/>
          <w:sz w:val="9"/>
          <w:szCs w:val="9"/>
          <w:b w:val="1"/>
          <w:bCs w:val="1"/>
          <w:i w:val="1"/>
          <w:iCs w:val="1"/>
          <w:color w:val="auto"/>
        </w:rPr>
        <w:t>YA Notes</w:t>
      </w:r>
      <w:r>
        <w:rPr>
          <w:rFonts w:ascii="Times New Roman" w:cs="Times New Roman" w:eastAsia="Times New Roman" w:hAnsi="Times New Roman"/>
          <w:sz w:val="9"/>
          <w:szCs w:val="9"/>
          <w:color w:val="auto"/>
        </w:rPr>
        <w:t>") are convertible into Ordinary Shares. The noteholder may elect to convert all or part of the YA Notes into ordinary shares in Rezolve AI Limited at the “</w:t>
      </w:r>
      <w:r>
        <w:rPr>
          <w:rFonts w:ascii="Times New Roman" w:cs="Times New Roman" w:eastAsia="Times New Roman" w:hAnsi="Times New Roman"/>
          <w:sz w:val="9"/>
          <w:szCs w:val="9"/>
          <w:b w:val="1"/>
          <w:bCs w:val="1"/>
          <w:i w:val="1"/>
          <w:iCs w:val="1"/>
          <w:color w:val="auto"/>
        </w:rPr>
        <w:t>Conversion Price</w:t>
      </w:r>
      <w:r>
        <w:rPr>
          <w:rFonts w:ascii="Times New Roman" w:cs="Times New Roman" w:eastAsia="Times New Roman" w:hAnsi="Times New Roman"/>
          <w:sz w:val="9"/>
          <w:szCs w:val="9"/>
          <w:color w:val="auto"/>
        </w:rPr>
        <w:t>” (being the lower of (i) $ 10 per share (the “</w:t>
      </w:r>
      <w:r>
        <w:rPr>
          <w:rFonts w:ascii="Times New Roman" w:cs="Times New Roman" w:eastAsia="Times New Roman" w:hAnsi="Times New Roman"/>
          <w:sz w:val="9"/>
          <w:szCs w:val="9"/>
          <w:b w:val="1"/>
          <w:bCs w:val="1"/>
          <w:i w:val="1"/>
          <w:iCs w:val="1"/>
          <w:color w:val="auto"/>
        </w:rPr>
        <w:t>Fixed Price</w:t>
      </w:r>
      <w:r>
        <w:rPr>
          <w:rFonts w:ascii="Times New Roman" w:cs="Times New Roman" w:eastAsia="Times New Roman" w:hAnsi="Times New Roman"/>
          <w:sz w:val="9"/>
          <w:szCs w:val="9"/>
          <w:color w:val="auto"/>
        </w:rPr>
        <w:t>”) or (ii) 90% of the lowest daily VWAP during the ten (10) consecutive trading days immediately preceding the conversion date or other later date of determination (the “</w:t>
      </w:r>
      <w:r>
        <w:rPr>
          <w:rFonts w:ascii="Times New Roman" w:cs="Times New Roman" w:eastAsia="Times New Roman" w:hAnsi="Times New Roman"/>
          <w:sz w:val="9"/>
          <w:szCs w:val="9"/>
          <w:b w:val="1"/>
          <w:bCs w:val="1"/>
          <w:i w:val="1"/>
          <w:iCs w:val="1"/>
          <w:color w:val="auto"/>
        </w:rPr>
        <w:t>YA Variable Price</w:t>
      </w:r>
      <w:r>
        <w:rPr>
          <w:rFonts w:ascii="Times New Roman" w:cs="Times New Roman" w:eastAsia="Times New Roman" w:hAnsi="Times New Roman"/>
          <w:sz w:val="9"/>
          <w:szCs w:val="9"/>
          <w:color w:val="auto"/>
        </w:rPr>
        <w:t>”) but which YA Variable Price shall not be lower than the “</w:t>
      </w:r>
      <w:r>
        <w:rPr>
          <w:rFonts w:ascii="Times New Roman" w:cs="Times New Roman" w:eastAsia="Times New Roman" w:hAnsi="Times New Roman"/>
          <w:sz w:val="9"/>
          <w:szCs w:val="9"/>
          <w:b w:val="1"/>
          <w:bCs w:val="1"/>
          <w:i w:val="1"/>
          <w:iCs w:val="1"/>
          <w:color w:val="auto"/>
        </w:rPr>
        <w:t>YA Floor Price</w:t>
      </w:r>
      <w:r>
        <w:rPr>
          <w:rFonts w:ascii="Times New Roman" w:cs="Times New Roman" w:eastAsia="Times New Roman" w:hAnsi="Times New Roman"/>
          <w:sz w:val="9"/>
          <w:szCs w:val="9"/>
          <w:color w:val="auto"/>
        </w:rPr>
        <w:t xml:space="preserve">”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 </w:t>
      </w:r>
      <w:r>
        <w:rPr>
          <w:rFonts w:ascii="Times New Roman" w:cs="Times New Roman" w:eastAsia="Times New Roman" w:hAnsi="Times New Roman"/>
          <w:sz w:val="9"/>
          <w:szCs w:val="9"/>
          <w:b w:val="1"/>
          <w:bCs w:val="1"/>
          <w:i w:val="1"/>
          <w:iCs w:val="1"/>
          <w:color w:val="auto"/>
        </w:rPr>
        <w:t>YA Exchange Cap</w:t>
      </w:r>
      <w:r>
        <w:rPr>
          <w:rFonts w:ascii="Times New Roman" w:cs="Times New Roman" w:eastAsia="Times New Roman" w:hAnsi="Times New Roman"/>
          <w:sz w:val="9"/>
          <w:szCs w:val="9"/>
          <w:color w:val="auto"/>
        </w:rPr>
        <w:t>”) (unless Rezolve AI Limited shareholders have approved such issuances, or if Rezolve AI Limited is permitted to follow (and has elected to do so) its home country practices instead of the stockholder approval requirements of Nasdaq Rule 5635) .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9"/>
          <w:szCs w:val="9"/>
          <w:b w:val="1"/>
          <w:bCs w:val="1"/>
          <w:i w:val="1"/>
          <w:iCs w:val="1"/>
          <w:color w:val="auto"/>
        </w:rPr>
        <w:t>YA Note Amendment</w:t>
      </w:r>
      <w:r>
        <w:rPr>
          <w:rFonts w:ascii="Times New Roman" w:cs="Times New Roman" w:eastAsia="Times New Roman" w:hAnsi="Times New Roman"/>
          <w:sz w:val="9"/>
          <w:szCs w:val="9"/>
          <w:color w:val="auto"/>
        </w:rPr>
        <w:t>” and the YA Note, as amended by the YA Note Amendment, the “</w:t>
      </w:r>
      <w:r>
        <w:rPr>
          <w:rFonts w:ascii="Times New Roman" w:cs="Times New Roman" w:eastAsia="Times New Roman" w:hAnsi="Times New Roman"/>
          <w:sz w:val="9"/>
          <w:szCs w:val="9"/>
          <w:b w:val="1"/>
          <w:bCs w:val="1"/>
          <w:i w:val="1"/>
          <w:iCs w:val="1"/>
          <w:color w:val="auto"/>
        </w:rPr>
        <w:t>Amended YA Note</w:t>
      </w:r>
      <w:r>
        <w:rPr>
          <w:rFonts w:ascii="Times New Roman" w:cs="Times New Roman" w:eastAsia="Times New Roman" w:hAnsi="Times New Roman"/>
          <w:sz w:val="9"/>
          <w:szCs w:val="9"/>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9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03" w:lineRule="exact"/>
        <w:rPr>
          <w:sz w:val="20"/>
          <w:szCs w:val="20"/>
          <w:color w:val="auto"/>
        </w:rPr>
      </w:pPr>
    </w:p>
    <w:p>
      <w:pPr>
        <w:ind w:right="60" w:firstLine="480"/>
        <w:spacing w:after="0" w:line="274" w:lineRule="auto"/>
        <w:rPr>
          <w:sz w:val="20"/>
          <w:szCs w:val="20"/>
          <w:color w:val="auto"/>
        </w:rPr>
      </w:pPr>
      <w:r>
        <w:rPr>
          <w:rFonts w:ascii="Times New Roman" w:cs="Times New Roman" w:eastAsia="Times New Roman" w:hAnsi="Times New Roman"/>
          <w:sz w:val="9"/>
          <w:szCs w:val="9"/>
          <w:color w:val="auto"/>
        </w:rPr>
        <w:t>If a “</w:t>
      </w:r>
      <w:r>
        <w:rPr>
          <w:rFonts w:ascii="Times New Roman" w:cs="Times New Roman" w:eastAsia="Times New Roman" w:hAnsi="Times New Roman"/>
          <w:sz w:val="9"/>
          <w:szCs w:val="9"/>
          <w:b w:val="1"/>
          <w:bCs w:val="1"/>
          <w:i w:val="1"/>
          <w:iCs w:val="1"/>
          <w:color w:val="auto"/>
        </w:rPr>
        <w:t>YA Trigger Event</w:t>
      </w:r>
      <w:r>
        <w:rPr>
          <w:rFonts w:ascii="Times New Roman" w:cs="Times New Roman" w:eastAsia="Times New Roman" w:hAnsi="Times New Roman"/>
          <w:sz w:val="9"/>
          <w:szCs w:val="9"/>
          <w:color w:val="auto"/>
        </w:rPr>
        <w:t>” occurs (being where (i) the daily VWAP is less than the YA Floor Price for five (5) trading days during a period of seven (7) consecutive trading days (the “</w:t>
      </w:r>
      <w:r>
        <w:rPr>
          <w:rFonts w:ascii="Times New Roman" w:cs="Times New Roman" w:eastAsia="Times New Roman" w:hAnsi="Times New Roman"/>
          <w:sz w:val="9"/>
          <w:szCs w:val="9"/>
          <w:b w:val="1"/>
          <w:bCs w:val="1"/>
          <w:i w:val="1"/>
          <w:iCs w:val="1"/>
          <w:color w:val="auto"/>
        </w:rPr>
        <w:t>YA Floor Price Trigger</w:t>
      </w:r>
      <w:r>
        <w:rPr>
          <w:rFonts w:ascii="Times New Roman" w:cs="Times New Roman" w:eastAsia="Times New Roman" w:hAnsi="Times New Roman"/>
          <w:sz w:val="9"/>
          <w:szCs w:val="9"/>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9"/>
          <w:szCs w:val="9"/>
          <w:b w:val="1"/>
          <w:bCs w:val="1"/>
          <w:i w:val="1"/>
          <w:iCs w:val="1"/>
          <w:color w:val="auto"/>
        </w:rPr>
        <w:t>YA Exchange Cap Trigger</w:t>
      </w:r>
      <w:r>
        <w:rPr>
          <w:rFonts w:ascii="Times New Roman" w:cs="Times New Roman" w:eastAsia="Times New Roman" w:hAnsi="Times New Roman"/>
          <w:sz w:val="9"/>
          <w:szCs w:val="9"/>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w:t>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3" w:right="600" w:bottom="1440" w:gutter="0" w:footer="0" w:header="0"/>
        </w:sectPr>
      </w:pPr>
    </w:p>
    <w:bookmarkStart w:id="69" w:name="page70"/>
    <w:bookmarkEnd w:id="69"/>
    <w:p>
      <w:pPr>
        <w:ind w:right="20"/>
        <w:spacing w:after="0" w:line="255" w:lineRule="auto"/>
        <w:rPr>
          <w:sz w:val="20"/>
          <w:szCs w:val="20"/>
          <w:color w:val="auto"/>
        </w:rPr>
      </w:pPr>
      <w:r>
        <w:rPr>
          <w:rFonts w:ascii="Times New Roman" w:cs="Times New Roman" w:eastAsia="Times New Roman" w:hAnsi="Times New Roman"/>
          <w:sz w:val="10"/>
          <w:szCs w:val="10"/>
          <w:color w:val="auto"/>
        </w:rPr>
        <w:t>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The YA Notes have certain rights and obligations under an Intercreditor Agreement entered into between Rezolve Limited, Rezolve AI Limited, YA, Apeiron Investment Group Ltd, and GLAS Trust Corporation Limited as security trustee for Apeiron Investment Group Ltd (“</w:t>
      </w:r>
      <w:r>
        <w:rPr>
          <w:rFonts w:ascii="Times New Roman" w:cs="Times New Roman" w:eastAsia="Times New Roman" w:hAnsi="Times New Roman"/>
          <w:sz w:val="10"/>
          <w:szCs w:val="10"/>
          <w:b w:val="1"/>
          <w:bCs w:val="1"/>
          <w:i w:val="1"/>
          <w:iCs w:val="1"/>
          <w:color w:val="auto"/>
        </w:rPr>
        <w:t>Intercreditor Agreement</w:t>
      </w:r>
      <w:r>
        <w:rPr>
          <w:rFonts w:ascii="Times New Roman" w:cs="Times New Roman" w:eastAsia="Times New Roman" w:hAnsi="Times New Roman"/>
          <w:sz w:val="10"/>
          <w:szCs w:val="10"/>
          <w:color w:val="auto"/>
        </w:rPr>
        <w: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16" w:lineRule="exact"/>
        <w:rPr>
          <w:sz w:val="20"/>
          <w:szCs w:val="20"/>
          <w:color w:val="auto"/>
        </w:rPr>
      </w:pPr>
    </w:p>
    <w:p>
      <w:pPr>
        <w:ind w:firstLine="480"/>
        <w:spacing w:after="0" w:line="231" w:lineRule="auto"/>
        <w:rPr>
          <w:sz w:val="20"/>
          <w:szCs w:val="20"/>
          <w:color w:val="auto"/>
        </w:rPr>
      </w:pPr>
      <w:r>
        <w:rPr>
          <w:rFonts w:ascii="Times New Roman" w:cs="Times New Roman" w:eastAsia="Times New Roman" w:hAnsi="Times New Roman"/>
          <w:sz w:val="10"/>
          <w:szCs w:val="10"/>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0"/>
          <w:szCs w:val="10"/>
          <w:b w:val="1"/>
          <w:bCs w:val="1"/>
          <w:i w:val="1"/>
          <w:iCs w:val="1"/>
          <w:color w:val="auto"/>
        </w:rPr>
        <w:t>Commitment Fee</w:t>
      </w:r>
      <w:r>
        <w:rPr>
          <w:rFonts w:ascii="Times New Roman" w:cs="Times New Roman" w:eastAsia="Times New Roman" w:hAnsi="Times New Roman"/>
          <w:sz w:val="10"/>
          <w:szCs w:val="10"/>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11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0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120" w:firstLine="480"/>
        <w:spacing w:after="0" w:line="285" w:lineRule="auto"/>
        <w:rPr>
          <w:sz w:val="20"/>
          <w:szCs w:val="20"/>
          <w:color w:val="auto"/>
        </w:rPr>
      </w:pPr>
      <w:r>
        <w:rPr>
          <w:rFonts w:ascii="Times New Roman" w:cs="Times New Roman" w:eastAsia="Times New Roman" w:hAnsi="Times New Roman"/>
          <w:sz w:val="9"/>
          <w:szCs w:val="9"/>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0"/>
          <w:szCs w:val="10"/>
          <w:color w:val="auto"/>
        </w:rPr>
        <w:t>default has occurred and is continuing, an additional 10% interest rate will apply) and are redeemable by the noteholder on certain events, including, without limitation, the failure of Rezolve to pay any amount due thereunder when due.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Convertible Notes are redeemable by the noteholders in certain events, including, without limitation, the failure of Rezolve to pay any amount due thereunder when due.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Rezolve has agreed that, within forty five (45) days from the date of listing on Nasdaq (the “</w:t>
      </w:r>
      <w:r>
        <w:rPr>
          <w:rFonts w:ascii="Times New Roman" w:cs="Times New Roman" w:eastAsia="Times New Roman" w:hAnsi="Times New Roman"/>
          <w:sz w:val="10"/>
          <w:szCs w:val="10"/>
          <w:b w:val="1"/>
          <w:bCs w:val="1"/>
          <w:i w:val="1"/>
          <w:iCs w:val="1"/>
          <w:color w:val="auto"/>
        </w:rPr>
        <w:t>Registration Deadline</w:t>
      </w:r>
      <w:r>
        <w:rPr>
          <w:rFonts w:ascii="Times New Roman" w:cs="Times New Roman" w:eastAsia="Times New Roman" w:hAnsi="Times New Roman"/>
          <w:sz w:val="10"/>
          <w:szCs w:val="10"/>
          <w:color w:val="auto"/>
        </w:rPr>
        <w:t>”), it will file with the SEC a registration statement (the “</w:t>
      </w:r>
      <w:r>
        <w:rPr>
          <w:rFonts w:ascii="Times New Roman" w:cs="Times New Roman" w:eastAsia="Times New Roman" w:hAnsi="Times New Roman"/>
          <w:sz w:val="10"/>
          <w:szCs w:val="10"/>
          <w:b w:val="1"/>
          <w:bCs w:val="1"/>
          <w:i w:val="1"/>
          <w:iCs w:val="1"/>
          <w:color w:val="auto"/>
        </w:rPr>
        <w:t>Registration Statement</w:t>
      </w:r>
      <w:r>
        <w:rPr>
          <w:rFonts w:ascii="Times New Roman" w:cs="Times New Roman" w:eastAsia="Times New Roman" w:hAnsi="Times New Roman"/>
          <w:sz w:val="10"/>
          <w:szCs w:val="10"/>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04"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0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If the SEC prevents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9"/>
          <w:szCs w:val="9"/>
          <w:b w:val="1"/>
          <w:bCs w:val="1"/>
          <w:i w:val="1"/>
          <w:iCs w:val="1"/>
          <w:color w:val="auto"/>
        </w:rPr>
        <w:t>Major Investor</w:t>
      </w:r>
      <w:r>
        <w:rPr>
          <w:rFonts w:ascii="Times New Roman" w:cs="Times New Roman" w:eastAsia="Times New Roman" w:hAnsi="Times New Roman"/>
          <w:sz w:val="9"/>
          <w:szCs w:val="9"/>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 The interest rate was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71" w:name="page72"/>
    <w:bookmarkEnd w:id="71"/>
    <w:p>
      <w:pPr>
        <w:ind w:right="100"/>
        <w:spacing w:after="0" w:line="245" w:lineRule="auto"/>
        <w:rPr>
          <w:sz w:val="20"/>
          <w:szCs w:val="20"/>
          <w:color w:val="auto"/>
        </w:rPr>
      </w:pPr>
      <w:r>
        <w:rPr>
          <w:rFonts w:ascii="Times New Roman" w:cs="Times New Roman" w:eastAsia="Times New Roman" w:hAnsi="Times New Roman"/>
          <w:sz w:val="10"/>
          <w:szCs w:val="10"/>
          <w:color w:val="auto"/>
        </w:rPr>
        <w:t>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 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08" w:lineRule="exact"/>
        <w:rPr>
          <w:sz w:val="20"/>
          <w:szCs w:val="20"/>
          <w:color w:val="auto"/>
        </w:rPr>
      </w:pPr>
    </w:p>
    <w:p>
      <w:pPr>
        <w:jc w:val="both"/>
        <w:ind w:right="20" w:firstLine="705"/>
        <w:spacing w:after="0" w:line="247" w:lineRule="auto"/>
        <w:rPr>
          <w:sz w:val="20"/>
          <w:szCs w:val="20"/>
          <w:color w:val="auto"/>
        </w:rPr>
      </w:pPr>
      <w:r>
        <w:rPr>
          <w:rFonts w:ascii="Times New Roman" w:cs="Times New Roman" w:eastAsia="Times New Roman" w:hAnsi="Times New Roman"/>
          <w:sz w:val="10"/>
          <w:szCs w:val="10"/>
          <w:color w:val="auto"/>
        </w:rPr>
        <w:t>On December 17, the Company, Apeiron Investment Group Ltd. and Bradley Wickens, the beneficial holders of the majority of Convertible Notes entered into an agreement (the “</w:t>
      </w:r>
      <w:r>
        <w:rPr>
          <w:rFonts w:ascii="Times New Roman" w:cs="Times New Roman" w:eastAsia="Times New Roman" w:hAnsi="Times New Roman"/>
          <w:sz w:val="10"/>
          <w:szCs w:val="10"/>
          <w:b w:val="1"/>
          <w:bCs w:val="1"/>
          <w:i w:val="1"/>
          <w:iCs w:val="1"/>
          <w:color w:val="auto"/>
        </w:rPr>
        <w:t>Agreement</w:t>
      </w:r>
      <w:r>
        <w:rPr>
          <w:rFonts w:ascii="Times New Roman" w:cs="Times New Roman" w:eastAsia="Times New Roman" w:hAnsi="Times New Roman"/>
          <w:sz w:val="10"/>
          <w:szCs w:val="10"/>
          <w:color w:val="auto"/>
        </w:rPr>
        <w:t>”) to amend the Loan Note Instrument (the “</w:t>
      </w:r>
      <w:r>
        <w:rPr>
          <w:rFonts w:ascii="Times New Roman" w:cs="Times New Roman" w:eastAsia="Times New Roman" w:hAnsi="Times New Roman"/>
          <w:sz w:val="10"/>
          <w:szCs w:val="10"/>
          <w:b w:val="1"/>
          <w:bCs w:val="1"/>
          <w:i w:val="1"/>
          <w:iCs w:val="1"/>
          <w:color w:val="auto"/>
        </w:rPr>
        <w:t>Amendment</w:t>
      </w:r>
      <w:r>
        <w:rPr>
          <w:rFonts w:ascii="Times New Roman" w:cs="Times New Roman" w:eastAsia="Times New Roman" w:hAnsi="Times New Roman"/>
          <w:sz w:val="10"/>
          <w:szCs w:val="10"/>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will be revised to equal $2 per ordinary share.</w:t>
      </w:r>
    </w:p>
    <w:p>
      <w:pPr>
        <w:spacing w:after="0" w:line="97" w:lineRule="exact"/>
        <w:rPr>
          <w:sz w:val="20"/>
          <w:szCs w:val="20"/>
          <w:color w:val="auto"/>
        </w:rPr>
      </w:pPr>
    </w:p>
    <w:p>
      <w:pPr>
        <w:ind w:right="80" w:firstLine="705"/>
        <w:spacing w:after="0" w:line="310" w:lineRule="auto"/>
        <w:rPr>
          <w:sz w:val="20"/>
          <w:szCs w:val="20"/>
          <w:color w:val="auto"/>
        </w:rPr>
      </w:pPr>
      <w:r>
        <w:rPr>
          <w:rFonts w:ascii="Times New Roman" w:cs="Times New Roman" w:eastAsia="Times New Roman" w:hAnsi="Times New Roman"/>
          <w:sz w:val="9"/>
          <w:szCs w:val="9"/>
          <w:color w:val="auto"/>
        </w:rPr>
        <w:t>Pursuant to the Agreement, Apeiron Investment Group and Bradley Wickens will also procure that the registered nominees holding approximately $41 million of outstanding Convertible Notes (on behalf of Apeiron Investment Group Ltd. and Bradley Wickens) will exercise their option to convert all such outstanding Convertible Notes, at a conversion price of $2 per ordinary share. Following such conversions, there will be approximately $0.4 million of Convertible Notes outstanding under the Loan Note Instrument.</w:t>
      </w:r>
    </w:p>
    <w:p>
      <w:pPr>
        <w:spacing w:after="0" w:line="78" w:lineRule="exact"/>
        <w:rPr>
          <w:sz w:val="20"/>
          <w:szCs w:val="20"/>
          <w:color w:val="auto"/>
        </w:rPr>
      </w:pPr>
    </w:p>
    <w:p>
      <w:pPr>
        <w:ind w:right="60" w:firstLine="705"/>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ind w:right="40" w:firstLine="705"/>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060" w:type="dxa"/>
            <w:vAlign w:val="bottom"/>
          </w:tcPr>
          <w:p>
            <w:pPr>
              <w:spacing w:after="0"/>
              <w:rPr>
                <w:sz w:val="9"/>
                <w:szCs w:val="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3160" w:type="dxa"/>
            <w:vAlign w:val="bottom"/>
          </w:tcPr>
          <w:p>
            <w:pPr>
              <w:ind w:left="204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200" w:type="dxa"/>
            <w:vAlign w:val="bottom"/>
          </w:tcPr>
          <w:p>
            <w:pPr>
              <w:ind w:left="34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1060" w:type="dxa"/>
            <w:vAlign w:val="bottom"/>
          </w:tcPr>
          <w:p>
            <w:pPr>
              <w:jc w:val="right"/>
              <w:ind w:right="534"/>
              <w:spacing w:after="0"/>
              <w:rPr>
                <w:sz w:val="20"/>
                <w:szCs w:val="20"/>
                <w:color w:val="auto"/>
              </w:rPr>
            </w:pPr>
            <w:r>
              <w:rPr>
                <w:rFonts w:ascii="Times New Roman" w:cs="Times New Roman" w:eastAsia="Times New Roman" w:hAnsi="Times New Roman"/>
                <w:sz w:val="8"/>
                <w:szCs w:val="8"/>
                <w:b w:val="1"/>
                <w:bCs w:val="1"/>
                <w:color w:val="auto"/>
              </w:rPr>
              <w:t>Level 3</w:t>
            </w:r>
          </w:p>
        </w:tc>
        <w:tc>
          <w:tcPr>
            <w:tcW w:w="1060" w:type="dxa"/>
            <w:vAlign w:val="bottom"/>
          </w:tcPr>
          <w:p>
            <w:pPr>
              <w:spacing w:after="0"/>
              <w:rPr>
                <w:sz w:val="9"/>
                <w:szCs w:val="9"/>
                <w:color w:val="auto"/>
              </w:rPr>
            </w:pPr>
          </w:p>
        </w:tc>
      </w:tr>
      <w:tr>
        <w:trPr>
          <w:trHeight w:val="113"/>
        </w:trPr>
        <w:tc>
          <w:tcPr>
            <w:tcW w:w="1060" w:type="dxa"/>
            <w:vAlign w:val="bottom"/>
          </w:tcPr>
          <w:p>
            <w:pPr>
              <w:spacing w:after="0"/>
              <w:rPr>
                <w:sz w:val="9"/>
                <w:szCs w:val="9"/>
                <w:color w:val="auto"/>
              </w:rPr>
            </w:pPr>
          </w:p>
        </w:tc>
        <w:tc>
          <w:tcPr>
            <w:tcW w:w="27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31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1060" w:type="dxa"/>
            <w:vAlign w:val="bottom"/>
          </w:tcPr>
          <w:p>
            <w:pPr>
              <w:spacing w:after="0"/>
              <w:rPr>
                <w:sz w:val="9"/>
                <w:szCs w:val="9"/>
                <w:color w:val="auto"/>
              </w:rPr>
            </w:pPr>
          </w:p>
        </w:tc>
        <w:tc>
          <w:tcPr>
            <w:tcW w:w="276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3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1060" w:type="dxa"/>
            <w:vAlign w:val="bottom"/>
          </w:tcPr>
          <w:p>
            <w:pPr>
              <w:spacing w:after="0"/>
              <w:rPr>
                <w:sz w:val="9"/>
                <w:szCs w:val="9"/>
                <w:color w:val="auto"/>
              </w:rPr>
            </w:pPr>
          </w:p>
        </w:tc>
        <w:tc>
          <w:tcPr>
            <w:tcW w:w="27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3160" w:type="dxa"/>
            <w:vAlign w:val="bottom"/>
            <w:shd w:val="clear" w:color="auto" w:fill="CFF0FC"/>
          </w:tcPr>
          <w:p>
            <w:pPr>
              <w:ind w:left="27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shd w:val="clear" w:color="auto" w:fill="CFF0FC"/>
          </w:tcPr>
          <w:p>
            <w:pPr>
              <w:ind w:left="10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6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1060" w:type="dxa"/>
            <w:vAlign w:val="bottom"/>
          </w:tcPr>
          <w:p>
            <w:pPr>
              <w:spacing w:after="0"/>
              <w:rPr>
                <w:sz w:val="9"/>
                <w:szCs w:val="9"/>
                <w:color w:val="auto"/>
              </w:rPr>
            </w:pPr>
          </w:p>
        </w:tc>
      </w:tr>
      <w:tr>
        <w:trPr>
          <w:trHeight w:val="113"/>
        </w:trPr>
        <w:tc>
          <w:tcPr>
            <w:tcW w:w="1060" w:type="dxa"/>
            <w:vAlign w:val="bottom"/>
          </w:tcPr>
          <w:p>
            <w:pPr>
              <w:spacing w:after="0"/>
              <w:rPr>
                <w:sz w:val="9"/>
                <w:szCs w:val="9"/>
                <w:color w:val="auto"/>
              </w:rPr>
            </w:pPr>
          </w:p>
        </w:tc>
        <w:tc>
          <w:tcPr>
            <w:tcW w:w="276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3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13"/>
        </w:trPr>
        <w:tc>
          <w:tcPr>
            <w:tcW w:w="1060" w:type="dxa"/>
            <w:vAlign w:val="bottom"/>
          </w:tcPr>
          <w:p>
            <w:pPr>
              <w:spacing w:after="0"/>
              <w:rPr>
                <w:sz w:val="9"/>
                <w:szCs w:val="9"/>
                <w:color w:val="auto"/>
              </w:rPr>
            </w:pPr>
          </w:p>
        </w:tc>
        <w:tc>
          <w:tcPr>
            <w:tcW w:w="27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31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60" w:type="dxa"/>
            <w:vAlign w:val="bottom"/>
          </w:tcPr>
          <w:p>
            <w:pPr>
              <w:spacing w:after="0"/>
              <w:rPr>
                <w:sz w:val="9"/>
                <w:szCs w:val="9"/>
                <w:color w:val="auto"/>
              </w:rPr>
            </w:pPr>
          </w:p>
        </w:tc>
      </w:tr>
      <w:tr>
        <w:trPr>
          <w:trHeight w:val="125"/>
        </w:trPr>
        <w:tc>
          <w:tcPr>
            <w:tcW w:w="1060" w:type="dxa"/>
            <w:vAlign w:val="bottom"/>
          </w:tcPr>
          <w:p>
            <w:pPr>
              <w:spacing w:after="0"/>
              <w:rPr>
                <w:sz w:val="10"/>
                <w:szCs w:val="10"/>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3160" w:type="dxa"/>
            <w:vAlign w:val="bottom"/>
          </w:tcPr>
          <w:p>
            <w:pPr>
              <w:ind w:left="2720"/>
              <w:spacing w:after="0"/>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c>
          <w:tcPr>
            <w:tcW w:w="1060" w:type="dxa"/>
            <w:vAlign w:val="bottom"/>
          </w:tcPr>
          <w:p>
            <w:pPr>
              <w:spacing w:after="0"/>
              <w:rPr>
                <w:sz w:val="10"/>
                <w:szCs w:val="10"/>
                <w:color w:val="auto"/>
              </w:rPr>
            </w:pPr>
          </w:p>
        </w:tc>
      </w:tr>
      <w:tr>
        <w:trPr>
          <w:trHeight w:val="338"/>
        </w:trPr>
        <w:tc>
          <w:tcPr>
            <w:tcW w:w="10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160" w:type="dxa"/>
            <w:vAlign w:val="bottom"/>
          </w:tcPr>
          <w:p>
            <w:pPr>
              <w:jc w:val="right"/>
              <w:ind w:right="1573"/>
              <w:spacing w:after="0"/>
              <w:rPr>
                <w:sz w:val="20"/>
                <w:szCs w:val="20"/>
                <w:color w:val="auto"/>
              </w:rPr>
            </w:pPr>
            <w:r>
              <w:rPr>
                <w:rFonts w:ascii="Times New Roman" w:cs="Times New Roman" w:eastAsia="Times New Roman" w:hAnsi="Times New Roman"/>
                <w:sz w:val="10"/>
                <w:szCs w:val="10"/>
                <w:color w:val="auto"/>
              </w:rPr>
              <w:t>62</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22"/>
        </w:trPr>
        <w:tc>
          <w:tcPr>
            <w:tcW w:w="106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316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$2,849,906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78" w:right="66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0"/>
          <w:szCs w:val="10"/>
          <w:color w:val="auto"/>
        </w:rPr>
        <w:t>to exercise their warrants (on condition that such notified Exercise Event does occur within 14 days of the notice), and if such Exercise Event does occur then any unexercised warrants shall lapse.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40" w:top="1155" w:right="780" w:bottom="1440" w:gutter="0" w:footer="0" w:header="0"/>
        </w:sectPr>
      </w:pPr>
    </w:p>
    <w:bookmarkStart w:id="74" w:name="page75"/>
    <w:bookmarkEnd w:id="74"/>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MANAGEMENT’S DISCUSSION AND ANALYSIS OF</w:t>
      </w:r>
    </w:p>
    <w:p>
      <w:pPr>
        <w:spacing w:after="0" w:line="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FINANCIAL CONDITION AND RESULTS OF OPERATIONS</w:t>
      </w:r>
    </w:p>
    <w:p>
      <w:pPr>
        <w:spacing w:after="0" w:line="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2</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1805305" cy="5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54" w:lineRule="exact"/>
        <w:rPr>
          <w:sz w:val="20"/>
          <w:szCs w:val="20"/>
          <w:color w:val="auto"/>
        </w:rPr>
      </w:pPr>
    </w:p>
    <w:p>
      <w:pPr>
        <w:ind w:left="70" w:hanging="70"/>
        <w:spacing w:after="0"/>
        <w:tabs>
          <w:tab w:leader="none" w:pos="7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Please see Rezolve Press Release dated July 25, 2023, available at https://www.rezolve.com/investors/britainsbrain-heralds-new-era-of-commerce-enabled-ai/</w:t>
      </w:r>
    </w:p>
    <w:p>
      <w:pPr>
        <w:spacing w:after="0" w:line="108"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We commenced the commercialization of the Rezolve platform in quarter 4 of 2024. Revenues from Brain are also forecast to begin in Q4 2024, increasing significantly in 2025. We also expect to generate revenues in Q4 2024 in Europe, North America and the Middle East. We expect revenues to increase in Q4 2024 through our signed partner agreements with Microsoft,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05" w:lineRule="exact"/>
        <w:rPr>
          <w:sz w:val="20"/>
          <w:szCs w:val="20"/>
          <w:color w:val="auto"/>
        </w:rPr>
      </w:pPr>
    </w:p>
    <w:p>
      <w:pPr>
        <w:ind w:left="10" w:right="20" w:firstLine="480"/>
        <w:spacing w:after="0" w:line="245" w:lineRule="auto"/>
        <w:rPr>
          <w:sz w:val="20"/>
          <w:szCs w:val="20"/>
          <w:color w:val="auto"/>
        </w:rPr>
      </w:pPr>
      <w:r>
        <w:rPr>
          <w:rFonts w:ascii="Times New Roman" w:cs="Times New Roman" w:eastAsia="Times New Roman" w:hAnsi="Times New Roman"/>
          <w:sz w:val="10"/>
          <w:szCs w:val="10"/>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We currently derive our revenue through the transaction fees based on sales of ticketing for La Liga football events in Spain.</w:t>
      </w:r>
    </w:p>
    <w:p>
      <w:pPr>
        <w:spacing w:after="0" w:line="118" w:lineRule="exact"/>
        <w:rPr>
          <w:sz w:val="20"/>
          <w:szCs w:val="20"/>
          <w:color w:val="auto"/>
        </w:rPr>
      </w:pPr>
    </w:p>
    <w:p>
      <w:pPr>
        <w:ind w:left="10"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01" w:lineRule="exact"/>
        <w:rPr>
          <w:sz w:val="20"/>
          <w:szCs w:val="20"/>
          <w:color w:val="auto"/>
        </w:rPr>
      </w:pPr>
    </w:p>
    <w:p>
      <w:pPr>
        <w:ind w:left="10" w:right="28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1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75" w:name="page76"/>
    <w:bookmarkEnd w:id="75"/>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Factors Affecting Our Performance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our future performance will depend on many factors, including the following:</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from Transactions</w:t>
      </w:r>
      <w:r>
        <w:rPr>
          <w:rFonts w:ascii="Times New Roman" w:cs="Times New Roman" w:eastAsia="Times New Roman" w:hAnsi="Times New Roman"/>
          <w:sz w:val="10"/>
          <w:szCs w:val="10"/>
          <w:color w:val="auto"/>
        </w:rPr>
        <w:t>: Our growth depends on SaaS subscription fees and commissions earned from merchant’s transactions with their customers.</w:t>
      </w:r>
    </w:p>
    <w:p>
      <w:pPr>
        <w:spacing w:after="0" w:line="58"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New Merchant Acquisition</w:t>
      </w:r>
      <w:r>
        <w:rPr>
          <w:rFonts w:ascii="Times New Roman" w:cs="Times New Roman" w:eastAsia="Times New Roman" w:hAnsi="Times New Roman"/>
          <w:sz w:val="10"/>
          <w:szCs w:val="10"/>
          <w:color w:val="auto"/>
        </w:rPr>
        <w:t>: Our growth depends in part on our ability to attract merchants to our platform. A key avenue of merchant 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42" w:lineRule="exact"/>
        <w:rPr>
          <w:sz w:val="20"/>
          <w:szCs w:val="20"/>
          <w:color w:val="auto"/>
        </w:rPr>
      </w:pPr>
    </w:p>
    <w:p>
      <w:pPr>
        <w:jc w:val="both"/>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Successful Expansion to Additional Geographies</w:t>
      </w:r>
      <w:r>
        <w:rPr>
          <w:rFonts w:ascii="Times New Roman" w:cs="Times New Roman" w:eastAsia="Times New Roman" w:hAnsi="Times New Roman"/>
          <w:sz w:val="10"/>
          <w:szCs w:val="10"/>
          <w:color w:val="auto"/>
        </w:rPr>
        <w:t>: We believe our platform can compete successfully in various geographic regions. This 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42" w:lineRule="exact"/>
        <w:rPr>
          <w:sz w:val="20"/>
          <w:szCs w:val="20"/>
          <w:color w:val="auto"/>
        </w:rPr>
      </w:pPr>
    </w:p>
    <w:p>
      <w:pPr>
        <w:ind w:left="480"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Merchant Retention and Expansion</w:t>
      </w:r>
      <w:r>
        <w:rPr>
          <w:rFonts w:ascii="Times New Roman" w:cs="Times New Roman" w:eastAsia="Times New Roman" w:hAnsi="Times New Roman"/>
          <w:sz w:val="10"/>
          <w:szCs w:val="10"/>
          <w:color w:val="auto"/>
        </w:rPr>
        <w:t>: We care deeply about merchants. Our commitment to their success, we believe, increases retention 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42"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Offering and service enhancement</w:t>
      </w:r>
      <w:r>
        <w:rPr>
          <w:rFonts w:ascii="Times New Roman" w:cs="Times New Roman" w:eastAsia="Times New Roman" w:hAnsi="Times New Roman"/>
          <w:sz w:val="10"/>
          <w:szCs w:val="10"/>
          <w:color w:val="auto"/>
        </w:rPr>
        <w:t>: We intend to continue investing in the capabilities of our offerings and services to deliver better value for our users and merchants and address new market opportunities. Additionally, we will work to perfect our platform service</w:t>
      </w:r>
    </w:p>
    <w:p>
      <w:pPr>
        <w:spacing w:after="0" w:line="37"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b w:val="1"/>
          <w:bCs w:val="1"/>
          <w:color w:val="auto"/>
        </w:rPr>
        <w:t>Growth through Mergers &amp; Acquisitions</w:t>
      </w:r>
      <w:r>
        <w:rPr>
          <w:rFonts w:ascii="Times New Roman" w:cs="Times New Roman" w:eastAsia="Times New Roman" w:hAnsi="Times New Roman"/>
          <w:sz w:val="10"/>
          <w:szCs w:val="10"/>
          <w:color w:val="auto"/>
        </w:rPr>
        <w:t>: The growth of our business can be supported by a successful merger agreement with a SPAC and access to financing through capital markets. Additionally, our growth may be supported by acquisitions of businesses where management identifies synergistic growth opportunities.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Components of our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generate transaction revenues through the sale of ticketing of football events using our technology with La Liga in Spain.</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Cost of revenues</w:t>
      </w:r>
      <w:r>
        <w:rPr>
          <w:rFonts w:ascii="Times New Roman" w:cs="Times New Roman" w:eastAsia="Times New Roman" w:hAnsi="Times New Roman"/>
          <w:sz w:val="10"/>
          <w:szCs w:val="10"/>
          <w:color w:val="auto"/>
        </w:rPr>
        <w:t>: Our cost of revenues consists primarily of the materials and consumables.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Sales and marketing</w:t>
      </w:r>
      <w:r>
        <w:rPr>
          <w:rFonts w:ascii="Times New Roman" w:cs="Times New Roman" w:eastAsia="Times New Roman" w:hAnsi="Times New Roman"/>
          <w:sz w:val="10"/>
          <w:szCs w:val="10"/>
          <w:color w:val="auto"/>
        </w:rPr>
        <w:t>: Costs primarily consist of consulting fees as well as salaries, pension contributions and share-based compensation for sales and marketing employees.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76" w:name="page77"/>
    <w:bookmarkEnd w:id="76"/>
    <w:p>
      <w:pPr>
        <w:ind w:left="480" w:right="60"/>
        <w:spacing w:after="0" w:line="315" w:lineRule="auto"/>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i w:val="1"/>
          <w:iCs w:val="1"/>
          <w:color w:val="auto"/>
        </w:rPr>
        <w:t>General and administrative</w:t>
      </w:r>
      <w:r>
        <w:rPr>
          <w:rFonts w:ascii="Times New Roman" w:cs="Times New Roman" w:eastAsia="Times New Roman" w:hAnsi="Times New Roman"/>
          <w:sz w:val="9"/>
          <w:szCs w:val="9"/>
          <w:color w:val="auto"/>
        </w:rPr>
        <w:t>: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13"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Depreciation and amortization</w:t>
      </w:r>
      <w:r>
        <w:rPr>
          <w:rFonts w:ascii="Times New Roman" w:cs="Times New Roman" w:eastAsia="Times New Roman" w:hAnsi="Times New Roman"/>
          <w:sz w:val="10"/>
          <w:szCs w:val="10"/>
          <w:color w:val="auto"/>
        </w:rPr>
        <w:t>: primarily consists of amortization of a customer list and acquired information technology intangible assets as well as depreciation of fixed tangible assets. We note that all software development expenditure up until the end of December 2022 has been expensed.</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Other operating expenses</w:t>
      </w:r>
      <w:r>
        <w:rPr>
          <w:rFonts w:ascii="Times New Roman" w:cs="Times New Roman" w:eastAsia="Times New Roman" w:hAnsi="Times New Roman"/>
          <w:sz w:val="10"/>
          <w:szCs w:val="10"/>
          <w:color w:val="auto"/>
        </w:rPr>
        <w:t>: consists of an impairment of loans and accounts receivable in the six months ended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expense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Interest expense consists primarily of costs associated with convertible debt. The group currently has no bank debt and no banking facilities which would incur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Non-Operating Income (Expense)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 Benefit</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Results of Operations for six months ended June 30, 2024.</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tables set forth our consolidated statements of operations in dollar amounts and as a percentage of total revenues for each period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4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Revenue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16,111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1,431,430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4,710,174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8,066,209</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8,743,377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785,000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121,571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operating expenses</w:t>
            </w:r>
          </w:p>
        </w:tc>
        <w:tc>
          <w:tcPr>
            <w:tcW w:w="2520" w:type="dxa"/>
            <w:vAlign w:val="bottom"/>
          </w:tcPr>
          <w:p>
            <w:pPr>
              <w:spacing w:after="0"/>
              <w:rPr>
                <w:sz w:val="9"/>
                <w:szCs w:val="9"/>
                <w:color w:val="auto"/>
              </w:rPr>
            </w:pPr>
          </w:p>
        </w:tc>
        <w:tc>
          <w:tcPr>
            <w:tcW w:w="9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9,719,157</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14,376,233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loss</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(9,665,758 )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(14,329,469 )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2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(3,009,002 )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(3,054,946 )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9"/>
                <w:szCs w:val="9"/>
                <w:color w:val="auto"/>
              </w:rPr>
            </w:pPr>
          </w:p>
        </w:tc>
        <w:tc>
          <w:tcPr>
            <w:tcW w:w="9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(107,816 )</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171,751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Total other expenses, net</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(3,116,818 )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(2,883,195 )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taxes</w:t>
            </w:r>
          </w:p>
        </w:tc>
        <w:tc>
          <w:tcPr>
            <w:tcW w:w="2520" w:type="dxa"/>
            <w:vAlign w:val="bottom"/>
          </w:tcPr>
          <w:p>
            <w:pPr>
              <w:spacing w:after="0"/>
              <w:rPr>
                <w:sz w:val="9"/>
                <w:szCs w:val="9"/>
                <w:color w:val="auto"/>
              </w:rPr>
            </w:pPr>
          </w:p>
        </w:tc>
        <w:tc>
          <w:tcPr>
            <w:tcW w:w="96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(12,782,576 )</w:t>
            </w:r>
          </w:p>
        </w:tc>
        <w:tc>
          <w:tcPr>
            <w:tcW w:w="4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(17,212,664 )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7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52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(59,870 )</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1600" w:type="dxa"/>
            <w:vAlign w:val="bottom"/>
          </w:tcPr>
          <w:p>
            <w:pPr>
              <w:spacing w:after="0"/>
              <w:rPr>
                <w:sz w:val="9"/>
                <w:szCs w:val="9"/>
                <w:color w:val="auto"/>
              </w:rPr>
            </w:pPr>
          </w:p>
        </w:tc>
      </w:tr>
      <w:tr>
        <w:trPr>
          <w:trHeight w:val="125"/>
        </w:trPr>
        <w:tc>
          <w:tcPr>
            <w:tcW w:w="1580" w:type="dxa"/>
            <w:vAlign w:val="bottom"/>
          </w:tcPr>
          <w:p>
            <w:pPr>
              <w:spacing w:after="0"/>
              <w:rPr>
                <w:sz w:val="10"/>
                <w:szCs w:val="1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 for the year</w:t>
            </w:r>
          </w:p>
        </w:tc>
        <w:tc>
          <w:tcPr>
            <w:tcW w:w="2520" w:type="dxa"/>
            <w:vAlign w:val="bottom"/>
          </w:tcPr>
          <w:p>
            <w:pPr>
              <w:spacing w:after="0"/>
              <w:rPr>
                <w:sz w:val="10"/>
                <w:szCs w:val="1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(12,842,446 )</w:t>
            </w:r>
          </w:p>
        </w:tc>
        <w:tc>
          <w:tcPr>
            <w:tcW w:w="4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(17,276,072 )</w:t>
            </w:r>
          </w:p>
        </w:tc>
        <w:tc>
          <w:tcPr>
            <w:tcW w:w="1600" w:type="dxa"/>
            <w:vAlign w:val="bottom"/>
          </w:tcPr>
          <w:p>
            <w:pPr>
              <w:spacing w:after="0"/>
              <w:rPr>
                <w:sz w:val="10"/>
                <w:szCs w:val="10"/>
                <w:color w:val="auto"/>
              </w:rPr>
            </w:pPr>
          </w:p>
        </w:tc>
      </w:tr>
      <w:tr>
        <w:trPr>
          <w:trHeight w:val="338"/>
        </w:trPr>
        <w:tc>
          <w:tcPr>
            <w:tcW w:w="1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20" w:type="dxa"/>
            <w:vAlign w:val="bottom"/>
          </w:tcPr>
          <w:p>
            <w:pPr>
              <w:jc w:val="right"/>
              <w:ind w:right="1431"/>
              <w:spacing w:after="0"/>
              <w:rPr>
                <w:sz w:val="20"/>
                <w:szCs w:val="20"/>
                <w:color w:val="auto"/>
              </w:rPr>
            </w:pPr>
            <w:r>
              <w:rPr>
                <w:rFonts w:ascii="Times New Roman" w:cs="Times New Roman" w:eastAsia="Times New Roman" w:hAnsi="Times New Roman"/>
                <w:sz w:val="10"/>
                <w:szCs w:val="10"/>
                <w:color w:val="auto"/>
              </w:rPr>
              <w:t>67</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74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0"/>
          <w:szCs w:val="10"/>
          <w:b w:val="1"/>
          <w:bCs w:val="1"/>
          <w:color w:val="auto"/>
        </w:rPr>
        <w:t>Comparison of six months ended June 30, 2024 and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total revenues from ticketing transactions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gridSpan w:val="3"/>
          </w:tcPr>
          <w:p>
            <w:pPr>
              <w:jc w:val="right"/>
              <w:ind w:right="271"/>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20" w:type="dxa"/>
            <w:vAlign w:val="bottom"/>
          </w:tcPr>
          <w:p>
            <w:pPr>
              <w:spacing w:after="0"/>
              <w:rPr>
                <w:sz w:val="8"/>
                <w:szCs w:val="8"/>
                <w:color w:val="auto"/>
              </w:rPr>
            </w:pPr>
          </w:p>
        </w:tc>
      </w:tr>
      <w:tr>
        <w:trPr>
          <w:trHeight w:val="106"/>
        </w:trPr>
        <w:tc>
          <w:tcPr>
            <w:tcW w:w="460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20" w:type="dxa"/>
            <w:vAlign w:val="bottom"/>
          </w:tcPr>
          <w:p>
            <w:pPr>
              <w:spacing w:after="0"/>
              <w:rPr>
                <w:sz w:val="9"/>
                <w:szCs w:val="9"/>
                <w:color w:val="auto"/>
              </w:rPr>
            </w:pPr>
          </w:p>
        </w:tc>
        <w:tc>
          <w:tcPr>
            <w:tcW w:w="900" w:type="dxa"/>
            <w:vAlign w:val="bottom"/>
            <w:gridSpan w:val="2"/>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2023</w:t>
            </w:r>
          </w:p>
        </w:tc>
        <w:tc>
          <w:tcPr>
            <w:tcW w:w="360" w:type="dxa"/>
            <w:vAlign w:val="bottom"/>
          </w:tcPr>
          <w:p>
            <w:pPr>
              <w:spacing w:after="0"/>
              <w:rPr>
                <w:sz w:val="9"/>
                <w:szCs w:val="9"/>
                <w:color w:val="auto"/>
              </w:rPr>
            </w:pPr>
          </w:p>
        </w:tc>
        <w:tc>
          <w:tcPr>
            <w:tcW w:w="900" w:type="dxa"/>
            <w:vAlign w:val="bottom"/>
            <w:gridSpan w:val="2"/>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w:t>
            </w: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jc w:val="right"/>
              <w:ind w:right="574"/>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Revenues</w:t>
            </w:r>
          </w:p>
        </w:tc>
        <w:tc>
          <w:tcPr>
            <w:tcW w:w="64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53,399</w:t>
            </w: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46,764</w:t>
            </w:r>
          </w:p>
        </w:tc>
        <w:tc>
          <w:tcPr>
            <w:tcW w:w="2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6,635</w:t>
            </w:r>
          </w:p>
        </w:tc>
        <w:tc>
          <w:tcPr>
            <w:tcW w:w="48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15"/>
        </w:trPr>
        <w:tc>
          <w:tcPr>
            <w:tcW w:w="4600" w:type="dxa"/>
            <w:vAlign w:val="bottom"/>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revenues</w:t>
            </w:r>
          </w:p>
        </w:tc>
        <w:tc>
          <w:tcPr>
            <w:tcW w:w="640" w:type="dxa"/>
            <w:vAlign w:val="bottom"/>
            <w:tcBorders>
              <w:bottom w:val="single" w:sz="8" w:color="auto"/>
            </w:tcBorders>
          </w:tcPr>
          <w:p>
            <w:pPr>
              <w:jc w:val="right"/>
              <w:ind w:right="535"/>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53,399</w:t>
            </w:r>
          </w:p>
        </w:tc>
        <w:tc>
          <w:tcPr>
            <w:tcW w:w="200" w:type="dxa"/>
            <w:vAlign w:val="bottom"/>
          </w:tcPr>
          <w:p>
            <w:pPr>
              <w:spacing w:after="0"/>
              <w:rPr>
                <w:sz w:val="10"/>
                <w:szCs w:val="10"/>
                <w:color w:val="auto"/>
              </w:rPr>
            </w:pPr>
          </w:p>
        </w:tc>
        <w:tc>
          <w:tcPr>
            <w:tcW w:w="700" w:type="dxa"/>
            <w:vAlign w:val="bottom"/>
            <w:tcBorders>
              <w:bottom w:val="single" w:sz="8" w:color="auto"/>
            </w:tcBorders>
          </w:tcPr>
          <w:p>
            <w:pPr>
              <w:jc w:val="right"/>
              <w:ind w:right="5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46,764</w:t>
            </w:r>
          </w:p>
        </w:tc>
        <w:tc>
          <w:tcPr>
            <w:tcW w:w="220" w:type="dxa"/>
            <w:vAlign w:val="bottom"/>
          </w:tcPr>
          <w:p>
            <w:pPr>
              <w:spacing w:after="0"/>
              <w:rPr>
                <w:sz w:val="10"/>
                <w:szCs w:val="10"/>
                <w:color w:val="auto"/>
              </w:rPr>
            </w:pPr>
          </w:p>
        </w:tc>
        <w:tc>
          <w:tcPr>
            <w:tcW w:w="680" w:type="dxa"/>
            <w:vAlign w:val="bottom"/>
            <w:tcBorders>
              <w:bottom w:val="single" w:sz="8" w:color="auto"/>
            </w:tcBorders>
          </w:tcPr>
          <w:p>
            <w:pPr>
              <w:jc w:val="right"/>
              <w:ind w:right="5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93" w:lineRule="exact"/>
              <w:rPr>
                <w:sz w:val="20"/>
                <w:szCs w:val="20"/>
                <w:color w:val="auto"/>
              </w:rPr>
            </w:pPr>
            <w:r>
              <w:rPr>
                <w:rFonts w:ascii="Times New Roman" w:cs="Times New Roman" w:eastAsia="Times New Roman" w:hAnsi="Times New Roman"/>
                <w:sz w:val="10"/>
                <w:szCs w:val="10"/>
                <w:color w:val="auto"/>
              </w:rPr>
              <w:t>6,635</w:t>
            </w:r>
          </w:p>
        </w:tc>
        <w:tc>
          <w:tcPr>
            <w:tcW w:w="480" w:type="dxa"/>
            <w:vAlign w:val="bottom"/>
          </w:tcPr>
          <w:p>
            <w:pPr>
              <w:spacing w:after="0"/>
              <w:rPr>
                <w:sz w:val="10"/>
                <w:szCs w:val="10"/>
                <w:color w:val="auto"/>
              </w:rPr>
            </w:pPr>
          </w:p>
        </w:tc>
        <w:tc>
          <w:tcPr>
            <w:tcW w:w="9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14 %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Revenues increased from $0.047 million for the six months ended June 30, 2023 as compared to $0.053 million for the six months ended June 30, 2024 is attributable to increased ticketing revenue from Spain.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operating expenses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4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ind w:right="392"/>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spacing w:after="0"/>
              <w:rPr>
                <w:sz w:val="9"/>
                <w:szCs w:val="9"/>
                <w:color w:val="auto"/>
              </w:rPr>
            </w:pPr>
          </w:p>
        </w:tc>
        <w:tc>
          <w:tcPr>
            <w:tcW w:w="940" w:type="dxa"/>
            <w:vAlign w:val="bottom"/>
          </w:tcPr>
          <w:p>
            <w:pPr>
              <w:jc w:val="right"/>
              <w:ind w:right="59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Operating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640" w:type="dxa"/>
            <w:vAlign w:val="bottom"/>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620" w:type="dxa"/>
            <w:vAlign w:val="bottom"/>
            <w:gridSpan w:val="2"/>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16,111</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w:t>
            </w:r>
          </w:p>
        </w:tc>
        <w:tc>
          <w:tcPr>
            <w:tcW w:w="4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9"/>
              </w:rPr>
              <w:t>1,431,430</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4,710,174</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(3,278,744 )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(70 )%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9"/>
              </w:rPr>
              <w:t>8,066,209</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8,743,377</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(677,168 )</w:t>
            </w: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785,000</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(700,500 )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(89 )%</w:t>
            </w: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121,571</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(730 )</w:t>
            </w: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(1 )%</w:t>
            </w:r>
          </w:p>
        </w:tc>
      </w:tr>
      <w:tr>
        <w:trPr>
          <w:trHeight w:val="113"/>
        </w:trPr>
        <w:tc>
          <w:tcPr>
            <w:tcW w:w="4580" w:type="dxa"/>
            <w:vAlign w:val="bottom"/>
            <w:shd w:val="clear" w:color="auto" w:fill="CFF0FC"/>
          </w:tcPr>
          <w:p>
            <w:pPr>
              <w:ind w:left="100"/>
              <w:spacing w:after="0" w:line="93" w:lineRule="exact"/>
              <w:rPr>
                <w:sz w:val="20"/>
                <w:szCs w:val="20"/>
                <w:color w:val="auto"/>
              </w:rPr>
            </w:pPr>
            <w:r>
              <w:rPr>
                <w:rFonts w:ascii="Times New Roman" w:cs="Times New Roman" w:eastAsia="Times New Roman" w:hAnsi="Times New Roman"/>
                <w:sz w:val="10"/>
                <w:szCs w:val="10"/>
                <w:color w:val="auto"/>
              </w:rPr>
              <w:t>Total operating expenses</w:t>
            </w:r>
          </w:p>
        </w:tc>
        <w:tc>
          <w:tcPr>
            <w:tcW w:w="640" w:type="dxa"/>
            <w:vAlign w:val="bottom"/>
            <w:shd w:val="clear" w:color="auto" w:fill="CFF0FC"/>
          </w:tcPr>
          <w:p>
            <w:pPr>
              <w:jc w:val="right"/>
              <w:ind w:right="53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w w:val="99"/>
              </w:rPr>
              <w:t>9,719,157</w:t>
            </w: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14,376,233</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shd w:val="clear" w:color="auto" w:fill="CFF0FC"/>
          </w:tcPr>
          <w:p>
            <w:pPr>
              <w:jc w:val="right"/>
              <w:ind w:right="440"/>
              <w:spacing w:after="0" w:line="93" w:lineRule="exact"/>
              <w:rPr>
                <w:sz w:val="20"/>
                <w:szCs w:val="20"/>
                <w:color w:val="auto"/>
              </w:rPr>
            </w:pPr>
            <w:r>
              <w:rPr>
                <w:rFonts w:ascii="Times New Roman" w:cs="Times New Roman" w:eastAsia="Times New Roman" w:hAnsi="Times New Roman"/>
                <w:sz w:val="6"/>
                <w:szCs w:val="6"/>
                <w:color w:val="auto"/>
              </w:rPr>
              <w:t xml:space="preserve">(4,657,076 </w:t>
            </w:r>
            <w:r>
              <w:rPr>
                <w:rFonts w:ascii="Times New Roman" w:cs="Times New Roman" w:eastAsia="Times New Roman" w:hAnsi="Times New Roman"/>
                <w:sz w:val="10"/>
                <w:szCs w:val="10"/>
                <w:color w:val="auto"/>
                <w:vertAlign w:val="subscript"/>
              </w:rPr>
              <w:t>)</w:t>
            </w:r>
          </w:p>
        </w:tc>
        <w:tc>
          <w:tcPr>
            <w:tcW w:w="9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color w:val="auto"/>
              </w:rPr>
              <w:t>(32 )%</w:t>
            </w:r>
          </w:p>
        </w:tc>
      </w:tr>
      <w:tr>
        <w:trPr>
          <w:trHeight w:val="23"/>
        </w:trPr>
        <w:tc>
          <w:tcPr>
            <w:tcW w:w="45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Percentages have been rounded for presentation purposes and may differ from unrounded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Cost of Revenues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have remained unchanged at $0.02 million, for the six months ended June 30, 2024 compared to the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Sales and Marketing Expenses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Sales and marketing expenses decreased by $3.3 million, for the six months ended June 30, 2024, compared to the six months ended June 30, 2023. This was primarily due decrease in share-based payments of $2.8 million and a reduction in salary costs of $0.5 million due to reduced headcount.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General and Administrative Expenses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General and Administrative expenses decreased by $0.7 million, for the six months ended June 30, 2024, compared to the six months ended June 30, 2023. Share- based payments to employees increased by $2.0 million, professional fees increased by $0.4 million related to listing costs, general and administrative other expenses increased by $0.2 million, offset by a reduction in Business Development costs of $0.6 million and a reduction of $2.9 million staff and consulting costs due to lower headcount and level of IT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Other operating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operating expenses decreased by $0.8 million due to an impairment of a loan receivables to Swipeby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Depreciation and Amortization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Depreciation and amortization expenses remained unchanged at $0.1 million, for the six months ended June 30, 2024, compared to the six months ended June 30,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3" w:right="66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0"/>
          <w:szCs w:val="10"/>
          <w:i w:val="1"/>
          <w:iCs w:val="1"/>
          <w:color w:val="auto"/>
        </w:rPr>
        <w:t>Other 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shows interest expense and other non-operating income for the six months ended June 30, 2024, as compared to the six months ended June 30, 2023:</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b w:val="1"/>
                <w:bCs w:val="1"/>
                <w:color w:val="auto"/>
              </w:rPr>
              <w:t>Change</w:t>
            </w:r>
          </w:p>
        </w:tc>
        <w:tc>
          <w:tcPr>
            <w:tcW w:w="940" w:type="dxa"/>
            <w:vAlign w:val="bottom"/>
          </w:tcPr>
          <w:p>
            <w:pPr>
              <w:spacing w:after="0"/>
              <w:rPr>
                <w:sz w:val="8"/>
                <w:szCs w:val="8"/>
                <w:color w:val="auto"/>
              </w:rPr>
            </w:pPr>
          </w:p>
        </w:tc>
      </w:tr>
      <w:tr>
        <w:trPr>
          <w:trHeight w:val="106"/>
        </w:trPr>
        <w:tc>
          <w:tcPr>
            <w:tcW w:w="45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right"/>
              <w:ind w:right="397"/>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jc w:val="right"/>
              <w:ind w:right="458"/>
              <w:spacing w:after="0"/>
              <w:rPr>
                <w:sz w:val="20"/>
                <w:szCs w:val="20"/>
                <w:color w:val="auto"/>
              </w:rPr>
            </w:pPr>
            <w:r>
              <w:rPr>
                <w:rFonts w:ascii="Times New Roman" w:cs="Times New Roman" w:eastAsia="Times New Roman" w:hAnsi="Times New Roman"/>
                <w:sz w:val="8"/>
                <w:szCs w:val="8"/>
                <w:b w:val="1"/>
                <w:bCs w:val="1"/>
                <w:color w:val="auto"/>
              </w:rPr>
              <w:t>$</w:t>
            </w:r>
          </w:p>
        </w:tc>
        <w:tc>
          <w:tcPr>
            <w:tcW w:w="460" w:type="dxa"/>
            <w:vAlign w:val="bottom"/>
          </w:tcPr>
          <w:p>
            <w:pPr>
              <w:spacing w:after="0"/>
              <w:rPr>
                <w:sz w:val="9"/>
                <w:szCs w:val="9"/>
                <w:color w:val="auto"/>
              </w:rPr>
            </w:pPr>
          </w:p>
        </w:tc>
        <w:tc>
          <w:tcPr>
            <w:tcW w:w="940" w:type="dxa"/>
            <w:vAlign w:val="bottom"/>
          </w:tcPr>
          <w:p>
            <w:pPr>
              <w:jc w:val="right"/>
              <w:ind w:right="593"/>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4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expenses</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45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w w:val="89"/>
              </w:rPr>
              <w:t>(3,009,002 )</w:t>
            </w:r>
          </w:p>
        </w:tc>
        <w:tc>
          <w:tcPr>
            <w:tcW w:w="40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(3,054,946 )</w:t>
            </w:r>
          </w:p>
        </w:tc>
        <w:tc>
          <w:tcPr>
            <w:tcW w:w="2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45,944</w:t>
            </w:r>
          </w:p>
        </w:tc>
        <w:tc>
          <w:tcPr>
            <w:tcW w:w="4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(2 )%</w:t>
            </w:r>
          </w:p>
        </w:tc>
      </w:tr>
      <w:tr>
        <w:trPr>
          <w:trHeight w:val="113"/>
        </w:trPr>
        <w:tc>
          <w:tcPr>
            <w:tcW w:w="45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(107,816 )</w:t>
            </w:r>
          </w:p>
        </w:tc>
        <w:tc>
          <w:tcPr>
            <w:tcW w:w="400" w:type="dxa"/>
            <w:vAlign w:val="bottom"/>
            <w:shd w:val="clear" w:color="auto" w:fill="CFF0FC"/>
          </w:tcPr>
          <w:p>
            <w:pPr>
              <w:spacing w:after="0"/>
              <w:rPr>
                <w:sz w:val="9"/>
                <w:szCs w:val="9"/>
                <w:color w:val="auto"/>
              </w:rPr>
            </w:pPr>
          </w:p>
        </w:tc>
        <w:tc>
          <w:tcPr>
            <w:tcW w:w="6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171,751</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gridSpan w:val="2"/>
            <w:shd w:val="clear" w:color="auto" w:fill="CFF0FC"/>
          </w:tcPr>
          <w:p>
            <w:pPr>
              <w:jc w:val="right"/>
              <w:ind w:right="440"/>
              <w:spacing w:after="0" w:line="113" w:lineRule="exact"/>
              <w:rPr>
                <w:sz w:val="20"/>
                <w:szCs w:val="20"/>
                <w:color w:val="auto"/>
              </w:rPr>
            </w:pPr>
            <w:r>
              <w:rPr>
                <w:rFonts w:ascii="Times New Roman" w:cs="Times New Roman" w:eastAsia="Times New Roman" w:hAnsi="Times New Roman"/>
                <w:sz w:val="10"/>
                <w:szCs w:val="10"/>
                <w:color w:val="auto"/>
              </w:rPr>
              <w:t>(279,567 )</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(163 )%</w:t>
            </w:r>
          </w:p>
        </w:tc>
      </w:tr>
      <w:tr>
        <w:trPr>
          <w:trHeight w:val="113"/>
        </w:trPr>
        <w:tc>
          <w:tcPr>
            <w:tcW w:w="458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color w:val="auto"/>
              </w:rPr>
              <w:t>Total other expense, net</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color w:val="auto"/>
              </w:rPr>
              <w:t xml:space="preserve">(3,116,818 </w:t>
            </w:r>
            <w:r>
              <w:rPr>
                <w:rFonts w:ascii="Times New Roman" w:cs="Times New Roman" w:eastAsia="Times New Roman" w:hAnsi="Times New Roman"/>
                <w:sz w:val="10"/>
                <w:szCs w:val="10"/>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color w:val="auto"/>
              </w:rPr>
              <w:t xml:space="preserve">(2,883,195 </w:t>
            </w:r>
            <w:r>
              <w:rPr>
                <w:rFonts w:ascii="Times New Roman" w:cs="Times New Roman" w:eastAsia="Times New Roman" w:hAnsi="Times New Roman"/>
                <w:sz w:val="10"/>
                <w:szCs w:val="10"/>
                <w:color w:val="auto"/>
                <w:vertAlign w:val="subscript"/>
              </w:rPr>
              <w:t>)</w:t>
            </w:r>
          </w:p>
        </w:tc>
        <w:tc>
          <w:tcPr>
            <w:tcW w:w="280" w:type="dxa"/>
            <w:vAlign w:val="bottom"/>
          </w:tcPr>
          <w:p>
            <w:pPr>
              <w:spacing w:after="0"/>
              <w:rPr>
                <w:sz w:val="9"/>
                <w:szCs w:val="9"/>
                <w:color w:val="auto"/>
              </w:rPr>
            </w:pPr>
          </w:p>
        </w:tc>
        <w:tc>
          <w:tcPr>
            <w:tcW w:w="1220" w:type="dxa"/>
            <w:vAlign w:val="bottom"/>
            <w:gridSpan w:val="2"/>
          </w:tcPr>
          <w:p>
            <w:pPr>
              <w:jc w:val="right"/>
              <w:ind w:right="440"/>
              <w:spacing w:after="0" w:line="93" w:lineRule="exact"/>
              <w:rPr>
                <w:sz w:val="20"/>
                <w:szCs w:val="20"/>
                <w:color w:val="auto"/>
              </w:rPr>
            </w:pPr>
            <w:r>
              <w:rPr>
                <w:rFonts w:ascii="Times New Roman" w:cs="Times New Roman" w:eastAsia="Times New Roman" w:hAnsi="Times New Roman"/>
                <w:sz w:val="6"/>
                <w:szCs w:val="6"/>
                <w:color w:val="auto"/>
              </w:rPr>
              <w:t xml:space="preserve">(233,623 </w:t>
            </w:r>
            <w:r>
              <w:rPr>
                <w:rFonts w:ascii="Times New Roman" w:cs="Times New Roman" w:eastAsia="Times New Roman" w:hAnsi="Times New Roman"/>
                <w:sz w:val="10"/>
                <w:szCs w:val="10"/>
                <w:color w:val="auto"/>
                <w:vertAlign w:val="subscript"/>
              </w:rPr>
              <w:t>)</w:t>
            </w:r>
          </w:p>
        </w:tc>
        <w:tc>
          <w:tcPr>
            <w:tcW w:w="9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8 %</w:t>
            </w:r>
          </w:p>
        </w:tc>
      </w:tr>
      <w:tr>
        <w:trPr>
          <w:trHeight w:val="23"/>
        </w:trPr>
        <w:tc>
          <w:tcPr>
            <w:tcW w:w="4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6"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Interest expense remained unchanged at $3.0 million for the six months ended June 30, 2024 as compared to the six months ended June 2023. The increase in interest related to the promissory notes has been offset by the lower effective interest rate on the convertible secured loan.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decreased by $0.3 million for the six months ended June 30, 2024 as compared to the six year ended June 30, 2023, this is due to an increase in foreign exchange losses of $0.3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Operating Losses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Operating losses decreased from $14.3 million for the six months ended June 30, 2023 million to $9.7 million for the six months ended June 31, 2024. This was due to a decrease in Operating expenses from $14.4m million for the six months ended June 30, 2023 to $9.7 million for the six months ended June 30, 2024. The drivers of decreased Operating expenses are as detailed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Key Business Metrics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0"/>
          <w:szCs w:val="10"/>
          <w:i w:val="1"/>
          <w:iCs w:val="1"/>
          <w:color w:val="auto"/>
        </w:rPr>
        <w:t>Components of Results of Operations</w:t>
      </w:r>
      <w:r>
        <w:rPr>
          <w:rFonts w:ascii="Times New Roman" w:cs="Times New Roman" w:eastAsia="Times New Roman" w:hAnsi="Times New Roman"/>
          <w:sz w:val="10"/>
          <w:szCs w:val="10"/>
          <w:color w:val="auto"/>
        </w:rPr>
        <w:t>.” Period-on-period revenues growth, EBITDA and total number of merchants are discussed immediately below the following table. The following financial metrics are used by management to monitor and analyze the operational performance of our business.</w:t>
      </w:r>
    </w:p>
    <w:p>
      <w:pPr>
        <w:spacing w:after="0" w:line="43"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Ticketing:</w:t>
      </w:r>
      <w:r>
        <w:rPr>
          <w:rFonts w:ascii="Times New Roman" w:cs="Times New Roman" w:eastAsia="Times New Roman" w:hAnsi="Times New Roman"/>
          <w:sz w:val="10"/>
          <w:szCs w:val="10"/>
          <w:color w:val="auto"/>
        </w:rPr>
        <w:t xml:space="preserve"> Total Ticketing revenue transactions reflect the number of loyalty card transactions in a calendar year, loyalty is linked to the consumers football ticket. We track ticketing transactions as an indicator of customer transactions and as a key driver of revenues.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EBITDA</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changes in, or cash requirements for, our working capital needs or contractual commitments;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interest expense, or the cash requirements to service interest or principal payments on, our indebtedness;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our tax expense or the cash requirements to pay our taxes;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120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EBITDA does not reflect any cash requirements for these replacements; and •other companies may calculate EBITDA differently than we do.</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79" w:name="page80"/>
    <w:bookmarkEnd w:id="79"/>
    <w:p>
      <w:pPr>
        <w:ind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r>
      <w:tr>
        <w:trPr>
          <w:trHeight w:val="106"/>
        </w:trPr>
        <w:tc>
          <w:tcPr>
            <w:tcW w:w="34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34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18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(12,842,446 )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34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13"/>
        </w:trPr>
        <w:tc>
          <w:tcPr>
            <w:tcW w:w="3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8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340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186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480" w:type="dxa"/>
            <w:vAlign w:val="bottom"/>
          </w:tcPr>
          <w:p>
            <w:pPr>
              <w:spacing w:after="0"/>
              <w:rPr>
                <w:sz w:val="9"/>
                <w:szCs w:val="9"/>
                <w:color w:val="auto"/>
              </w:rPr>
            </w:pPr>
          </w:p>
        </w:tc>
        <w:tc>
          <w:tcPr>
            <w:tcW w:w="74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340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8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25"/>
        </w:trPr>
        <w:tc>
          <w:tcPr>
            <w:tcW w:w="3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EBITDA</w:t>
            </w: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(9,652,733 )</w:t>
            </w:r>
          </w:p>
        </w:tc>
        <w:tc>
          <w:tcPr>
            <w:tcW w:w="48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(14,036,147 )</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have booked transaction-related costs in each of the six months ended June 30, 2024 and June 30, 2023. PCAOB audit and U.S. legal counsel costs for the periods under review have been accrued as incurred in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Adjusted EBITDA</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changes in, or cash requirements for, our working capital needs or contractual commitments;</w:t>
      </w:r>
    </w:p>
    <w:p>
      <w:pPr>
        <w:spacing w:after="0" w:line="58" w:lineRule="exact"/>
        <w:rPr>
          <w:sz w:val="20"/>
          <w:szCs w:val="20"/>
          <w:color w:val="auto"/>
        </w:rPr>
      </w:pPr>
    </w:p>
    <w:p>
      <w:pPr>
        <w:ind w:left="480" w:right="4440"/>
        <w:spacing w:after="0" w:line="360" w:lineRule="auto"/>
        <w:rPr>
          <w:sz w:val="20"/>
          <w:szCs w:val="20"/>
          <w:color w:val="auto"/>
        </w:rPr>
      </w:pPr>
      <w:r>
        <w:rPr>
          <w:rFonts w:ascii="Times New Roman" w:cs="Times New Roman" w:eastAsia="Times New Roman" w:hAnsi="Times New Roman"/>
          <w:sz w:val="10"/>
          <w:szCs w:val="10"/>
          <w:color w:val="auto"/>
        </w:rPr>
        <w:t>•Adjusted EBITDA does not reflect our interest expense, or the cash requirements to service interest or principal payments on, our indebtedness; •Adjusted EBITDA does not reflect our tax expense or the cash requirements to pay our taxes;</w:t>
      </w:r>
    </w:p>
    <w:p>
      <w:pPr>
        <w:ind w:left="480"/>
        <w:spacing w:after="0"/>
        <w:rPr>
          <w:sz w:val="20"/>
          <w:szCs w:val="20"/>
          <w:color w:val="auto"/>
        </w:rPr>
      </w:pPr>
      <w:r>
        <w:rPr>
          <w:rFonts w:ascii="Times New Roman" w:cs="Times New Roman" w:eastAsia="Times New Roman" w:hAnsi="Times New Roman"/>
          <w:sz w:val="10"/>
          <w:szCs w:val="10"/>
          <w:color w:val="auto"/>
        </w:rPr>
        <w:t>•Adjusted EBITDA does not reflect the impact on earnings or changes resulting from matters that we consider not to be indicative of our future operations;</w:t>
      </w:r>
    </w:p>
    <w:p>
      <w:pPr>
        <w:spacing w:after="0" w:line="58" w:lineRule="exact"/>
        <w:rPr>
          <w:sz w:val="20"/>
          <w:szCs w:val="20"/>
          <w:color w:val="auto"/>
        </w:rPr>
      </w:pPr>
    </w:p>
    <w:p>
      <w:pPr>
        <w:ind w:left="480" w:right="780"/>
        <w:spacing w:after="0" w:line="380" w:lineRule="auto"/>
        <w:rPr>
          <w:sz w:val="20"/>
          <w:szCs w:val="20"/>
          <w:color w:val="auto"/>
        </w:rPr>
      </w:pPr>
      <w:r>
        <w:rPr>
          <w:rFonts w:ascii="Times New Roman" w:cs="Times New Roman" w:eastAsia="Times New Roman" w:hAnsi="Times New Roman"/>
          <w:sz w:val="10"/>
          <w:szCs w:val="10"/>
          <w:color w:val="auto"/>
        </w:rPr>
        <w:t>•although depreciation and amortization are non-cash charges, the assets being depreciated or amortized will often need to be replaced in the future, and Adjusted EBITDA does not reflect any cash requirements for these replacements; and •other companies may calculate Adjusted EBITDA differently than we do.</w:t>
      </w:r>
    </w:p>
    <w:p>
      <w:pPr>
        <w:spacing w:after="0" w:line="4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01" w:lineRule="exact"/>
        <w:rPr>
          <w:sz w:val="20"/>
          <w:szCs w:val="20"/>
          <w:color w:val="auto"/>
        </w:rPr>
      </w:pPr>
    </w:p>
    <w:p>
      <w:pPr>
        <w:ind w:right="340" w:firstLine="480"/>
        <w:spacing w:after="0" w:line="255" w:lineRule="auto"/>
        <w:rPr>
          <w:sz w:val="20"/>
          <w:szCs w:val="20"/>
          <w:color w:val="auto"/>
        </w:rPr>
      </w:pPr>
      <w:r>
        <w:rPr>
          <w:rFonts w:ascii="Times New Roman" w:cs="Times New Roman" w:eastAsia="Times New Roman" w:hAnsi="Times New Roman"/>
          <w:sz w:val="10"/>
          <w:szCs w:val="10"/>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Adjusted EBITDA is used by management to understand and track underlying earnings performance by excluding one-time and non-recurring costs. The company believe it is appropriate to exclude theses costs from Adjusted EBITDA as they relate to:</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•Investments made in the China Business;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•Impairments of loans and accounts receivable;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•Share based compensation related only to initial employees, consultants and related parties;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•Unrealized foreign exchange (gain)/loss are one-time costs.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1155" w:right="700" w:bottom="1440" w:gutter="0" w:footer="0" w:header="0"/>
        </w:sectPr>
      </w:pPr>
    </w:p>
    <w:bookmarkStart w:id="80" w:name="page81"/>
    <w:bookmarkEnd w:id="80"/>
    <w:p>
      <w:pPr>
        <w:ind w:left="480"/>
        <w:spacing w:after="0"/>
        <w:rPr>
          <w:sz w:val="20"/>
          <w:szCs w:val="20"/>
          <w:color w:val="auto"/>
        </w:rPr>
      </w:pPr>
      <w:r>
        <w:rPr>
          <w:rFonts w:ascii="Times New Roman" w:cs="Times New Roman" w:eastAsia="Times New Roman" w:hAnsi="Times New Roman"/>
          <w:sz w:val="10"/>
          <w:szCs w:val="10"/>
          <w:color w:val="auto"/>
        </w:rPr>
        <w:t>Internally adjusted EBITDA and contribution margin by reportable segment are significant measures used by management for purposes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•Supplementing the financial results and forecasts reported to the Company’s board of directors;</w:t>
      </w:r>
    </w:p>
    <w:p>
      <w:pPr>
        <w:spacing w:after="0" w:line="58" w:lineRule="exact"/>
        <w:rPr>
          <w:sz w:val="20"/>
          <w:szCs w:val="20"/>
          <w:color w:val="auto"/>
        </w:rPr>
      </w:pPr>
    </w:p>
    <w:p>
      <w:pPr>
        <w:ind w:left="480" w:right="1900"/>
        <w:spacing w:after="0" w:line="380" w:lineRule="auto"/>
        <w:rPr>
          <w:sz w:val="20"/>
          <w:szCs w:val="20"/>
          <w:color w:val="auto"/>
        </w:rPr>
      </w:pPr>
      <w:r>
        <w:rPr>
          <w:rFonts w:ascii="Times New Roman" w:cs="Times New Roman" w:eastAsia="Times New Roman" w:hAnsi="Times New Roman"/>
          <w:sz w:val="10"/>
          <w:szCs w:val="10"/>
          <w:color w:val="auto"/>
        </w:rPr>
        <w:t>•Evaluating the operating performance of which includes direct and incrementally controllable revenue and costs of operations but excludes items considered by management to be non-cash or non-operating; and •Establishing internal operating budgets and target.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Expenses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•Business development expenses reflect the costs incurred by Rezolve Limited in funding our platform activities in China in 2023 and are recorded within 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table below provides a reconciliation of our net income (loss) to Adjusted EBITDA:</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5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tcPr>
          <w:p>
            <w:pPr>
              <w:spacing w:after="0"/>
              <w:rPr>
                <w:sz w:val="8"/>
                <w:szCs w:val="8"/>
                <w:color w:val="auto"/>
              </w:rPr>
            </w:pPr>
          </w:p>
        </w:tc>
      </w:tr>
      <w:tr>
        <w:trPr>
          <w:trHeight w:val="106"/>
        </w:trPr>
        <w:tc>
          <w:tcPr>
            <w:tcW w:w="3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8"/>
                <w:szCs w:val="8"/>
                <w:b w:val="1"/>
                <w:bCs w:val="1"/>
                <w:color w:val="auto"/>
              </w:rPr>
              <w:t>2024</w:t>
            </w:r>
          </w:p>
        </w:tc>
        <w:tc>
          <w:tcPr>
            <w:tcW w:w="480" w:type="dxa"/>
            <w:vAlign w:val="bottom"/>
          </w:tcPr>
          <w:p>
            <w:pPr>
              <w:spacing w:after="0"/>
              <w:rPr>
                <w:sz w:val="9"/>
                <w:szCs w:val="9"/>
                <w:color w:val="auto"/>
              </w:rPr>
            </w:pPr>
          </w:p>
        </w:tc>
        <w:tc>
          <w:tcPr>
            <w:tcW w:w="74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income (loss)</w:t>
            </w:r>
          </w:p>
        </w:tc>
        <w:tc>
          <w:tcPr>
            <w:tcW w:w="168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(12,842,446 )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Provision for income tax expense (benefit)</w:t>
            </w:r>
          </w:p>
        </w:tc>
        <w:tc>
          <w:tcPr>
            <w:tcW w:w="168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35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EBITDA</w:t>
            </w:r>
          </w:p>
        </w:tc>
        <w:tc>
          <w:tcPr>
            <w:tcW w:w="168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(9,652,733 )</w:t>
            </w:r>
          </w:p>
        </w:tc>
        <w:tc>
          <w:tcPr>
            <w:tcW w:w="4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(14,036,147 )</w:t>
            </w:r>
          </w:p>
        </w:tc>
      </w:tr>
      <w:tr>
        <w:trPr>
          <w:trHeight w:val="113"/>
        </w:trPr>
        <w:tc>
          <w:tcPr>
            <w:tcW w:w="35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 (subtract)</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r>
      <w:tr>
        <w:trPr>
          <w:trHeight w:val="113"/>
        </w:trPr>
        <w:tc>
          <w:tcPr>
            <w:tcW w:w="35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 loss</w:t>
            </w:r>
          </w:p>
        </w:tc>
        <w:tc>
          <w:tcPr>
            <w:tcW w:w="168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358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785,000</w:t>
            </w:r>
          </w:p>
        </w:tc>
      </w:tr>
      <w:tr>
        <w:trPr>
          <w:trHeight w:val="113"/>
        </w:trPr>
        <w:tc>
          <w:tcPr>
            <w:tcW w:w="358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1680" w:type="dxa"/>
            <w:vAlign w:val="bottom"/>
          </w:tcPr>
          <w:p>
            <w:pPr>
              <w:spacing w:after="0"/>
              <w:rPr>
                <w:sz w:val="9"/>
                <w:szCs w:val="9"/>
                <w:color w:val="auto"/>
              </w:rPr>
            </w:pPr>
          </w:p>
        </w:tc>
        <w:tc>
          <w:tcPr>
            <w:tcW w:w="96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9"/>
                <w:szCs w:val="9"/>
                <w:color w:val="auto"/>
              </w:rPr>
            </w:pPr>
          </w:p>
        </w:tc>
        <w:tc>
          <w:tcPr>
            <w:tcW w:w="74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570,731</w:t>
            </w:r>
          </w:p>
        </w:tc>
      </w:tr>
      <w:tr>
        <w:trPr>
          <w:trHeight w:val="113"/>
        </w:trPr>
        <w:tc>
          <w:tcPr>
            <w:tcW w:w="358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Employee and Other Share-based compensation</w:t>
            </w:r>
          </w:p>
        </w:tc>
        <w:tc>
          <w:tcPr>
            <w:tcW w:w="168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4,043,184</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4,880,389</w:t>
            </w:r>
          </w:p>
        </w:tc>
      </w:tr>
      <w:tr>
        <w:trPr>
          <w:trHeight w:val="125"/>
        </w:trPr>
        <w:tc>
          <w:tcPr>
            <w:tcW w:w="3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Adjusted EBITDA .</w:t>
            </w:r>
          </w:p>
        </w:tc>
        <w:tc>
          <w:tcPr>
            <w:tcW w:w="16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(5,501,325 )</w:t>
            </w:r>
          </w:p>
        </w:tc>
        <w:tc>
          <w:tcPr>
            <w:tcW w:w="48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(7,472,644 )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Total Number of Merchants</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Employee share based compensation</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 payment expense to have been recognized immediately for the grant of 58,315,800 employee shares to be $13,995,792. This estimate uses a fair value per employee share of $.24 based on a recent funding of the Company at $.24 per Ordinary Share and an exercise price of £0.0001 for each employee share.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Balance Sheet Information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our unrestricted cash and cash equivalents on our balance sheet and undrawn amounts under our revolving credit facility as of June 30, 2024 and June 30,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6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80" w:type="dxa"/>
            <w:vAlign w:val="bottom"/>
          </w:tcPr>
          <w:p>
            <w:pPr>
              <w:spacing w:after="0"/>
              <w:rPr>
                <w:sz w:val="8"/>
                <w:szCs w:val="8"/>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2024</w:t>
            </w:r>
          </w:p>
        </w:tc>
        <w:tc>
          <w:tcPr>
            <w:tcW w:w="280" w:type="dxa"/>
            <w:vAlign w:val="bottom"/>
          </w:tcPr>
          <w:p>
            <w:pPr>
              <w:spacing w:after="0"/>
              <w:rPr>
                <w:sz w:val="9"/>
                <w:szCs w:val="9"/>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8"/>
                <w:szCs w:val="8"/>
                <w:b w:val="1"/>
                <w:bCs w:val="1"/>
                <w:color w:val="auto"/>
              </w:rPr>
              <w:t>2023</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Unrestricted cash and cash equivalents</w:t>
            </w:r>
          </w:p>
        </w:tc>
        <w:tc>
          <w:tcPr>
            <w:tcW w:w="26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5"/>
              <w:spacing w:after="0" w:line="113" w:lineRule="exact"/>
              <w:rPr>
                <w:sz w:val="20"/>
                <w:szCs w:val="20"/>
                <w:color w:val="auto"/>
              </w:rPr>
            </w:pPr>
            <w:r>
              <w:rPr>
                <w:rFonts w:ascii="Times New Roman" w:cs="Times New Roman" w:eastAsia="Times New Roman" w:hAnsi="Times New Roman"/>
                <w:sz w:val="10"/>
                <w:szCs w:val="10"/>
                <w:color w:val="auto"/>
              </w:rPr>
              <w:t>60,298</w:t>
            </w:r>
          </w:p>
        </w:tc>
        <w:tc>
          <w:tcPr>
            <w:tcW w:w="28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9"/>
                <w:szCs w:val="9"/>
                <w:color w:val="auto"/>
              </w:rPr>
            </w:pPr>
          </w:p>
        </w:tc>
      </w:tr>
      <w:tr>
        <w:trPr>
          <w:trHeight w:val="125"/>
        </w:trPr>
        <w:tc>
          <w:tcPr>
            <w:tcW w:w="1580" w:type="dxa"/>
            <w:vAlign w:val="bottom"/>
          </w:tcPr>
          <w:p>
            <w:pPr>
              <w:spacing w:after="0"/>
              <w:rPr>
                <w:sz w:val="10"/>
                <w:szCs w:val="10"/>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Available liquidity</w:t>
            </w:r>
          </w:p>
        </w:tc>
        <w:tc>
          <w:tcPr>
            <w:tcW w:w="26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60,298</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0"/>
                <w:szCs w:val="10"/>
                <w:color w:val="auto"/>
              </w:rPr>
              <w:t>10,441</w:t>
            </w:r>
          </w:p>
        </w:tc>
        <w:tc>
          <w:tcPr>
            <w:tcW w:w="1600" w:type="dxa"/>
            <w:vAlign w:val="bottom"/>
          </w:tcPr>
          <w:p>
            <w:pPr>
              <w:spacing w:after="0"/>
              <w:rPr>
                <w:sz w:val="10"/>
                <w:szCs w:val="10"/>
                <w:color w:val="auto"/>
              </w:rPr>
            </w:pPr>
          </w:p>
        </w:tc>
      </w:tr>
      <w:tr>
        <w:trPr>
          <w:trHeight w:val="338"/>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40" w:type="dxa"/>
            <w:vAlign w:val="bottom"/>
          </w:tcPr>
          <w:p>
            <w:pPr>
              <w:jc w:val="right"/>
              <w:ind w:right="1411"/>
              <w:spacing w:after="0"/>
              <w:rPr>
                <w:sz w:val="20"/>
                <w:szCs w:val="20"/>
                <w:color w:val="auto"/>
              </w:rPr>
            </w:pPr>
            <w:r>
              <w:rPr>
                <w:rFonts w:ascii="Times New Roman" w:cs="Times New Roman" w:eastAsia="Times New Roman" w:hAnsi="Times New Roman"/>
                <w:sz w:val="10"/>
                <w:szCs w:val="10"/>
                <w:color w:val="auto"/>
              </w:rPr>
              <w:t>71</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6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0"/>
          <w:szCs w:val="10"/>
          <w:b w:val="1"/>
          <w:bCs w:val="1"/>
          <w:color w:val="auto"/>
        </w:rPr>
        <w:t>Cash Flows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summarizes our cash flows for the periods presented:</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3540" w:type="dxa"/>
            <w:vAlign w:val="bottom"/>
          </w:tcPr>
          <w:p>
            <w:pPr>
              <w:spacing w:after="0"/>
              <w:rPr>
                <w:sz w:val="9"/>
                <w:szCs w:val="9"/>
                <w:color w:val="auto"/>
              </w:rPr>
            </w:pPr>
          </w:p>
        </w:tc>
        <w:tc>
          <w:tcPr>
            <w:tcW w:w="21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Six Months Ended June 30,</w:t>
            </w:r>
          </w:p>
        </w:tc>
        <w:tc>
          <w:tcPr>
            <w:tcW w:w="740" w:type="dxa"/>
            <w:vAlign w:val="bottom"/>
            <w:vMerge w:val="restart"/>
          </w:tcPr>
          <w:p>
            <w:pPr>
              <w:jc w:val="right"/>
              <w:ind w:right="473"/>
              <w:spacing w:after="0"/>
              <w:rPr>
                <w:sz w:val="20"/>
                <w:szCs w:val="20"/>
                <w:color w:val="auto"/>
              </w:rPr>
            </w:pPr>
            <w:r>
              <w:rPr>
                <w:rFonts w:ascii="Times New Roman" w:cs="Times New Roman" w:eastAsia="Times New Roman" w:hAnsi="Times New Roman"/>
                <w:sz w:val="8"/>
                <w:szCs w:val="8"/>
                <w:b w:val="1"/>
                <w:bCs w:val="1"/>
                <w:color w:val="auto"/>
              </w:rPr>
              <w:t>2023</w:t>
            </w:r>
          </w:p>
        </w:tc>
        <w:tc>
          <w:tcPr>
            <w:tcW w:w="0" w:type="dxa"/>
            <w:vAlign w:val="bottom"/>
          </w:tcPr>
          <w:p>
            <w:pPr>
              <w:spacing w:after="0"/>
              <w:rPr>
                <w:sz w:val="1"/>
                <w:szCs w:val="1"/>
                <w:color w:val="auto"/>
              </w:rPr>
            </w:pPr>
          </w:p>
        </w:tc>
      </w:tr>
      <w:tr>
        <w:trPr>
          <w:trHeight w:val="96"/>
        </w:trPr>
        <w:tc>
          <w:tcPr>
            <w:tcW w:w="3540" w:type="dxa"/>
            <w:vAlign w:val="bottom"/>
          </w:tcPr>
          <w:p>
            <w:pPr>
              <w:spacing w:after="0"/>
              <w:rPr>
                <w:sz w:val="8"/>
                <w:szCs w:val="8"/>
                <w:color w:val="auto"/>
              </w:rPr>
            </w:pPr>
          </w:p>
        </w:tc>
        <w:tc>
          <w:tcPr>
            <w:tcW w:w="21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operating activities</w:t>
            </w:r>
          </w:p>
        </w:tc>
        <w:tc>
          <w:tcPr>
            <w:tcW w:w="212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w w:val="93"/>
              </w:rPr>
              <w:t>(4,898,451 )</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(8,818,307 )</w:t>
            </w:r>
          </w:p>
        </w:tc>
        <w:tc>
          <w:tcPr>
            <w:tcW w:w="0" w:type="dxa"/>
            <w:vAlign w:val="bottom"/>
          </w:tcPr>
          <w:p>
            <w:pPr>
              <w:spacing w:after="0"/>
              <w:rPr>
                <w:sz w:val="1"/>
                <w:szCs w:val="1"/>
                <w:color w:val="auto"/>
              </w:rPr>
            </w:pPr>
          </w:p>
        </w:tc>
      </w:tr>
      <w:tr>
        <w:trPr>
          <w:trHeight w:val="113"/>
        </w:trPr>
        <w:tc>
          <w:tcPr>
            <w:tcW w:w="35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2120" w:type="dxa"/>
            <w:vAlign w:val="bottom"/>
          </w:tcPr>
          <w:p>
            <w:pPr>
              <w:spacing w:after="0"/>
              <w:rPr>
                <w:sz w:val="9"/>
                <w:szCs w:val="9"/>
                <w:color w:val="auto"/>
              </w:rPr>
            </w:pPr>
          </w:p>
        </w:tc>
        <w:tc>
          <w:tcPr>
            <w:tcW w:w="5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w w:val="93"/>
              </w:rPr>
              <w:t>(1,364,375 )</w:t>
            </w:r>
          </w:p>
        </w:tc>
        <w:tc>
          <w:tcPr>
            <w:tcW w:w="480" w:type="dxa"/>
            <w:vAlign w:val="bottom"/>
          </w:tcPr>
          <w:p>
            <w:pPr>
              <w:spacing w:after="0"/>
              <w:rPr>
                <w:sz w:val="9"/>
                <w:szCs w:val="9"/>
                <w:color w:val="auto"/>
              </w:rPr>
            </w:pPr>
          </w:p>
        </w:tc>
        <w:tc>
          <w:tcPr>
            <w:tcW w:w="7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(112,666 )</w:t>
            </w: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2120" w:type="dxa"/>
            <w:vAlign w:val="bottom"/>
            <w:shd w:val="clear" w:color="auto" w:fill="CFF0FC"/>
          </w:tcPr>
          <w:p>
            <w:pPr>
              <w:spacing w:after="0"/>
              <w:rPr>
                <w:sz w:val="9"/>
                <w:szCs w:val="9"/>
                <w:color w:val="auto"/>
              </w:rPr>
            </w:pPr>
          </w:p>
        </w:tc>
        <w:tc>
          <w:tcPr>
            <w:tcW w:w="5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w w:val="99"/>
              </w:rPr>
              <w:t>6,274,161</w:t>
            </w:r>
          </w:p>
        </w:tc>
        <w:tc>
          <w:tcPr>
            <w:tcW w:w="4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9,171,912</w:t>
            </w:r>
          </w:p>
        </w:tc>
        <w:tc>
          <w:tcPr>
            <w:tcW w:w="0" w:type="dxa"/>
            <w:vAlign w:val="bottom"/>
          </w:tcPr>
          <w:p>
            <w:pPr>
              <w:spacing w:after="0"/>
              <w:rPr>
                <w:sz w:val="1"/>
                <w:szCs w:val="1"/>
                <w:color w:val="auto"/>
              </w:rPr>
            </w:pPr>
          </w:p>
        </w:tc>
      </w:tr>
      <w:tr>
        <w:trPr>
          <w:trHeight w:val="106"/>
        </w:trPr>
        <w:tc>
          <w:tcPr>
            <w:tcW w:w="354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Effect of exchange rate changes on cash and cash</w:t>
            </w:r>
          </w:p>
        </w:tc>
        <w:tc>
          <w:tcPr>
            <w:tcW w:w="2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5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equivalents</w:t>
            </w:r>
          </w:p>
        </w:tc>
        <w:tc>
          <w:tcPr>
            <w:tcW w:w="2120" w:type="dxa"/>
            <w:vAlign w:val="bottom"/>
          </w:tcPr>
          <w:p>
            <w:pPr>
              <w:spacing w:after="0"/>
              <w:rPr>
                <w:sz w:val="10"/>
                <w:szCs w:val="10"/>
                <w:color w:val="auto"/>
              </w:rPr>
            </w:pPr>
          </w:p>
        </w:tc>
        <w:tc>
          <w:tcPr>
            <w:tcW w:w="5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auto"/>
              </w:rPr>
              <w:t>38,522</w:t>
            </w:r>
          </w:p>
        </w:tc>
        <w:tc>
          <w:tcPr>
            <w:tcW w:w="4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(159,230 )</w:t>
            </w:r>
          </w:p>
        </w:tc>
        <w:tc>
          <w:tcPr>
            <w:tcW w:w="0" w:type="dxa"/>
            <w:vAlign w:val="bottom"/>
          </w:tcPr>
          <w:p>
            <w:pPr>
              <w:spacing w:after="0"/>
              <w:rPr>
                <w:sz w:val="1"/>
                <w:szCs w:val="1"/>
                <w:color w:val="auto"/>
              </w:rPr>
            </w:pPr>
          </w:p>
        </w:tc>
      </w:tr>
      <w:tr>
        <w:trPr>
          <w:trHeight w:val="113"/>
        </w:trPr>
        <w:tc>
          <w:tcPr>
            <w:tcW w:w="3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Net (decrease) increase in cash and cash equivalents</w:t>
            </w:r>
          </w:p>
        </w:tc>
        <w:tc>
          <w:tcPr>
            <w:tcW w:w="212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49,857</w:t>
            </w:r>
          </w:p>
        </w:tc>
        <w:tc>
          <w:tcPr>
            <w:tcW w:w="4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81,709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Operating Activities</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Net cash used in operating activities was $4.9 million for the six months ended June 30, 2024, which resulted from a net loss of $12.8 million from operating activities, adjusted for non-cash items such as share based compensation of $4.0 million, interest expense of $3.0 million, unrealized foreign exchange losses of $0.1m and of changes in working capital of $0.7 million primarily due to an increase in trade and other payables.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Financing Activities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Net cash provided by financing activities of $6.3 million for the six months ended June 30, 2024 was due to proceeds from rights issues of $1.4 million, $0.4 million of short term loans and $4.3 million from convertible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Obligations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DBLP Sea Cow Ltd of $860,778 consists of $ 447,067 loan repayable on demand and DBLP Sea Cow Ltd is owed $413,711 for amounts to be re-imbursed for expenses incurred on behalf of Rezolve at June 30, 2024 (December 31, 2023, $191,405). DBLP is a company incorporated in the Seychelles and is wholly legally owned by Daniel Wagner and beneficially owned by John Wagner, there are no formal loan documents in place and no interest is payable.</w:t>
      </w:r>
    </w:p>
    <w:p>
      <w:pPr>
        <w:spacing w:after="0" w:line="101" w:lineRule="exact"/>
        <w:rPr>
          <w:sz w:val="20"/>
          <w:szCs w:val="20"/>
          <w:color w:val="auto"/>
        </w:rPr>
      </w:pPr>
    </w:p>
    <w:p>
      <w:pPr>
        <w:ind w:firstLine="480"/>
        <w:spacing w:after="0" w:line="292" w:lineRule="auto"/>
        <w:rPr>
          <w:sz w:val="20"/>
          <w:szCs w:val="20"/>
          <w:color w:val="auto"/>
        </w:rPr>
      </w:pPr>
      <w:r>
        <w:rPr>
          <w:rFonts w:ascii="Times New Roman" w:cs="Times New Roman" w:eastAsia="Times New Roman" w:hAnsi="Times New Roman"/>
          <w:sz w:val="10"/>
          <w:szCs w:val="10"/>
          <w:color w:val="auto"/>
        </w:rPr>
        <w:t>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 As at June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2024, $37,956 of borrowing fees have been recognized.</w:t>
      </w:r>
    </w:p>
    <w:p>
      <w:pPr>
        <w:spacing w:after="0" w:line="3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As at June 30, 2024 the Company had Convertible Loans of $38,473,892, plus a Convertible promissory notes of $5,395,702, comprising of a Convertible promissory note of $2,508,685and a Promissory loan note of $2,887,017.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Off-Balance Sheet Arrangements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we did not have any significant off-balance sheet arrangements, as defined in Item 303(a)(4)(ii)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Critical Accounting Policies and Estimates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3" w:right="680" w:bottom="1440" w:gutter="0" w:footer="0" w:header="0"/>
        </w:sectPr>
      </w:pPr>
    </w:p>
    <w:bookmarkStart w:id="82" w:name="page83"/>
    <w:bookmarkEnd w:id="82"/>
    <w:p>
      <w:pPr>
        <w:ind w:firstLine="480"/>
        <w:spacing w:after="0" w:line="259" w:lineRule="auto"/>
        <w:rPr>
          <w:sz w:val="20"/>
          <w:szCs w:val="20"/>
          <w:color w:val="auto"/>
        </w:rPr>
      </w:pPr>
      <w:r>
        <w:rPr>
          <w:rFonts w:ascii="Times New Roman" w:cs="Times New Roman" w:eastAsia="Times New Roman" w:hAnsi="Times New Roman"/>
          <w:sz w:val="10"/>
          <w:szCs w:val="10"/>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0"/>
          <w:szCs w:val="10"/>
          <w:b w:val="1"/>
          <w:bCs w:val="1"/>
          <w:i w:val="1"/>
          <w:iCs w:val="1"/>
          <w:color w:val="auto"/>
        </w:rPr>
        <w:t>Carve-out Consolidated Financial Statements</w:t>
      </w:r>
      <w:r>
        <w:rPr>
          <w:rFonts w:ascii="Times New Roman" w:cs="Times New Roman" w:eastAsia="Times New Roman" w:hAnsi="Times New Roman"/>
          <w:sz w:val="10"/>
          <w:szCs w:val="10"/>
          <w:color w:val="auto"/>
        </w:rPr>
        <w:t>”). The Carve-out Consolidated Financial Statements have been prepared using the United States Dollar as the reporting currency.</w:t>
      </w:r>
    </w:p>
    <w:p>
      <w:pPr>
        <w:spacing w:after="0" w:line="99"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0"/>
          <w:szCs w:val="10"/>
          <w:b w:val="1"/>
          <w:bCs w:val="1"/>
          <w:i w:val="1"/>
          <w:iCs w:val="1"/>
          <w:color w:val="auto"/>
        </w:rPr>
        <w:t>Rezolve China</w:t>
      </w:r>
      <w:r>
        <w:rPr>
          <w:rFonts w:ascii="Times New Roman" w:cs="Times New Roman" w:eastAsia="Times New Roman" w:hAnsi="Times New Roman"/>
          <w:sz w:val="10"/>
          <w:szCs w:val="10"/>
          <w:color w:val="auto"/>
        </w:rPr>
        <w:t>”) and Rezolve China’s subsidiary Nine Stone (Shanghai) Ltd (“</w:t>
      </w:r>
      <w:r>
        <w:rPr>
          <w:rFonts w:ascii="Times New Roman" w:cs="Times New Roman" w:eastAsia="Times New Roman" w:hAnsi="Times New Roman"/>
          <w:sz w:val="10"/>
          <w:szCs w:val="10"/>
          <w:b w:val="1"/>
          <w:bCs w:val="1"/>
          <w:i w:val="1"/>
          <w:iCs w:val="1"/>
          <w:color w:val="auto"/>
        </w:rPr>
        <w:t>Nine Stone</w:t>
      </w:r>
      <w:r>
        <w:rPr>
          <w:rFonts w:ascii="Times New Roman" w:cs="Times New Roman" w:eastAsia="Times New Roman" w:hAnsi="Times New Roman"/>
          <w:sz w:val="10"/>
          <w:szCs w:val="10"/>
          <w:color w:val="auto"/>
        </w:rPr>
        <w:t>”) (collectively, the “</w:t>
      </w:r>
      <w:r>
        <w:rPr>
          <w:rFonts w:ascii="Times New Roman" w:cs="Times New Roman" w:eastAsia="Times New Roman" w:hAnsi="Times New Roman"/>
          <w:sz w:val="10"/>
          <w:szCs w:val="10"/>
          <w:b w:val="1"/>
          <w:bCs w:val="1"/>
          <w:i w:val="1"/>
          <w:iCs w:val="1"/>
          <w:color w:val="auto"/>
        </w:rPr>
        <w:t>China Business</w:t>
      </w:r>
      <w:r>
        <w:rPr>
          <w:rFonts w:ascii="Times New Roman" w:cs="Times New Roman" w:eastAsia="Times New Roman" w:hAnsi="Times New Roman"/>
          <w:sz w:val="10"/>
          <w:szCs w:val="10"/>
          <w:color w:val="auto"/>
        </w:rPr>
        <w:t>”).</w:t>
      </w:r>
    </w:p>
    <w:p>
      <w:pPr>
        <w:spacing w:after="0" w:line="101" w:lineRule="exact"/>
        <w:rPr>
          <w:sz w:val="20"/>
          <w:szCs w:val="20"/>
          <w:color w:val="auto"/>
        </w:rPr>
      </w:pPr>
    </w:p>
    <w:p>
      <w:pPr>
        <w:ind w:right="120" w:firstLine="480"/>
        <w:spacing w:after="0" w:line="238" w:lineRule="auto"/>
        <w:rPr>
          <w:sz w:val="20"/>
          <w:szCs w:val="20"/>
          <w:color w:val="auto"/>
        </w:rPr>
      </w:pPr>
      <w:r>
        <w:rPr>
          <w:rFonts w:ascii="Times New Roman" w:cs="Times New Roman" w:eastAsia="Times New Roman" w:hAnsi="Times New Roman"/>
          <w:sz w:val="10"/>
          <w:szCs w:val="10"/>
          <w:color w:val="auto"/>
        </w:rPr>
        <w:t xml:space="preserve">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 </w:t>
      </w:r>
      <w:r>
        <w:rPr>
          <w:rFonts w:ascii="Times New Roman" w:cs="Times New Roman" w:eastAsia="Times New Roman" w:hAnsi="Times New Roman"/>
          <w:sz w:val="10"/>
          <w:szCs w:val="10"/>
          <w:b w:val="1"/>
          <w:bCs w:val="1"/>
          <w:i w:val="1"/>
          <w:iCs w:val="1"/>
          <w:color w:val="auto"/>
        </w:rPr>
        <w:t>UK</w:t>
      </w:r>
      <w:r>
        <w:rPr>
          <w:rFonts w:ascii="Times New Roman" w:cs="Times New Roman" w:eastAsia="Times New Roman" w:hAnsi="Times New Roman"/>
          <w:sz w:val="10"/>
          <w:szCs w:val="10"/>
          <w:color w:val="auto"/>
        </w:rPr>
        <w:t xml:space="preserve"> ”) tax authorities requesting tax clearance for a solvent demerger (the “</w:t>
      </w:r>
      <w:r>
        <w:rPr>
          <w:rFonts w:ascii="Times New Roman" w:cs="Times New Roman" w:eastAsia="Times New Roman" w:hAnsi="Times New Roman"/>
          <w:sz w:val="10"/>
          <w:szCs w:val="10"/>
          <w:b w:val="1"/>
          <w:bCs w:val="1"/>
          <w:i w:val="1"/>
          <w:iCs w:val="1"/>
          <w:color w:val="auto"/>
        </w:rPr>
        <w:t>Demerger</w:t>
      </w:r>
      <w:r>
        <w:rPr>
          <w:rFonts w:ascii="Times New Roman" w:cs="Times New Roman" w:eastAsia="Times New Roman" w:hAnsi="Times New Roman"/>
          <w:sz w:val="10"/>
          <w:szCs w:val="10"/>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0"/>
          <w:szCs w:val="10"/>
          <w:b w:val="1"/>
          <w:bCs w:val="1"/>
          <w:i w:val="1"/>
          <w:iCs w:val="1"/>
          <w:color w:val="auto"/>
        </w:rPr>
        <w:t>Rezolve AI</w:t>
      </w:r>
      <w:r>
        <w:rPr>
          <w:rFonts w:ascii="Times New Roman" w:cs="Times New Roman" w:eastAsia="Times New Roman" w:hAnsi="Times New Roman"/>
          <w:sz w:val="10"/>
          <w:szCs w:val="10"/>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09"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have been prepared on the basis that the Demerger was completed retrospectively on December 31, 2020, and thus reflects the predecessor company prior to completion of the Demerger. They are prepared on a carve- 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Revenue from Contracts with Customers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Recently Issued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description of recently issued accounting pronouncements that may potentially impact our financial position, results of operations or cash flows is disclosed in Note 2.6 to the Rezolve Financial Statements included elsewhere in this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Quantitative and Qualitative Disclosures About Market Risk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Interest Rate Risk</w:t>
      </w:r>
    </w:p>
    <w:p>
      <w:pPr>
        <w:spacing w:after="0" w:line="60"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We have no interest rate risk, as the interest rate on our senior secured convertible loan notes is fixed, and the accrued interest converts into ordinary shares upon completion of a listing on a recognized stock exchange and the other loans are either convertible or have a fixed interest rate. The Convertible secured loan notes are reported as debt under troubled debt restructuring.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3" w:right="66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0"/>
          <w:szCs w:val="10"/>
          <w:b w:val="1"/>
          <w:bCs w:val="1"/>
          <w:i w:val="1"/>
          <w:iCs w:val="1"/>
          <w:color w:val="auto"/>
        </w:rPr>
        <w:t>Foreign Currency Risk</w:t>
      </w:r>
    </w:p>
    <w:p>
      <w:pPr>
        <w:spacing w:after="0" w:line="58" w:lineRule="exact"/>
        <w:rPr>
          <w:sz w:val="20"/>
          <w:szCs w:val="20"/>
          <w:color w:val="auto"/>
        </w:rPr>
      </w:pPr>
    </w:p>
    <w:p>
      <w:pPr>
        <w:ind w:firstLine="480"/>
        <w:spacing w:after="0" w:line="259" w:lineRule="auto"/>
        <w:rPr>
          <w:sz w:val="20"/>
          <w:szCs w:val="20"/>
          <w:color w:val="auto"/>
        </w:rPr>
      </w:pPr>
      <w:r>
        <w:rPr>
          <w:rFonts w:ascii="Times New Roman" w:cs="Times New Roman" w:eastAsia="Times New Roman" w:hAnsi="Times New Roman"/>
          <w:sz w:val="10"/>
          <w:szCs w:val="10"/>
          <w:color w:val="auto"/>
        </w:rPr>
        <w:t>All of our revenue is denominated in the Euro (“</w:t>
      </w:r>
      <w:r>
        <w:rPr>
          <w:rFonts w:ascii="Times New Roman" w:cs="Times New Roman" w:eastAsia="Times New Roman" w:hAnsi="Times New Roman"/>
          <w:sz w:val="10"/>
          <w:szCs w:val="10"/>
          <w:b w:val="1"/>
          <w:bCs w:val="1"/>
          <w:i w:val="1"/>
          <w:iCs w:val="1"/>
          <w:color w:val="auto"/>
        </w:rPr>
        <w:t>EUR</w:t>
      </w:r>
      <w:r>
        <w:rPr>
          <w:rFonts w:ascii="Times New Roman" w:cs="Times New Roman" w:eastAsia="Times New Roman" w:hAnsi="Times New Roman"/>
          <w:sz w:val="10"/>
          <w:szCs w:val="10"/>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six months ended June 30, 2024 and 2023 by approximately $0.01 million and $0.01 million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Risk</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Credit Risk</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Liquidity and Capital Resources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•Limiting capital expenditures</w:t>
      </w:r>
      <w:r>
        <w:rPr>
          <w:rFonts w:ascii="Times New Roman" w:cs="Times New Roman" w:eastAsia="Times New Roman" w:hAnsi="Times New Roman"/>
          <w:sz w:val="10"/>
          <w:szCs w:val="10"/>
          <w:i w:val="1"/>
          <w:iCs w:val="1"/>
          <w:color w:val="auto"/>
        </w:rPr>
        <w: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2024 we financed our operations in large part with cash flows from financing activities through cash proceeds from issuance of convertible and short term-debt and a rights issue.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Yorkville Convertible Promissory Note and Capital Commitment</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108"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212529"/>
        </w:rPr>
        <w:t xml:space="preserve">On September 6, 2024, YA and Rezolve executed the Second A&amp;R YA Agreement </w:t>
      </w:r>
      <w:r>
        <w:rPr>
          <w:rFonts w:ascii="Times New Roman" w:cs="Times New Roman" w:eastAsia="Times New Roman" w:hAnsi="Times New Roman"/>
          <w:sz w:val="9"/>
          <w:szCs w:val="9"/>
          <w:color w:val="000000"/>
        </w:rPr>
        <w:t>to incorporate an additional prepaid advance arrangement pursuant to which YA committed to provide Rezolve with prepaid advances in an aggregate original principal amount</w:t>
      </w:r>
      <w:r>
        <w:rPr>
          <w:rFonts w:ascii="Times New Roman" w:cs="Times New Roman" w:eastAsia="Times New Roman" w:hAnsi="Times New Roman"/>
          <w:sz w:val="9"/>
          <w:szCs w:val="9"/>
          <w:color w:val="212529"/>
        </w:rPr>
        <w:t xml:space="preserve"> </w:t>
      </w:r>
      <w:r>
        <w:rPr>
          <w:rFonts w:ascii="Times New Roman" w:cs="Times New Roman" w:eastAsia="Times New Roman" w:hAnsi="Times New Roman"/>
          <w:sz w:val="9"/>
          <w:szCs w:val="9"/>
          <w:color w:val="000000"/>
        </w:rPr>
        <w:t>of an additional Seven Million Five Hundred Thousand Dollars ($7,500,000), which will be in three tranches, with the first tranche in an original principal amount of Two Million Five Hundred Thousand Dollars ($2,500,000) funded in connection with the Additional YA Note, the second tranche in an original principal amount of Two Million Five Hundred Thousand Dollars ($2,500,000) funded in connection with the Additional YA Note, and the third tranche in an original principal amount of Two Million Five Hundred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0"/>
          <w:szCs w:val="10"/>
          <w:color w:val="auto"/>
        </w:rPr>
        <w:t>Thousand Dollars ($2,500,000) to be funded upon the effectiveness of this Registration Statement. The Second A&amp;R YA Agreement superseded the YA Agreement.</w:t>
      </w:r>
    </w:p>
    <w:p>
      <w:pPr>
        <w:spacing w:after="0" w:line="116" w:lineRule="exact"/>
        <w:rPr>
          <w:sz w:val="20"/>
          <w:szCs w:val="20"/>
          <w:color w:val="auto"/>
        </w:rPr>
      </w:pPr>
    </w:p>
    <w:p>
      <w:pPr>
        <w:jc w:val="both"/>
        <w:ind w:right="200" w:firstLine="480"/>
        <w:spacing w:after="0" w:line="247" w:lineRule="auto"/>
        <w:rPr>
          <w:sz w:val="20"/>
          <w:szCs w:val="20"/>
          <w:color w:val="auto"/>
        </w:rPr>
      </w:pPr>
      <w:r>
        <w:rPr>
          <w:rFonts w:ascii="Times New Roman" w:cs="Times New Roman" w:eastAsia="Times New Roman" w:hAnsi="Times New Roman"/>
          <w:sz w:val="10"/>
          <w:szCs w:val="10"/>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0"/>
          <w:szCs w:val="10"/>
          <w:b w:val="1"/>
          <w:bCs w:val="1"/>
          <w:i w:val="1"/>
          <w:iCs w:val="1"/>
          <w:color w:val="auto"/>
        </w:rPr>
        <w:t>YA Note Amendment</w:t>
      </w:r>
      <w:r>
        <w:rPr>
          <w:rFonts w:ascii="Times New Roman" w:cs="Times New Roman" w:eastAsia="Times New Roman" w:hAnsi="Times New Roman"/>
          <w:sz w:val="10"/>
          <w:szCs w:val="10"/>
          <w:color w:val="auto"/>
        </w:rPr>
        <w:t>” and the YA Note, as amended by the YA Note Amendment, the “</w:t>
      </w:r>
      <w:r>
        <w:rPr>
          <w:rFonts w:ascii="Times New Roman" w:cs="Times New Roman" w:eastAsia="Times New Roman" w:hAnsi="Times New Roman"/>
          <w:sz w:val="10"/>
          <w:szCs w:val="10"/>
          <w:b w:val="1"/>
          <w:bCs w:val="1"/>
          <w:i w:val="1"/>
          <w:iCs w:val="1"/>
          <w:color w:val="auto"/>
        </w:rPr>
        <w:t>Amended YA Note</w:t>
      </w:r>
      <w:r>
        <w:rPr>
          <w:rFonts w:ascii="Times New Roman" w:cs="Times New Roman" w:eastAsia="Times New Roman" w:hAnsi="Times New Roman"/>
          <w:sz w:val="10"/>
          <w:szCs w:val="10"/>
          <w:color w:val="auto"/>
        </w:rPr>
        <w:t xml:space="preserve"> ”)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104"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Also in connection with the Second A&amp;R YA Agreement, on September 9, 2024, Rezolve issued the Additional YA Note to YA in the principal amount of $5,000,000 reflecting the first and second tranche of the prepaid advances. The Additional YA Note was issued at a 5% issue discount. Upon the funding of the third tranche of the prepaid advance, Rezolve will issue YA a promissory note in the principal amount of $ 2,500,000 with the same terms as the Additional YA Note. The Additional YA Note bears interest at an annual rate of 10% of the outstanding principal balance of the Note, which such rate will increase to 18% in the Event of Default (as defined in the Additional YA Note) and matures on September 11, 2025. If, at any time after September 9, 2024, and from time to time thereafter, a Trigger Event (as defined in the Additional YA Note) occurs, then Rezolve shall make monthly payments by the 7th trading day after the Trigger Date (as defined in the Additional YA Note) and continuing on the same day of each successive month. Each monthly payment shall be in an amount equal to the sum of (i) $1,875,000 of the principal amount outstanding in the aggregate among the Additional YA Note and any other notes outstanding (or the outstanding principal of the Note if less than such amount) (the “</w:t>
      </w:r>
      <w:r>
        <w:rPr>
          <w:rFonts w:ascii="Times New Roman" w:cs="Times New Roman" w:eastAsia="Times New Roman" w:hAnsi="Times New Roman"/>
          <w:sz w:val="10"/>
          <w:szCs w:val="10"/>
          <w:b w:val="1"/>
          <w:bCs w:val="1"/>
          <w:i w:val="1"/>
          <w:iCs w:val="1"/>
          <w:color w:val="auto"/>
        </w:rPr>
        <w:t>Triggered</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i w:val="1"/>
          <w:iCs w:val="1"/>
          <w:color w:val="auto"/>
        </w:rPr>
        <w:t>Principal Amount</w:t>
      </w:r>
      <w:r>
        <w:rPr>
          <w:rFonts w:ascii="Times New Roman" w:cs="Times New Roman" w:eastAsia="Times New Roman" w:hAnsi="Times New Roman"/>
          <w:sz w:val="10"/>
          <w:szCs w:val="10"/>
          <w:color w:val="auto"/>
        </w:rPr>
        <w:t>”), plus (ii) 10% of the premium amount being paid in respect of such Triggered Principal Amount, plus (iii) accrued and unpaid interest under the Additional YA Note as of each payment date.</w:t>
      </w:r>
    </w:p>
    <w:p>
      <w:pPr>
        <w:spacing w:after="0" w:line="106"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Amended YA Note and Additional YA Note (together, the “</w:t>
      </w:r>
      <w:r>
        <w:rPr>
          <w:rFonts w:ascii="Times New Roman" w:cs="Times New Roman" w:eastAsia="Times New Roman" w:hAnsi="Times New Roman"/>
          <w:sz w:val="10"/>
          <w:szCs w:val="10"/>
          <w:b w:val="1"/>
          <w:bCs w:val="1"/>
          <w:i w:val="1"/>
          <w:iCs w:val="1"/>
          <w:color w:val="auto"/>
        </w:rPr>
        <w:t>YA Notes</w:t>
      </w:r>
      <w:r>
        <w:rPr>
          <w:rFonts w:ascii="Times New Roman" w:cs="Times New Roman" w:eastAsia="Times New Roman" w:hAnsi="Times New Roman"/>
          <w:sz w:val="10"/>
          <w:szCs w:val="10"/>
          <w:color w:val="auto"/>
        </w:rPr>
        <w:t>”) are convertible into Ordinary Shares. The noteholder may elect to convert all or part of the YA Notes into ordinary shares in Rezolve AI Limited at the “</w:t>
      </w:r>
      <w:r>
        <w:rPr>
          <w:rFonts w:ascii="Times New Roman" w:cs="Times New Roman" w:eastAsia="Times New Roman" w:hAnsi="Times New Roman"/>
          <w:sz w:val="10"/>
          <w:szCs w:val="10"/>
          <w:b w:val="1"/>
          <w:bCs w:val="1"/>
          <w:i w:val="1"/>
          <w:iCs w:val="1"/>
          <w:color w:val="auto"/>
        </w:rPr>
        <w:t>Conversion Price</w:t>
      </w:r>
      <w:r>
        <w:rPr>
          <w:rFonts w:ascii="Times New Roman" w:cs="Times New Roman" w:eastAsia="Times New Roman" w:hAnsi="Times New Roman"/>
          <w:sz w:val="10"/>
          <w:szCs w:val="10"/>
          <w:color w:val="auto"/>
        </w:rPr>
        <w:t>” (being the lower of (i) $10 per share (the “</w:t>
      </w:r>
      <w:r>
        <w:rPr>
          <w:rFonts w:ascii="Times New Roman" w:cs="Times New Roman" w:eastAsia="Times New Roman" w:hAnsi="Times New Roman"/>
          <w:sz w:val="10"/>
          <w:szCs w:val="10"/>
          <w:b w:val="1"/>
          <w:bCs w:val="1"/>
          <w:i w:val="1"/>
          <w:iCs w:val="1"/>
          <w:color w:val="auto"/>
        </w:rPr>
        <w:t>Fixed Price</w:t>
      </w:r>
      <w:r>
        <w:rPr>
          <w:rFonts w:ascii="Times New Roman" w:cs="Times New Roman" w:eastAsia="Times New Roman" w:hAnsi="Times New Roman"/>
          <w:sz w:val="10"/>
          <w:szCs w:val="10"/>
          <w:color w:val="auto"/>
        </w:rPr>
        <w:t>”) or (ii) 90% of the lowest daily VWAP during the ten (10) consecutive trading days immediately preceding the conversion date or other later date of determination (the “</w:t>
      </w:r>
      <w:r>
        <w:rPr>
          <w:rFonts w:ascii="Times New Roman" w:cs="Times New Roman" w:eastAsia="Times New Roman" w:hAnsi="Times New Roman"/>
          <w:sz w:val="10"/>
          <w:szCs w:val="10"/>
          <w:b w:val="1"/>
          <w:bCs w:val="1"/>
          <w:i w:val="1"/>
          <w:iCs w:val="1"/>
          <w:color w:val="auto"/>
        </w:rPr>
        <w:t>YA Variable Price</w:t>
      </w:r>
      <w:r>
        <w:rPr>
          <w:rFonts w:ascii="Times New Roman" w:cs="Times New Roman" w:eastAsia="Times New Roman" w:hAnsi="Times New Roman"/>
          <w:sz w:val="10"/>
          <w:szCs w:val="10"/>
          <w:color w:val="auto"/>
        </w:rPr>
        <w:t>”) but which YA Variable Price shall not be lower than the “</w:t>
      </w:r>
      <w:r>
        <w:rPr>
          <w:rFonts w:ascii="Times New Roman" w:cs="Times New Roman" w:eastAsia="Times New Roman" w:hAnsi="Times New Roman"/>
          <w:sz w:val="10"/>
          <w:szCs w:val="10"/>
          <w:b w:val="1"/>
          <w:bCs w:val="1"/>
          <w:i w:val="1"/>
          <w:iCs w:val="1"/>
          <w:color w:val="auto"/>
        </w:rPr>
        <w:t>YA Floor Price</w:t>
      </w:r>
      <w:r>
        <w:rPr>
          <w:rFonts w:ascii="Times New Roman" w:cs="Times New Roman" w:eastAsia="Times New Roman" w:hAnsi="Times New Roman"/>
          <w:sz w:val="10"/>
          <w:szCs w:val="10"/>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10"/>
          <w:szCs w:val="10"/>
          <w:b w:val="1"/>
          <w:bCs w:val="1"/>
          <w:i w:val="1"/>
          <w:iCs w:val="1"/>
          <w:color w:val="auto"/>
        </w:rPr>
        <w:t>YA Exchange Cap</w:t>
      </w:r>
      <w:r>
        <w:rPr>
          <w:rFonts w:ascii="Times New Roman" w:cs="Times New Roman" w:eastAsia="Times New Roman" w:hAnsi="Times New Roman"/>
          <w:sz w:val="10"/>
          <w:szCs w:val="10"/>
          <w:color w:val="auto"/>
        </w:rPr>
        <w:t>”) (unless Rezolve AI Limited shareholders have approved such issuances, or if Rezolve AI Limited is permitted to follow (and has elected to do so) its home country practices instead of the stockholder approval requirements of Nasdaq Rule 5635).</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If a “</w:t>
      </w:r>
      <w:r>
        <w:rPr>
          <w:rFonts w:ascii="Times New Roman" w:cs="Times New Roman" w:eastAsia="Times New Roman" w:hAnsi="Times New Roman"/>
          <w:sz w:val="10"/>
          <w:szCs w:val="10"/>
          <w:b w:val="1"/>
          <w:bCs w:val="1"/>
          <w:i w:val="1"/>
          <w:iCs w:val="1"/>
          <w:color w:val="auto"/>
        </w:rPr>
        <w:t>YA Trigger Event</w:t>
      </w:r>
      <w:r>
        <w:rPr>
          <w:rFonts w:ascii="Times New Roman" w:cs="Times New Roman" w:eastAsia="Times New Roman" w:hAnsi="Times New Roman"/>
          <w:sz w:val="10"/>
          <w:szCs w:val="10"/>
          <w:color w:val="auto"/>
        </w:rPr>
        <w:t>” occurs (being where (i) the daily VWAP is less than the YA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YA Floor Price Trigger</w:t>
      </w:r>
      <w:r>
        <w:rPr>
          <w:rFonts w:ascii="Times New Roman" w:cs="Times New Roman" w:eastAsia="Times New Roman" w:hAnsi="Times New Roman"/>
          <w:sz w:val="10"/>
          <w:szCs w:val="10"/>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YA Exchange Cap Trigger</w:t>
      </w:r>
      <w:r>
        <w:rPr>
          <w:rFonts w:ascii="Times New Roman" w:cs="Times New Roman" w:eastAsia="Times New Roman" w:hAnsi="Times New Roman"/>
          <w:sz w:val="10"/>
          <w:szCs w:val="10"/>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 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0"/>
          <w:szCs w:val="10"/>
          <w:color w:val="auto"/>
        </w:rPr>
        <w:t>The YA Notes have certain rights and obligations under an Intercreditor Agreement entered into between Rezolve Limited, Rezolve AI Limited, YA, Apeiron Investment Group Ltd, and GLAS Trust Corporation Limited as security trustee for Apeiron</w:t>
      </w:r>
    </w:p>
    <w:p>
      <w:pPr>
        <w:spacing w:after="0" w:line="1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85" w:name="page86"/>
    <w:bookmarkEnd w:id="85"/>
    <w:p>
      <w:pPr>
        <w:ind w:right="60"/>
        <w:spacing w:after="0" w:line="247" w:lineRule="auto"/>
        <w:rPr>
          <w:sz w:val="20"/>
          <w:szCs w:val="20"/>
          <w:color w:val="auto"/>
        </w:rPr>
      </w:pPr>
      <w:r>
        <w:rPr>
          <w:rFonts w:ascii="Times New Roman" w:cs="Times New Roman" w:eastAsia="Times New Roman" w:hAnsi="Times New Roman"/>
          <w:sz w:val="10"/>
          <w:szCs w:val="10"/>
          <w:color w:val="auto"/>
        </w:rPr>
        <w:t>Investment Group Ltd (“</w:t>
      </w:r>
      <w:r>
        <w:rPr>
          <w:rFonts w:ascii="Times New Roman" w:cs="Times New Roman" w:eastAsia="Times New Roman" w:hAnsi="Times New Roman"/>
          <w:sz w:val="10"/>
          <w:szCs w:val="10"/>
          <w:b w:val="1"/>
          <w:bCs w:val="1"/>
          <w:i w:val="1"/>
          <w:iCs w:val="1"/>
          <w:color w:val="auto"/>
        </w:rPr>
        <w:t>Intercreditor Agreement</w:t>
      </w:r>
      <w:r>
        <w:rPr>
          <w:rFonts w:ascii="Times New Roman" w:cs="Times New Roman" w:eastAsia="Times New Roman" w:hAnsi="Times New Roman"/>
          <w:sz w:val="10"/>
          <w:szCs w:val="10"/>
          <w:color w:val="auto"/>
        </w:rPr>
        <w: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13" w:lineRule="exact"/>
        <w:rPr>
          <w:sz w:val="20"/>
          <w:szCs w:val="20"/>
          <w:color w:val="auto"/>
        </w:rPr>
      </w:pPr>
    </w:p>
    <w:p>
      <w:pPr>
        <w:ind w:firstLine="480"/>
        <w:spacing w:after="0" w:line="231" w:lineRule="auto"/>
        <w:rPr>
          <w:sz w:val="20"/>
          <w:szCs w:val="20"/>
          <w:color w:val="auto"/>
        </w:rPr>
      </w:pPr>
      <w:r>
        <w:rPr>
          <w:rFonts w:ascii="Times New Roman" w:cs="Times New Roman" w:eastAsia="Times New Roman" w:hAnsi="Times New Roman"/>
          <w:sz w:val="10"/>
          <w:szCs w:val="10"/>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0"/>
          <w:szCs w:val="10"/>
          <w:b w:val="1"/>
          <w:bCs w:val="1"/>
          <w:i w:val="1"/>
          <w:iCs w:val="1"/>
          <w:color w:val="auto"/>
        </w:rPr>
        <w:t>Commitment Fee</w:t>
      </w:r>
      <w:r>
        <w:rPr>
          <w:rFonts w:ascii="Times New Roman" w:cs="Times New Roman" w:eastAsia="Times New Roman" w:hAnsi="Times New Roman"/>
          <w:sz w:val="10"/>
          <w:szCs w:val="10"/>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11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0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Convertible Secured Loan Notes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As of the date hereof, Rezolve is in respect of an aggregate amount of $49,892,080 Convertible Notes,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1805305" cy="5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5305" cy="5080"/>
                    </a:xfrm>
                    <a:prstGeom prst="rect">
                      <a:avLst/>
                    </a:prstGeom>
                    <a:noFill/>
                  </pic:spPr>
                </pic:pic>
              </a:graphicData>
            </a:graphic>
          </wp:anchor>
        </w:drawing>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3" w:right="620" w:bottom="1440" w:gutter="0" w:footer="0" w:header="0"/>
        </w:sectPr>
      </w:pPr>
    </w:p>
    <w:bookmarkStart w:id="86" w:name="page87"/>
    <w:bookmarkEnd w:id="86"/>
    <w:p>
      <w:pPr>
        <w:ind w:left="480"/>
        <w:spacing w:after="0"/>
        <w:rPr>
          <w:sz w:val="20"/>
          <w:szCs w:val="20"/>
          <w:color w:val="auto"/>
        </w:rPr>
      </w:pPr>
      <w:r>
        <w:rPr>
          <w:rFonts w:ascii="Times New Roman" w:cs="Times New Roman" w:eastAsia="Times New Roman" w:hAnsi="Times New Roman"/>
          <w:sz w:val="10"/>
          <w:szCs w:val="10"/>
          <w:color w:val="auto"/>
        </w:rPr>
        <w:t>The Convertible Notes are redeemable by the noteholders in certain events, including, without limitation, the failure of Rezolve to pay any amount due thereunder when due.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99"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Rezolve has agreed that, within forty five (45) days from the date of listing on Nasdaq (the “</w:t>
      </w:r>
      <w:r>
        <w:rPr>
          <w:rFonts w:ascii="Times New Roman" w:cs="Times New Roman" w:eastAsia="Times New Roman" w:hAnsi="Times New Roman"/>
          <w:sz w:val="10"/>
          <w:szCs w:val="10"/>
          <w:b w:val="1"/>
          <w:bCs w:val="1"/>
          <w:i w:val="1"/>
          <w:iCs w:val="1"/>
          <w:color w:val="auto"/>
        </w:rPr>
        <w:t>Registration Deadline</w:t>
      </w:r>
      <w:r>
        <w:rPr>
          <w:rFonts w:ascii="Times New Roman" w:cs="Times New Roman" w:eastAsia="Times New Roman" w:hAnsi="Times New Roman"/>
          <w:sz w:val="10"/>
          <w:szCs w:val="10"/>
          <w:color w:val="auto"/>
        </w:rPr>
        <w:t>”), it will file with the SEC a registration statement (the “</w:t>
      </w:r>
      <w:r>
        <w:rPr>
          <w:rFonts w:ascii="Times New Roman" w:cs="Times New Roman" w:eastAsia="Times New Roman" w:hAnsi="Times New Roman"/>
          <w:sz w:val="10"/>
          <w:szCs w:val="10"/>
          <w:b w:val="1"/>
          <w:bCs w:val="1"/>
          <w:i w:val="1"/>
          <w:iCs w:val="1"/>
          <w:color w:val="auto"/>
        </w:rPr>
        <w:t>Registration Statement</w:t>
      </w:r>
      <w:r>
        <w:rPr>
          <w:rFonts w:ascii="Times New Roman" w:cs="Times New Roman" w:eastAsia="Times New Roman" w:hAnsi="Times New Roman"/>
          <w:sz w:val="10"/>
          <w:szCs w:val="10"/>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04"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05"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If the SEC prevents Rezolve from including any or all of the Registrable Securities proposed to be registered for resale under the Registration Statement due to limitations on the use of Rule 415 of the Securities Act for the resale of the Rezolve securities by the applicable shareholders or otherwise, (i) 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9"/>
          <w:szCs w:val="9"/>
          <w:b w:val="1"/>
          <w:bCs w:val="1"/>
          <w:i w:val="1"/>
          <w:iCs w:val="1"/>
          <w:color w:val="auto"/>
        </w:rPr>
        <w:t>Major Investor</w:t>
      </w:r>
      <w:r>
        <w:rPr>
          <w:rFonts w:ascii="Times New Roman" w:cs="Times New Roman" w:eastAsia="Times New Roman" w:hAnsi="Times New Roman"/>
          <w:sz w:val="9"/>
          <w:szCs w:val="9"/>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0"/>
          <w:szCs w:val="10"/>
          <w:color w:val="auto"/>
        </w:rPr>
        <w:t>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3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60" w:type="dxa"/>
            <w:vAlign w:val="bottom"/>
          </w:tcPr>
          <w:p>
            <w:pPr>
              <w:ind w:left="202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020" w:type="dxa"/>
            <w:vAlign w:val="bottom"/>
          </w:tcPr>
          <w:p>
            <w:pPr>
              <w:ind w:left="2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20" w:type="dxa"/>
            <w:vAlign w:val="bottom"/>
          </w:tcPr>
          <w:p>
            <w:pPr>
              <w:spacing w:after="0"/>
              <w:rPr>
                <w:sz w:val="9"/>
                <w:szCs w:val="9"/>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29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13"/>
        </w:trPr>
        <w:tc>
          <w:tcPr>
            <w:tcW w:w="334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shd w:val="clear" w:color="auto" w:fill="CFF0FC"/>
          </w:tcPr>
          <w:p>
            <w:pPr>
              <w:ind w:left="25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ind w:left="8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1,383,298</w:t>
            </w:r>
          </w:p>
        </w:tc>
      </w:tr>
      <w:tr>
        <w:trPr>
          <w:trHeight w:val="113"/>
        </w:trPr>
        <w:tc>
          <w:tcPr>
            <w:tcW w:w="3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13"/>
        </w:trPr>
        <w:tc>
          <w:tcPr>
            <w:tcW w:w="3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6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r>
      <w:tr>
        <w:trPr>
          <w:trHeight w:val="125"/>
        </w:trPr>
        <w:tc>
          <w:tcPr>
            <w:tcW w:w="334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60" w:type="dxa"/>
            <w:vAlign w:val="bottom"/>
          </w:tcPr>
          <w:p>
            <w:pPr>
              <w:ind w:left="258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Other Convertible Promissory Notes and Warrants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of the Net Investment Amount.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Promissory Notes were issued during the course of February, 2024, pursuant to the terms of the Promissory Note Instruments.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effect from the completion of the Pre-Closing Demerger, the rights and obligations of Rezolve Limited under the Subscription Agreements and the Promissory Note Instruments were novated to Rezolve AI Limited.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8" w:name="page89"/>
    <w:bookmarkEnd w:id="88"/>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05"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03"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Following the public listing of the ordinary shares in Rezolve AI Limited, if a “</w:t>
      </w:r>
      <w:r>
        <w:rPr>
          <w:rFonts w:ascii="Times New Roman" w:cs="Times New Roman" w:eastAsia="Times New Roman" w:hAnsi="Times New Roman"/>
          <w:sz w:val="10"/>
          <w:szCs w:val="10"/>
          <w:b w:val="1"/>
          <w:bCs w:val="1"/>
          <w:i w:val="1"/>
          <w:iCs w:val="1"/>
          <w:color w:val="auto"/>
        </w:rPr>
        <w:t>Promissory Note Trigger Event</w:t>
      </w:r>
      <w:r>
        <w:rPr>
          <w:rFonts w:ascii="Times New Roman" w:cs="Times New Roman" w:eastAsia="Times New Roman" w:hAnsi="Times New Roman"/>
          <w:sz w:val="10"/>
          <w:szCs w:val="10"/>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0"/>
          <w:szCs w:val="10"/>
          <w:b w:val="1"/>
          <w:bCs w:val="1"/>
          <w:i w:val="1"/>
          <w:iCs w:val="1"/>
          <w:color w:val="auto"/>
        </w:rPr>
        <w:t>Promissory Note Floor Price Trigger</w:t>
      </w:r>
      <w:r>
        <w:rPr>
          <w:rFonts w:ascii="Times New Roman" w:cs="Times New Roman" w:eastAsia="Times New Roman" w:hAnsi="Times New Roman"/>
          <w:sz w:val="10"/>
          <w:szCs w:val="10"/>
          <w:color w:val="auto"/>
        </w:rPr>
        <w:t>”), or (ii) Rezolve AI Limited has issued in excess of 99% of the ordinary shares available under the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0"/>
          <w:szCs w:val="10"/>
          <w:b w:val="1"/>
          <w:bCs w:val="1"/>
          <w:i w:val="1"/>
          <w:iCs w:val="1"/>
          <w:color w:val="auto"/>
        </w:rPr>
        <w:t>Promissory Note Exchange Cap Trigger</w:t>
      </w:r>
      <w:r>
        <w:rPr>
          <w:rFonts w:ascii="Times New Roman" w:cs="Times New Roman" w:eastAsia="Times New Roman" w:hAnsi="Times New Roman"/>
          <w:sz w:val="10"/>
          <w:szCs w:val="10"/>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0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89" w:name="page90"/>
    <w:bookmarkEnd w:id="89"/>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BUSINESS OF REZOLVE</w:t>
      </w:r>
    </w:p>
    <w:p>
      <w:pPr>
        <w:spacing w:after="0" w:line="95" w:lineRule="exact"/>
        <w:rPr>
          <w:sz w:val="20"/>
          <w:szCs w:val="20"/>
          <w:color w:val="auto"/>
        </w:rPr>
      </w:pPr>
    </w:p>
    <w:p>
      <w:pPr>
        <w:ind w:left="1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Limited and its subsidiaries following the Pre-Closing Demerger, unless the context clearly indicates otherwise.</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Overview</w:t>
      </w:r>
    </w:p>
    <w:p>
      <w:pPr>
        <w:spacing w:after="0" w:line="68" w:lineRule="exact"/>
        <w:rPr>
          <w:sz w:val="20"/>
          <w:szCs w:val="20"/>
          <w:color w:val="auto"/>
        </w:rPr>
      </w:pPr>
    </w:p>
    <w:p>
      <w:pPr>
        <w:ind w:left="10" w:firstLine="480"/>
        <w:spacing w:after="0" w:line="230" w:lineRule="auto"/>
        <w:rPr>
          <w:sz w:val="20"/>
          <w:szCs w:val="20"/>
          <w:color w:val="auto"/>
        </w:rPr>
      </w:pPr>
      <w:r>
        <w:rPr>
          <w:rFonts w:ascii="Times New Roman" w:cs="Times New Roman" w:eastAsia="Times New Roman" w:hAnsi="Times New Roman"/>
          <w:sz w:val="10"/>
          <w:szCs w:val="10"/>
          <w:color w:val="auto"/>
        </w:rPr>
        <w:t>We are recognized</w:t>
      </w:r>
      <w:r>
        <w:rPr>
          <w:rFonts w:ascii="Times New Roman" w:cs="Times New Roman" w:eastAsia="Times New Roman" w:hAnsi="Times New Roman"/>
          <w:sz w:val="13"/>
          <w:szCs w:val="13"/>
          <w:color w:val="auto"/>
          <w:vertAlign w:val="superscript"/>
        </w:rPr>
        <w:t>3</w:t>
      </w:r>
      <w:r>
        <w:rPr>
          <w:rFonts w:ascii="Times New Roman" w:cs="Times New Roman" w:eastAsia="Times New Roman" w:hAnsi="Times New Roman"/>
          <w:sz w:val="10"/>
          <w:szCs w:val="10"/>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10" w:lineRule="exact"/>
        <w:rPr>
          <w:sz w:val="20"/>
          <w:szCs w:val="20"/>
          <w:color w:val="auto"/>
        </w:rPr>
      </w:pPr>
    </w:p>
    <w:p>
      <w:pPr>
        <w:ind w:left="10" w:right="80" w:firstLine="480"/>
        <w:spacing w:after="0" w:line="310" w:lineRule="auto"/>
        <w:rPr>
          <w:sz w:val="20"/>
          <w:szCs w:val="20"/>
          <w:color w:val="auto"/>
        </w:rPr>
      </w:pPr>
      <w:r>
        <w:rPr>
          <w:rFonts w:ascii="Times New Roman" w:cs="Times New Roman" w:eastAsia="Times New Roman" w:hAnsi="Times New Roman"/>
          <w:sz w:val="9"/>
          <w:szCs w:val="9"/>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78" w:lineRule="exact"/>
        <w:rPr>
          <w:sz w:val="20"/>
          <w:szCs w:val="20"/>
          <w:color w:val="auto"/>
        </w:rPr>
      </w:pPr>
    </w:p>
    <w:p>
      <w:pPr>
        <w:ind w:left="10" w:right="20" w:firstLine="480"/>
        <w:spacing w:after="0" w:line="241" w:lineRule="auto"/>
        <w:rPr>
          <w:sz w:val="20"/>
          <w:szCs w:val="20"/>
          <w:color w:val="auto"/>
        </w:rPr>
      </w:pPr>
      <w:r>
        <w:rPr>
          <w:rFonts w:ascii="Times New Roman" w:cs="Times New Roman" w:eastAsia="Times New Roman" w:hAnsi="Times New Roman"/>
          <w:sz w:val="10"/>
          <w:szCs w:val="10"/>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08"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105" w:lineRule="exact"/>
        <w:rPr>
          <w:sz w:val="20"/>
          <w:szCs w:val="20"/>
          <w:color w:val="auto"/>
        </w:rPr>
      </w:pPr>
    </w:p>
    <w:p>
      <w:pPr>
        <w:ind w:left="1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1352550" cy="5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52550" cy="5080"/>
                    </a:xfrm>
                    <a:prstGeom prst="rect">
                      <a:avLst/>
                    </a:prstGeom>
                    <a:noFill/>
                  </pic:spPr>
                </pic:pic>
              </a:graphicData>
            </a:graphic>
          </wp:anchor>
        </w:drawing>
      </w:r>
    </w:p>
    <w:p>
      <w:pPr>
        <w:spacing w:after="0" w:line="148" w:lineRule="exact"/>
        <w:rPr>
          <w:sz w:val="20"/>
          <w:szCs w:val="20"/>
          <w:color w:val="auto"/>
        </w:rPr>
      </w:pPr>
    </w:p>
    <w:p>
      <w:pPr>
        <w:ind w:left="5270" w:right="4420" w:hanging="5270"/>
        <w:spacing w:after="0" w:line="644" w:lineRule="auto"/>
        <w:tabs>
          <w:tab w:leader="none" w:pos="63"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Please see Rezolve Press Release dated July 25, 2023, available at </w:t>
      </w:r>
      <w:r>
        <w:rPr>
          <w:rFonts w:ascii="Times New Roman" w:cs="Times New Roman" w:eastAsia="Times New Roman" w:hAnsi="Times New Roman"/>
          <w:sz w:val="10"/>
          <w:szCs w:val="10"/>
          <w:u w:val="single" w:color="auto"/>
          <w:color w:val="auto"/>
        </w:rPr>
        <w:t>https://www.rezolve.com/investors/britainsbrain-heralds-new-era-of-commerce-enabled-ai/</w:t>
      </w:r>
      <w:r>
        <w:rPr>
          <w:rFonts w:ascii="Times New Roman" w:cs="Times New Roman" w:eastAsia="Times New Roman" w:hAnsi="Times New Roman"/>
          <w:sz w:val="10"/>
          <w:szCs w:val="10"/>
          <w:color w:val="auto"/>
        </w:rPr>
        <w:t xml:space="preserv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677862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033" w:right="620" w:bottom="1440" w:gutter="0" w:footer="0" w:header="0"/>
        </w:sectPr>
      </w:pPr>
    </w:p>
    <w:bookmarkStart w:id="90" w:name="page91"/>
    <w:bookmarkEnd w:id="90"/>
    <w:p>
      <w:pPr>
        <w:ind w:left="1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338"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Our total revenues were $0.1 million and $0.1 million, for the years ended December 31, 2022 and 2023, respectively. We had net losses of $110.7 million and $31.7 million inclusive of non-cash items representing $10.2m and $28.6m, respectively for the years ended December 31, 2022 and 2023, respectively. We currently generate our revenue from Transaction fees based on sales of ticketing for La Liga football events in Spain.</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Recent Developments</w:t>
      </w:r>
    </w:p>
    <w:p>
      <w:pPr>
        <w:spacing w:after="0" w:line="60"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25, 2023, Rezolve announced the introduction of two new offerings: (1) myBrain, Rezolve’s offering to individual users; and (2) Brain, Rezolve’s offering to businesses using AI and GPT technologies, with Brain offered in the following geographies:</w:t>
      </w:r>
    </w:p>
    <w:p>
      <w:pPr>
        <w:spacing w:after="0" w:line="19" w:lineRule="exact"/>
        <w:rPr>
          <w:sz w:val="20"/>
          <w:szCs w:val="20"/>
          <w:color w:val="auto"/>
        </w:rPr>
      </w:pPr>
    </w:p>
    <w:p>
      <w:pPr>
        <w:jc w:val="both"/>
        <w:ind w:left="10" w:right="200" w:hanging="10"/>
        <w:spacing w:after="0" w:line="236" w:lineRule="auto"/>
        <w:tabs>
          <w:tab w:leader="none" w:pos="143"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w:t>
      </w:r>
      <w:r>
        <w:rPr>
          <w:rFonts w:ascii="Times New Roman" w:cs="Times New Roman" w:eastAsia="Times New Roman" w:hAnsi="Times New Roman"/>
          <w:sz w:val="10"/>
          <w:szCs w:val="10"/>
          <w:i w:val="1"/>
          <w:iCs w:val="1"/>
          <w:color w:val="auto"/>
        </w:rPr>
        <w:t>Business of Rezolve Limited</w:t>
      </w: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87630</wp:posOffset>
            </wp:positionV>
            <wp:extent cx="2872105" cy="14763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72105" cy="1476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Industry Overview and Trends</w:t>
      </w:r>
    </w:p>
    <w:p>
      <w:pPr>
        <w:spacing w:after="0" w:line="60" w:lineRule="exact"/>
        <w:rPr>
          <w:sz w:val="20"/>
          <w:szCs w:val="20"/>
          <w:color w:val="auto"/>
        </w:rPr>
      </w:pPr>
    </w:p>
    <w:p>
      <w:pPr>
        <w:ind w:left="10" w:right="80" w:firstLine="480"/>
        <w:spacing w:after="0" w:line="245" w:lineRule="auto"/>
        <w:rPr>
          <w:sz w:val="20"/>
          <w:szCs w:val="20"/>
          <w:color w:val="auto"/>
        </w:rPr>
      </w:pPr>
      <w:r>
        <w:rPr>
          <w:rFonts w:ascii="Times New Roman" w:cs="Times New Roman" w:eastAsia="Times New Roman" w:hAnsi="Times New Roman"/>
          <w:sz w:val="10"/>
          <w:szCs w:val="10"/>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05" w:lineRule="exact"/>
        <w:rPr>
          <w:sz w:val="20"/>
          <w:szCs w:val="20"/>
          <w:color w:val="auto"/>
        </w:rPr>
      </w:pPr>
    </w:p>
    <w:p>
      <w:pPr>
        <w:jc w:val="both"/>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w:t>
      </w:r>
    </w:p>
    <w:p>
      <w:pPr>
        <w:spacing w:after="0" w:line="78"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70"/>
          </w:cols>
          <w:pgMar w:left="630" w:top="1155" w:right="70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0"/>
          <w:szCs w:val="10"/>
          <w:color w:val="auto"/>
        </w:rPr>
        <w:t>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Are Increasingly Engaging Through Digital Channels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05"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While the growth in digital consumption has increasingly become mainstream for shopping, it has not completely replaced traditional offline purchasing. Consumers have adopted an “Online to Offline,” or O2O model which lends itself to mobile applications.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38% of U.S shoppers start their journey on a smartphone and finish their purchase offline, according to an April 2019 report by RetailMeNot.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have Lost Connectivity to the End Consumer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08"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Consumers Expect a Seamless Interaction Between Offline and Online Channels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Merchants Are Struggling to Differentiate</w:t>
      </w:r>
    </w:p>
    <w:p>
      <w:pPr>
        <w:spacing w:after="0" w:line="60" w:lineRule="exact"/>
        <w:rPr>
          <w:sz w:val="20"/>
          <w:szCs w:val="20"/>
          <w:color w:val="auto"/>
        </w:rPr>
      </w:pPr>
    </w:p>
    <w:p>
      <w:pPr>
        <w:ind w:right="220" w:firstLine="480"/>
        <w:spacing w:after="0" w:line="310" w:lineRule="auto"/>
        <w:rPr>
          <w:sz w:val="20"/>
          <w:szCs w:val="20"/>
          <w:color w:val="auto"/>
        </w:rPr>
      </w:pPr>
      <w:r>
        <w:rPr>
          <w:rFonts w:ascii="Times New Roman" w:cs="Times New Roman" w:eastAsia="Times New Roman" w:hAnsi="Times New Roman"/>
          <w:sz w:val="9"/>
          <w:szCs w:val="9"/>
          <w:color w:val="auto"/>
        </w:rPr>
        <w:t>In a world where consumers have more choices than ever, differentiating a merchant’s brand takes on increased importance. A merchant needs to stand out from the crowd. If a consumer searches a third-party marketplace or e- 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2" w:name="page93"/>
    <w:bookmarkEnd w:id="92"/>
    <w:p>
      <w:pPr>
        <w:ind w:right="160"/>
        <w:spacing w:after="0" w:line="255" w:lineRule="auto"/>
        <w:rPr>
          <w:sz w:val="20"/>
          <w:szCs w:val="20"/>
          <w:color w:val="auto"/>
        </w:rPr>
      </w:pPr>
      <w:r>
        <w:rPr>
          <w:rFonts w:ascii="Times New Roman" w:cs="Times New Roman" w:eastAsia="Times New Roman" w:hAnsi="Times New Roman"/>
          <w:sz w:val="10"/>
          <w:szCs w:val="10"/>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Complicated Experiences Result in Lost Opportunities with Consumers</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Solution</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provide a AI- and cloud -based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merchants:</w:t>
      </w:r>
    </w:p>
    <w:p>
      <w:pPr>
        <w:spacing w:after="0" w:line="56"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eCommerce-Specific AI Platform and Suite—Brain.</w:t>
      </w:r>
      <w:r>
        <w:rPr>
          <w:rFonts w:ascii="Times New Roman" w:cs="Times New Roman" w:eastAsia="Times New Roman" w:hAnsi="Times New Roman"/>
          <w:sz w:val="10"/>
          <w:szCs w:val="10"/>
          <w:color w:val="auto"/>
        </w:rPr>
        <w:t xml:space="preserve"> Rezolve’s Brain allows customers, either online or instore, to ask, via voice or text and in 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37" w:lineRule="exact"/>
        <w:rPr>
          <w:sz w:val="20"/>
          <w:szCs w:val="20"/>
          <w:color w:val="auto"/>
        </w:rPr>
      </w:pPr>
    </w:p>
    <w:p>
      <w:pPr>
        <w:ind w:left="480" w:right="12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Rezolve’s Instant Checkout allows websites to convert passive browsers into actors or buyers with one click directly from the 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45" w:lineRule="exact"/>
        <w:rPr>
          <w:sz w:val="20"/>
          <w:szCs w:val="20"/>
          <w:color w:val="auto"/>
        </w:rPr>
      </w:pPr>
    </w:p>
    <w:p>
      <w:pPr>
        <w:jc w:val="both"/>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Our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42"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Omnichannel Interactions.</w:t>
      </w:r>
      <w:r>
        <w:rPr>
          <w:rFonts w:ascii="Times New Roman" w:cs="Times New Roman" w:eastAsia="Times New Roman" w:hAnsi="Times New Roman"/>
          <w:sz w:val="10"/>
          <w:szCs w:val="10"/>
          <w:color w:val="auto"/>
        </w:rPr>
        <w:t xml:space="preserve"> The Rezolve platform provides multiple opportunities for interaction. For example, triggers can include a location 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93" w:name="page94"/>
    <w:bookmarkEnd w:id="93"/>
    <w:p>
      <w:pPr>
        <w:ind w:right="2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Brand Engagement</w:t>
      </w:r>
      <w:r>
        <w:rPr>
          <w:rFonts w:ascii="Times New Roman" w:cs="Times New Roman" w:eastAsia="Times New Roman" w:hAnsi="Times New Roman"/>
          <w:sz w:val="10"/>
          <w:szCs w:val="10"/>
          <w:color w:val="auto"/>
        </w:rPr>
        <w:t>. We deliver a comprehensive commerce and engagement platform that allows merchants to easily create direct 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3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Seamless Integration with Existing Applications.</w:t>
      </w:r>
      <w:r>
        <w:rPr>
          <w:rFonts w:ascii="Times New Roman" w:cs="Times New Roman" w:eastAsia="Times New Roman" w:hAnsi="Times New Roman"/>
          <w:sz w:val="10"/>
          <w:szCs w:val="10"/>
          <w:color w:val="auto"/>
        </w:rPr>
        <w:t xml:space="preserve"> We expect the Rezolve solution to be able to be integrated with a merchant’s application 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0"/>
          <w:szCs w:val="10"/>
          <w:i w:val="1"/>
          <w:iCs w:val="1"/>
          <w:color w:val="auto"/>
        </w:rPr>
        <w:t>Shop Beautiful</w:t>
      </w:r>
      <w:r>
        <w:rPr>
          <w:rFonts w:ascii="Times New Roman" w:cs="Times New Roman" w:eastAsia="Times New Roman" w:hAnsi="Times New Roman"/>
          <w:sz w:val="10"/>
          <w:szCs w:val="10"/>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4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Actionable Analytics and Insights</w:t>
      </w:r>
      <w:r>
        <w:rPr>
          <w:rFonts w:ascii="Times New Roman" w:cs="Times New Roman" w:eastAsia="Times New Roman" w:hAnsi="Times New Roman"/>
          <w:sz w:val="10"/>
          <w:szCs w:val="10"/>
          <w:color w:val="auto"/>
        </w:rPr>
        <w:t>. With our platform, we expect merchants will be able to receive direct insights into consumer behavior that are often not shared by third-party intermediaries. For example, when consumers use a third-party service for food delivery, the third- 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 Frictionless Consumer Experience</w:t>
      </w:r>
      <w:r>
        <w:rPr>
          <w:rFonts w:ascii="Times New Roman" w:cs="Times New Roman" w:eastAsia="Times New Roman" w:hAnsi="Times New Roman"/>
          <w:sz w:val="10"/>
          <w:szCs w:val="10"/>
          <w:color w:val="auto"/>
        </w:rPr>
        <w:t>. We expect that our platform will provide consumers with an intuitive and immediate user experience. 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85090</wp:posOffset>
            </wp:positionV>
            <wp:extent cx="2609850" cy="1510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9850" cy="151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9"/>
          <w:szCs w:val="9"/>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100"/>
          </w:cols>
          <w:pgMar w:left="1120" w:top="1093" w:right="680" w:bottom="1440" w:gutter="0" w:footer="0" w:header="0"/>
        </w:sectPr>
      </w:pPr>
    </w:p>
    <w:bookmarkStart w:id="94" w:name="page95"/>
    <w:bookmarkEnd w:id="94"/>
    <w:p>
      <w:pPr>
        <w:ind w:left="480"/>
        <w:spacing w:after="0"/>
        <w:rPr>
          <w:sz w:val="20"/>
          <w:szCs w:val="20"/>
          <w:color w:val="auto"/>
        </w:rPr>
      </w:pPr>
      <w:r>
        <w:rPr>
          <w:rFonts w:ascii="Times New Roman" w:cs="Times New Roman" w:eastAsia="Times New Roman" w:hAnsi="Times New Roman"/>
          <w:sz w:val="10"/>
          <w:szCs w:val="10"/>
          <w:color w:val="auto"/>
        </w:rPr>
        <w:t>Our platform provides the following key benefits to these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93345</wp:posOffset>
            </wp:positionV>
            <wp:extent cx="2881630" cy="17291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8163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Opportunity</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0"/>
          <w:szCs w:val="10"/>
          <w:i w:val="1"/>
          <w:iCs w:val="1"/>
          <w:color w:val="auto"/>
        </w:rPr>
        <w:t>Partner Agreements</w:t>
      </w:r>
      <w:r>
        <w:rPr>
          <w:rFonts w:ascii="Times New Roman" w:cs="Times New Roman" w:eastAsia="Times New Roman" w:hAnsi="Times New Roman"/>
          <w:sz w:val="10"/>
          <w:szCs w:val="10"/>
          <w:color w:val="auto"/>
        </w:rPr>
        <w: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16"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We initially entered the Chinese market in 2016 in order to trial the Rezolve platform on a large scale. This was done with support from China Union Pay (“</w:t>
      </w:r>
      <w:r>
        <w:rPr>
          <w:rFonts w:ascii="Times New Roman" w:cs="Times New Roman" w:eastAsia="Times New Roman" w:hAnsi="Times New Roman"/>
          <w:sz w:val="10"/>
          <w:szCs w:val="10"/>
          <w:b w:val="1"/>
          <w:bCs w:val="1"/>
          <w:i w:val="1"/>
          <w:iCs w:val="1"/>
          <w:color w:val="auto"/>
        </w:rPr>
        <w:t>CUP</w:t>
      </w:r>
      <w:r>
        <w:rPr>
          <w:rFonts w:ascii="Times New Roman" w:cs="Times New Roman" w:eastAsia="Times New Roman" w:hAnsi="Times New Roman"/>
          <w:sz w:val="10"/>
          <w:szCs w:val="10"/>
          <w:color w:val="auto"/>
        </w:rPr>
        <w:t>”) and Allinpay (“</w:t>
      </w:r>
      <w:r>
        <w:rPr>
          <w:rFonts w:ascii="Times New Roman" w:cs="Times New Roman" w:eastAsia="Times New Roman" w:hAnsi="Times New Roman"/>
          <w:sz w:val="10"/>
          <w:szCs w:val="10"/>
          <w:b w:val="1"/>
          <w:bCs w:val="1"/>
          <w:i w:val="1"/>
          <w:iCs w:val="1"/>
          <w:color w:val="auto"/>
        </w:rPr>
        <w:t>AP</w:t>
      </w:r>
      <w:r>
        <w:rPr>
          <w:rFonts w:ascii="Times New Roman" w:cs="Times New Roman" w:eastAsia="Times New Roman" w:hAnsi="Times New Roman"/>
          <w:sz w:val="10"/>
          <w:szCs w:val="10"/>
          <w:color w:val="auto"/>
        </w:rPr>
        <w:t>”) . Rezolve’s former subsidiary, Rezolve Information Technology (Shanghai) Limited (“</w:t>
      </w:r>
      <w:r>
        <w:rPr>
          <w:rFonts w:ascii="Times New Roman" w:cs="Times New Roman" w:eastAsia="Times New Roman" w:hAnsi="Times New Roman"/>
          <w:sz w:val="10"/>
          <w:szCs w:val="10"/>
          <w:b w:val="1"/>
          <w:bCs w:val="1"/>
          <w:i w:val="1"/>
          <w:iCs w:val="1"/>
          <w:color w:val="auto"/>
        </w:rPr>
        <w:t>Rezolve Shanghai</w:t>
      </w:r>
      <w:r>
        <w:rPr>
          <w:rFonts w:ascii="Times New Roman" w:cs="Times New Roman" w:eastAsia="Times New Roman" w:hAnsi="Times New Roman"/>
          <w:sz w:val="10"/>
          <w:szCs w:val="10"/>
          <w:color w:val="auto"/>
        </w:rPr>
        <w:t>”) is a Wholly owned Foreign Entity (“</w:t>
      </w:r>
      <w:r>
        <w:rPr>
          <w:rFonts w:ascii="Times New Roman" w:cs="Times New Roman" w:eastAsia="Times New Roman" w:hAnsi="Times New Roman"/>
          <w:sz w:val="10"/>
          <w:szCs w:val="10"/>
          <w:b w:val="1"/>
          <w:bCs w:val="1"/>
          <w:i w:val="1"/>
          <w:iCs w:val="1"/>
          <w:color w:val="auto"/>
        </w:rPr>
        <w:t>WoFE</w:t>
      </w:r>
      <w:r>
        <w:rPr>
          <w:rFonts w:ascii="Times New Roman" w:cs="Times New Roman" w:eastAsia="Times New Roman" w:hAnsi="Times New Roman"/>
          <w:sz w:val="10"/>
          <w:szCs w:val="10"/>
          <w:color w:val="auto"/>
        </w:rPr>
        <w:t>”), which limits its influence locally in China. A WoFE in China must generally contract with a local third-party company if it wants to do business with a state-owned enterprise (“</w:t>
      </w:r>
      <w:r>
        <w:rPr>
          <w:rFonts w:ascii="Times New Roman" w:cs="Times New Roman" w:eastAsia="Times New Roman" w:hAnsi="Times New Roman"/>
          <w:sz w:val="10"/>
          <w:szCs w:val="10"/>
          <w:b w:val="1"/>
          <w:bCs w:val="1"/>
          <w:i w:val="1"/>
          <w:iCs w:val="1"/>
          <w:color w:val="auto"/>
        </w:rPr>
        <w:t>SOE</w:t>
      </w:r>
      <w:r>
        <w:rPr>
          <w:rFonts w:ascii="Times New Roman" w:cs="Times New Roman" w:eastAsia="Times New Roman" w:hAnsi="Times New Roman"/>
          <w:sz w:val="10"/>
          <w:szCs w:val="10"/>
          <w:color w:val="auto"/>
        </w:rPr>
        <w:t>”),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9"/>
          <w:szCs w:val="9"/>
          <w:color w:val="auto"/>
        </w:rPr>
        <w:t>If in the future, a new Rezolve entity can be accredited to operate directly with CUP and AP, the board will consider re-entering the China market. However, the current focus is on rolling out our technologies with partners in other markets around the world.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5" w:name="page96"/>
    <w:bookmarkEnd w:id="95"/>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01" w:lineRule="exact"/>
        <w:rPr>
          <w:sz w:val="20"/>
          <w:szCs w:val="20"/>
          <w:color w:val="auto"/>
        </w:rPr>
      </w:pPr>
    </w:p>
    <w:p>
      <w:pPr>
        <w:ind w:right="340" w:firstLine="480"/>
        <w:spacing w:after="0" w:line="310" w:lineRule="auto"/>
        <w:rPr>
          <w:sz w:val="20"/>
          <w:szCs w:val="20"/>
          <w:color w:val="auto"/>
        </w:rPr>
      </w:pPr>
      <w:r>
        <w:rPr>
          <w:rFonts w:ascii="Times New Roman" w:cs="Times New Roman" w:eastAsia="Times New Roman" w:hAnsi="Times New Roman"/>
          <w:sz w:val="9"/>
          <w:szCs w:val="9"/>
          <w:color w:val="auto"/>
        </w:rPr>
        <w:t>Location-based advertising allows organizations to target consumers at a granular, consumer level with online or offline messaging based on their physical location. Location -based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7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01" w:lineRule="exact"/>
        <w:rPr>
          <w:sz w:val="20"/>
          <w:szCs w:val="20"/>
          <w:color w:val="auto"/>
        </w:rPr>
      </w:pPr>
    </w:p>
    <w:p>
      <w:pPr>
        <w:jc w:val="both"/>
        <w:ind w:right="280" w:firstLine="480"/>
        <w:spacing w:after="0" w:line="310" w:lineRule="auto"/>
        <w:rPr>
          <w:sz w:val="20"/>
          <w:szCs w:val="20"/>
          <w:color w:val="auto"/>
        </w:rPr>
      </w:pPr>
      <w:r>
        <w:rPr>
          <w:rFonts w:ascii="Times New Roman" w:cs="Times New Roman" w:eastAsia="Times New Roman" w:hAnsi="Times New Roman"/>
          <w:sz w:val="9"/>
          <w:szCs w:val="9"/>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web search statistics: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•98% of consumers use the Internet to find a local business in 2022.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•76% of consumers “always” or “regularly” read online reviews for local businesses. (BrightLocal survey)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•29% of consumers search for local businesses at least every week. (BrightLocal survey)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Growth Strategy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Key elements of our strategy include:</w:t>
      </w:r>
    </w:p>
    <w:p>
      <w:pPr>
        <w:spacing w:after="0" w:line="56"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Scaling Existing Channels.</w:t>
      </w:r>
      <w:r>
        <w:rPr>
          <w:rFonts w:ascii="Times New Roman" w:cs="Times New Roman" w:eastAsia="Times New Roman" w:hAnsi="Times New Roman"/>
          <w:sz w:val="10"/>
          <w:szCs w:val="10"/>
          <w:color w:val="auto"/>
        </w:rPr>
        <w:t xml:space="preserve"> We believe that we have a significant opportunity to work with our existing Channels to grow their customer base. We intend to continue to strategically invest in marketing and strategic relationships. Our existing Channels deliver an opportunity for growth in the near term within our existing geographies and current platform.</w:t>
      </w:r>
    </w:p>
    <w:p>
      <w:pPr>
        <w:spacing w:after="0" w:line="37" w:lineRule="exact"/>
        <w:rPr>
          <w:sz w:val="20"/>
          <w:szCs w:val="20"/>
          <w:color w:val="auto"/>
        </w:rPr>
      </w:pPr>
    </w:p>
    <w:p>
      <w:pPr>
        <w:ind w:left="480" w:right="16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Win New Channels</w:t>
      </w:r>
      <w:r>
        <w:rPr>
          <w:rFonts w:ascii="Times New Roman" w:cs="Times New Roman" w:eastAsia="Times New Roman" w:hAnsi="Times New Roman"/>
          <w:sz w:val="10"/>
          <w:szCs w:val="10"/>
          <w:color w:val="auto"/>
        </w:rPr>
        <w:t>. We see significant potential in opening up new distribution channels in other markets, such as Telcos and banks, who we believe will be able to replicate the success we are experiencing in our current markets. Opening new distribution channels will allow us to accelerate our growth.</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New Offering Features</w:t>
      </w:r>
      <w:r>
        <w:rPr>
          <w:rFonts w:ascii="Times New Roman" w:cs="Times New Roman" w:eastAsia="Times New Roman" w:hAnsi="Times New Roman"/>
          <w:sz w:val="10"/>
          <w:szCs w:val="10"/>
          <w:color w:val="auto"/>
        </w:rPr>
        <w:t>. We plan to add to and expand our platform with further functionality including live event notifications, dynamic coupons, more personalization and personal experiences as well as provided artificial intelligence layers to enable more convenient and segmented merchandizing.</w:t>
      </w:r>
    </w:p>
    <w:p>
      <w:pPr>
        <w:spacing w:after="0" w:line="37" w:lineRule="exact"/>
        <w:rPr>
          <w:sz w:val="20"/>
          <w:szCs w:val="20"/>
          <w:color w:val="auto"/>
        </w:rPr>
      </w:pPr>
    </w:p>
    <w:p>
      <w:pPr>
        <w:ind w:left="480" w:right="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Upsell/Cross Sell</w:t>
      </w:r>
      <w:r>
        <w:rPr>
          <w:rFonts w:ascii="Times New Roman" w:cs="Times New Roman" w:eastAsia="Times New Roman" w:hAnsi="Times New Roman"/>
          <w:sz w:val="10"/>
          <w:szCs w:val="10"/>
          <w:color w:val="auto"/>
        </w:rPr>
        <w:t>. We expect to further penetrate our customer base. We intend to expand direct and indirect sales capabilities, drive dynamic 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Enter New Geographies</w:t>
      </w:r>
      <w:r>
        <w:rPr>
          <w:rFonts w:ascii="Times New Roman" w:cs="Times New Roman" w:eastAsia="Times New Roman" w:hAnsi="Times New Roman"/>
          <w:sz w:val="10"/>
          <w:szCs w:val="10"/>
          <w:color w:val="auto"/>
        </w:rPr>
        <w:t>. We intend to capitalize on our global growth momentum in India, the U.S., Latin America, East Asia, broader Europe, Australia, Canada and Brazil.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96" w:name="page97"/>
    <w:bookmarkEnd w:id="96"/>
    <w:p>
      <w:pPr>
        <w:ind w:left="480" w:right="8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Strategic Acquisitions</w:t>
      </w:r>
      <w:r>
        <w:rPr>
          <w:rFonts w:ascii="Times New Roman" w:cs="Times New Roman" w:eastAsia="Times New Roman" w:hAnsi="Times New Roman"/>
          <w:sz w:val="10"/>
          <w:szCs w:val="10"/>
          <w:color w:val="auto"/>
        </w:rPr>
        <w:t>. We intend to selectively pursue acquisitions that enhance our existing platform capabilities and are consistent with our 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Rezolve Platform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cloud-based Rezolve AI platform integrates the features and functionalities that merchants need to seamlessly transact across different Channels. Capabilities include:</w:t>
      </w:r>
    </w:p>
    <w:p>
      <w:pPr>
        <w:spacing w:after="0" w:line="58" w:lineRule="exact"/>
        <w:rPr>
          <w:sz w:val="20"/>
          <w:szCs w:val="20"/>
          <w:color w:val="auto"/>
        </w:rPr>
      </w:pPr>
    </w:p>
    <w:p>
      <w:pPr>
        <w:ind w:left="480" w:right="20"/>
        <w:spacing w:after="0" w:line="27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9"/>
          <w:szCs w:val="9"/>
          <w:i w:val="1"/>
          <w:iCs w:val="1"/>
          <w:color w:val="auto"/>
        </w:rPr>
        <w:t>Ecommerce Chat and Search.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Rezolve’s Brain allows customers, either online or instore, to ask, via voice or text and in any language, any question of a merchant’s product catalogue and customer support knowledge base using conversational prompts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9"/>
          <w:szCs w:val="9"/>
          <w:color w:val="auto"/>
        </w:rPr>
        <w:t>immediately be recommended the most appropriate products and answers. They will also be able to see product comparisons, reviews, and pricing information all in one place. Our UI and frontend is fully responsive with a multi -tenant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78105</wp:posOffset>
            </wp:positionV>
            <wp:extent cx="2776855" cy="10052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76855" cy="1005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Customer Loyalty Programs.</w:t>
      </w:r>
      <w:r>
        <w:rPr>
          <w:rFonts w:ascii="Times New Roman" w:cs="Times New Roman" w:eastAsia="Times New Roman" w:hAnsi="Times New Roman"/>
          <w:sz w:val="10"/>
          <w:szCs w:val="10"/>
          <w:color w:val="auto"/>
        </w:rPr>
        <w:t xml:space="preserve"> We expect to bring together merchants and consumers with the goal of empowering merchants to engage directly 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37"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Direct Customer Insights</w:t>
      </w:r>
      <w:r>
        <w:rPr>
          <w:rFonts w:ascii="Times New Roman" w:cs="Times New Roman" w:eastAsia="Times New Roman" w:hAnsi="Times New Roman"/>
          <w:sz w:val="10"/>
          <w:szCs w:val="10"/>
          <w:color w:val="auto"/>
        </w:rPr>
        <w:t>. We expect our platform to provide merchants with direct access to their customers and their key information about shopping preferences, which they can use to drive further consumer engagement. For brands that typically sell their products through third-party intermediaries, these insights are useful for building brand affinity and loyalty.</w:t>
      </w:r>
    </w:p>
    <w:p>
      <w:pPr>
        <w:spacing w:after="0" w:line="37"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Vouchering</w:t>
      </w:r>
      <w:r>
        <w:rPr>
          <w:rFonts w:ascii="Times New Roman" w:cs="Times New Roman" w:eastAsia="Times New Roman" w:hAnsi="Times New Roman"/>
          <w:sz w:val="10"/>
          <w:szCs w:val="10"/>
          <w:color w:val="auto"/>
        </w:rPr>
        <w:t>. We expect to enable merchants to be more flexible in their offerings to consumers. With the Rezolve platform integrated into merchants’ apps, consumers are able to scan products and buy them through the app, eliminating the need to wait online in retail stores.</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Retailer Point-of-Sale / Back office.</w:t>
      </w:r>
      <w:r>
        <w:rPr>
          <w:rFonts w:ascii="Times New Roman" w:cs="Times New Roman" w:eastAsia="Times New Roman" w:hAnsi="Times New Roman"/>
          <w:sz w:val="10"/>
          <w:szCs w:val="10"/>
          <w:color w:val="auto"/>
        </w:rPr>
        <w:t xml:space="preserve"> We expect to provide merchants with a self-service portal, featuring an accessible dashboard to manage shoppable campaigns and to track consumers’ shopping trends.</w:t>
      </w:r>
    </w:p>
    <w:p>
      <w:pPr>
        <w:spacing w:after="0" w:line="58" w:lineRule="exact"/>
        <w:rPr>
          <w:sz w:val="20"/>
          <w:szCs w:val="20"/>
          <w:color w:val="auto"/>
        </w:rPr>
      </w:pPr>
    </w:p>
    <w:p>
      <w:pPr>
        <w:ind w:left="480" w:right="3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Mobile Payments.</w:t>
      </w:r>
      <w:r>
        <w:rPr>
          <w:rFonts w:ascii="Times New Roman" w:cs="Times New Roman" w:eastAsia="Times New Roman" w:hAnsi="Times New Roman"/>
          <w:sz w:val="10"/>
          <w:szCs w:val="10"/>
          <w:color w:val="auto"/>
        </w:rPr>
        <w:t xml:space="preserve"> We expect to enhance merchants’ platforms by making the checkout process frictionless. Consumers only need a mobile device to use the Rezolve platform to instantly buy products that are featured in advertisements or scan and buy products in retail stores.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Ability to Pay Online or Offline.</w:t>
      </w:r>
      <w:r>
        <w:rPr>
          <w:rFonts w:ascii="Times New Roman" w:cs="Times New Roman" w:eastAsia="Times New Roman" w:hAnsi="Times New Roman"/>
          <w:sz w:val="10"/>
          <w:szCs w:val="10"/>
          <w:color w:val="auto"/>
        </w:rPr>
        <w:t xml:space="preserve"> We expect to offer instant salesware through one-click checkouts that enable seamless transactions through the app. Consumers are able to find offers nearby and browse through products both online and offline. For local offers, consumers can simply go into the brick-and-mortar stores or can order through an app.</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3" w:right="62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0"/>
          <w:szCs w:val="10"/>
          <w:b w:val="1"/>
          <w:bCs w:val="1"/>
          <w:i w:val="1"/>
          <w:iCs w:val="1"/>
          <w:color w:val="auto"/>
        </w:rPr>
        <w:t>Engagement Opportunities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expect our platform to integrate with and address the following engagement opportunities: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Chat and Search</w:t>
      </w:r>
      <w:r>
        <w:rPr>
          <w:rFonts w:ascii="Times New Roman" w:cs="Times New Roman" w:eastAsia="Times New Roman" w:hAnsi="Times New Roman"/>
          <w:sz w:val="10"/>
          <w:szCs w:val="10"/>
          <w:color w:val="auto"/>
        </w:rPr>
        <w:t>. Merchants can interact naturally with customers via Rezolve Brain.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GeoZones.</w:t>
      </w:r>
      <w:r>
        <w:rPr>
          <w:rFonts w:ascii="Times New Roman" w:cs="Times New Roman" w:eastAsia="Times New Roman" w:hAnsi="Times New Roman"/>
          <w:sz w:val="10"/>
          <w:szCs w:val="10"/>
          <w:color w:val="auto"/>
        </w:rPr>
        <w:t xml:space="preserve"> Merchants can interact with consumers based on proximity to certain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Media with Audio.</w:t>
      </w:r>
      <w:r>
        <w:rPr>
          <w:rFonts w:ascii="Times New Roman" w:cs="Times New Roman" w:eastAsia="Times New Roman" w:hAnsi="Times New Roman"/>
          <w:sz w:val="10"/>
          <w:szCs w:val="10"/>
          <w:color w:val="auto"/>
        </w:rPr>
        <w:t xml:space="preserve"> Merchants can integrate watermarks in broadcast and streaming media.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Visual Events.</w:t>
      </w:r>
      <w:r>
        <w:rPr>
          <w:rFonts w:ascii="Times New Roman" w:cs="Times New Roman" w:eastAsia="Times New Roman" w:hAnsi="Times New Roman"/>
          <w:sz w:val="10"/>
          <w:szCs w:val="10"/>
          <w:color w:val="auto"/>
        </w:rPr>
        <w:t xml:space="preserve"> Merchants can integrate watermarks in posters, advertising, product labels and merchandise.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Beacons</w:t>
      </w:r>
      <w:r>
        <w:rPr>
          <w:rFonts w:ascii="Times New Roman" w:cs="Times New Roman" w:eastAsia="Times New Roman" w:hAnsi="Times New Roman"/>
          <w:sz w:val="10"/>
          <w:szCs w:val="10"/>
          <w:color w:val="auto"/>
        </w:rPr>
        <w:t>. Merchants can establish near-proximity beacons which allow near-field proximity engagements (3 inches to 36 inches plus) in both indoor and outdoor locations.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SmartLinks.</w:t>
      </w:r>
      <w:r>
        <w:rPr>
          <w:rFonts w:ascii="Times New Roman" w:cs="Times New Roman" w:eastAsia="Times New Roman" w:hAnsi="Times New Roman"/>
          <w:sz w:val="10"/>
          <w:szCs w:val="10"/>
          <w:color w:val="auto"/>
        </w:rPr>
        <w:t xml:space="preserve"> Merchants can embed URL links into social media posts and email communications (amongst others) which trigger Instant Checkout and Instant Act engagements.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SmartCodes.</w:t>
      </w:r>
      <w:r>
        <w:rPr>
          <w:rFonts w:ascii="Times New Roman" w:cs="Times New Roman" w:eastAsia="Times New Roman" w:hAnsi="Times New Roman"/>
          <w:sz w:val="10"/>
          <w:szCs w:val="10"/>
          <w:color w:val="auto"/>
        </w:rPr>
        <w:t xml:space="preserve"> Merchants can establish QR codes integrated with their media with a richer engagement experience for the consumer.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Checkout.</w:t>
      </w:r>
      <w:r>
        <w:rPr>
          <w:rFonts w:ascii="Times New Roman" w:cs="Times New Roman" w:eastAsia="Times New Roman" w:hAnsi="Times New Roman"/>
          <w:sz w:val="10"/>
          <w:szCs w:val="10"/>
          <w:color w:val="auto"/>
        </w:rPr>
        <w:t xml:space="preserve"> Merchants can embed Buy Now and Act Now buttons on their websites and advertisements for instant engagement and conversion.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Transaction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Using the Rezolve dashboard, we expect that merchants can link a trigger from one of the above Channel opportunities with the following types of events or actions as examples of use cases:</w:t>
      </w:r>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Fast Checkout:</w:t>
      </w:r>
      <w:r>
        <w:rPr>
          <w:rFonts w:ascii="Times New Roman" w:cs="Times New Roman" w:eastAsia="Times New Roman" w:hAnsi="Times New Roman"/>
          <w:sz w:val="10"/>
          <w:szCs w:val="10"/>
          <w:color w:val="auto"/>
        </w:rPr>
        <w:t xml:space="preserve"> Consumers can scan products, bag and exit the store without waiting in line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Expanding Walls:</w:t>
      </w:r>
      <w:r>
        <w:rPr>
          <w:rFonts w:ascii="Times New Roman" w:cs="Times New Roman" w:eastAsia="Times New Roman" w:hAnsi="Times New Roman"/>
          <w:sz w:val="10"/>
          <w:szCs w:val="10"/>
          <w:color w:val="auto"/>
        </w:rPr>
        <w:t xml:space="preserve"> Consumers can view a broader selection of products than available in a store (e.g., furniture and clothing) that can be sold from a display wall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Stay at Table or Reserve:</w:t>
      </w:r>
      <w:r>
        <w:rPr>
          <w:rFonts w:ascii="Times New Roman" w:cs="Times New Roman" w:eastAsia="Times New Roman" w:hAnsi="Times New Roman"/>
          <w:sz w:val="10"/>
          <w:szCs w:val="10"/>
          <w:color w:val="auto"/>
        </w:rPr>
        <w:t xml:space="preserve"> Consumers can scan advertisement or menu, order items, pay and either pick up at counter or have delivered to table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Buy and Fly:</w:t>
      </w:r>
      <w:r>
        <w:rPr>
          <w:rFonts w:ascii="Times New Roman" w:cs="Times New Roman" w:eastAsia="Times New Roman" w:hAnsi="Times New Roman"/>
          <w:sz w:val="10"/>
          <w:szCs w:val="10"/>
          <w:color w:val="auto"/>
        </w:rPr>
        <w:t xml:space="preserve"> Consumers can pick up items, scan, buy, bag, leave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e-Ticketing and Access Control:</w:t>
      </w:r>
      <w:r>
        <w:rPr>
          <w:rFonts w:ascii="Times New Roman" w:cs="Times New Roman" w:eastAsia="Times New Roman" w:hAnsi="Times New Roman"/>
          <w:sz w:val="10"/>
          <w:szCs w:val="10"/>
          <w:color w:val="auto"/>
        </w:rPr>
        <w:t xml:space="preserve"> Tickets are electronically delivered to their handset to enable secure and streamlined access control</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Pre-Order Queue-Busting:</w:t>
      </w:r>
      <w:r>
        <w:rPr>
          <w:rFonts w:ascii="Times New Roman" w:cs="Times New Roman" w:eastAsia="Times New Roman" w:hAnsi="Times New Roman"/>
          <w:sz w:val="10"/>
          <w:szCs w:val="10"/>
          <w:color w:val="auto"/>
        </w:rPr>
        <w:t xml:space="preserve"> Enable supporters to pre-order food, beverage and merchandise from their seat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Location sensitive:</w:t>
      </w:r>
      <w:r>
        <w:rPr>
          <w:rFonts w:ascii="Times New Roman" w:cs="Times New Roman" w:eastAsia="Times New Roman" w:hAnsi="Times New Roman"/>
          <w:sz w:val="10"/>
          <w:szCs w:val="10"/>
          <w:color w:val="auto"/>
        </w:rPr>
        <w:t xml:space="preserve"> Offers and promotions nearby, navigate to the location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Instant engagement:</w:t>
      </w:r>
      <w:r>
        <w:rPr>
          <w:rFonts w:ascii="Times New Roman" w:cs="Times New Roman" w:eastAsia="Times New Roman" w:hAnsi="Times New Roman"/>
          <w:sz w:val="10"/>
          <w:szCs w:val="10"/>
          <w:color w:val="auto"/>
        </w:rPr>
        <w:t xml:space="preserve"> Buy or get more information directly from any form of advertising or directly from posters in shop windows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Technology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Rezolve platform is a multi-tenant cloud-based system that is engineered for high scalability, reliability and performance.</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39" w:lineRule="exact"/>
        <w:rPr>
          <w:sz w:val="20"/>
          <w:szCs w:val="20"/>
          <w:color w:val="auto"/>
        </w:rPr>
      </w:pPr>
    </w:p>
    <w:p>
      <w:pPr>
        <w:ind w:left="480"/>
        <w:spacing w:after="0" w:line="241"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Artificial Intelligence.</w:t>
      </w:r>
      <w:r>
        <w:rPr>
          <w:rFonts w:ascii="Times New Roman" w:cs="Times New Roman" w:eastAsia="Times New Roman" w:hAnsi="Times New Roman"/>
          <w:sz w:val="10"/>
          <w:szCs w:val="10"/>
          <w:color w:val="auto"/>
        </w:rPr>
        <w:t xml:space="preserve"> Our Large Language Model (“</w:t>
      </w:r>
      <w:r>
        <w:rPr>
          <w:rFonts w:ascii="Times New Roman" w:cs="Times New Roman" w:eastAsia="Times New Roman" w:hAnsi="Times New Roman"/>
          <w:sz w:val="10"/>
          <w:szCs w:val="10"/>
          <w:b w:val="1"/>
          <w:bCs w:val="1"/>
          <w:i w:val="1"/>
          <w:iCs w:val="1"/>
          <w:color w:val="auto"/>
        </w:rPr>
        <w:t>LLM</w:t>
      </w:r>
      <w:r>
        <w:rPr>
          <w:rFonts w:ascii="Times New Roman" w:cs="Times New Roman" w:eastAsia="Times New Roman" w:hAnsi="Times New Roman"/>
          <w:sz w:val="10"/>
          <w:szCs w:val="10"/>
          <w:color w:val="auto"/>
        </w:rPr>
        <w:t>”) uses proprietary AI to interrogate presales, sales and post-sales content as well as 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98" w:name="page99"/>
    <w:bookmarkEnd w:id="98"/>
    <w:p>
      <w:pPr>
        <w:ind w:right="140"/>
        <w:spacing w:after="0" w:line="310" w:lineRule="auto"/>
        <w:rPr>
          <w:sz w:val="20"/>
          <w:szCs w:val="20"/>
          <w:color w:val="auto"/>
        </w:rPr>
      </w:pPr>
      <w:r>
        <w:rPr>
          <w:rFonts w:ascii="Times New Roman" w:cs="Times New Roman" w:eastAsia="Times New Roman" w:hAnsi="Times New Roman"/>
          <w:sz w:val="9"/>
          <w:szCs w:val="9"/>
          <w:color w:val="auto"/>
        </w:rPr>
        <w:t>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67945</wp:posOffset>
            </wp:positionV>
            <wp:extent cx="2400300" cy="1414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0030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Security.</w:t>
      </w:r>
      <w:r>
        <w:rPr>
          <w:rFonts w:ascii="Times New Roman" w:cs="Times New Roman" w:eastAsia="Times New Roman" w:hAnsi="Times New Roman"/>
          <w:sz w:val="10"/>
          <w:szCs w:val="10"/>
          <w:color w:val="auto"/>
        </w:rPr>
        <w:t xml:space="preserve"> Our proprietary AI-Platform keeps both merchant and customer confidential and PII data secure and is regulated by the strict GDPR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Encryption.</w:t>
      </w:r>
      <w:r>
        <w:rPr>
          <w:rFonts w:ascii="Times New Roman" w:cs="Times New Roman" w:eastAsia="Times New Roman" w:hAnsi="Times New Roman"/>
          <w:sz w:val="10"/>
          <w:szCs w:val="10"/>
          <w:color w:val="auto"/>
        </w:rPr>
        <w:t xml:space="preserve"> All data is encrypted at rest (AES-256) and in transit.</w:t>
      </w:r>
    </w:p>
    <w:p>
      <w:pPr>
        <w:spacing w:after="0" w:line="5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Data usage.</w:t>
      </w:r>
      <w:r>
        <w:rPr>
          <w:rFonts w:ascii="Times New Roman" w:cs="Times New Roman" w:eastAsia="Times New Roman" w:hAnsi="Times New Roman"/>
          <w:sz w:val="10"/>
          <w:szCs w:val="10"/>
          <w:color w:val="auto"/>
        </w:rPr>
        <w:t xml:space="preserve"> All uploaded content such as support documentation, manuals, knowledge base and product catalogue is stored in isolated 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4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Anti-counterfeiting Solution</w:t>
      </w:r>
      <w:r>
        <w:rPr>
          <w:rFonts w:ascii="Times New Roman" w:cs="Times New Roman" w:eastAsia="Times New Roman" w:hAnsi="Times New Roman"/>
          <w:sz w:val="10"/>
          <w:szCs w:val="10"/>
          <w:color w:val="auto"/>
        </w:rPr>
        <w:t>. Rezolve’s watermarking solution is based on our proprietary machinelearning technology that hides encoded 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4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Scalability.</w:t>
      </w:r>
      <w:r>
        <w:rPr>
          <w:rFonts w:ascii="Times New Roman" w:cs="Times New Roman" w:eastAsia="Times New Roman" w:hAnsi="Times New Roman"/>
          <w:sz w:val="10"/>
          <w:szCs w:val="10"/>
          <w:color w:val="auto"/>
        </w:rPr>
        <w:t xml:space="preserve"> Our platform Core services are built on Open Telecom Platform technology Erlang which allows us to create highly distributed microservices to easily and quickly scale end user activity and transactions. Rezolve’s CORE gateway can spawn a massive number of processes with little overhead on demand which makes it highly scalable and reliable.</w:t>
      </w:r>
    </w:p>
    <w:p>
      <w:pPr>
        <w:spacing w:after="0" w:line="3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Resilience.</w:t>
      </w:r>
      <w:r>
        <w:rPr>
          <w:rFonts w:ascii="Times New Roman" w:cs="Times New Roman" w:eastAsia="Times New Roman" w:hAnsi="Times New Roman"/>
          <w:sz w:val="10"/>
          <w:szCs w:val="10"/>
          <w:color w:val="auto"/>
        </w:rPr>
        <w:t xml:space="preserve"> Our platform applications and system architectures are designed to support High Availability and Redundancy across all services 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3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Embedded Connectivity.</w:t>
      </w:r>
      <w:r>
        <w:rPr>
          <w:rFonts w:ascii="Times New Roman" w:cs="Times New Roman" w:eastAsia="Times New Roman" w:hAnsi="Times New Roman"/>
          <w:sz w:val="10"/>
          <w:szCs w:val="10"/>
          <w:color w:val="auto"/>
        </w:rPr>
        <w:t xml:space="preserve"> Rezolve’s mobile SDK provides a quick and easy solution to embed and enable Rezolve platform functionality in any Android and iOS app. The accompanying SDK sample app and documents allow third-party developers to quickly leverage the power of our solution.</w:t>
      </w:r>
    </w:p>
    <w:p>
      <w:pPr>
        <w:spacing w:after="0" w:line="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0"/>
          <w:szCs w:val="1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256540</wp:posOffset>
            </wp:positionV>
            <wp:extent cx="677862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080"/>
          </w:cols>
          <w:pgMar w:left="1120" w:top="1095" w:right="700" w:bottom="1440" w:gutter="0" w:footer="0" w:header="0"/>
        </w:sectPr>
      </w:pPr>
    </w:p>
    <w:bookmarkStart w:id="99" w:name="page100"/>
    <w:bookmarkEnd w:id="99"/>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Central Management.</w:t>
      </w:r>
      <w:r>
        <w:rPr>
          <w:rFonts w:ascii="Times New Roman" w:cs="Times New Roman" w:eastAsia="Times New Roman" w:hAnsi="Times New Roman"/>
          <w:sz w:val="10"/>
          <w:szCs w:val="10"/>
          <w:color w:val="auto"/>
        </w:rPr>
        <w:t xml:space="preserve"> Rezolve maintains a central management and configuration tool that allows it to quickly setup partners, merchants, payments, apps and index content from its merchants so it’s available via the SDK.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Analytics &amp; Reporting.</w:t>
      </w:r>
      <w:r>
        <w:rPr>
          <w:rFonts w:ascii="Times New Roman" w:cs="Times New Roman" w:eastAsia="Times New Roman" w:hAnsi="Times New Roman"/>
          <w:sz w:val="10"/>
          <w:szCs w:val="10"/>
          <w:color w:val="auto"/>
        </w:rPr>
        <w:t xml:space="preserve"> Rezolve SDK and Backend Data Ingestor Service gathers metrics on usage, transactions, interactions and feeds it to the Analytics Engine to churn out smart Dashboards and Reports.</w:t>
      </w:r>
    </w:p>
    <w:p>
      <w:pPr>
        <w:spacing w:after="0" w:line="58" w:lineRule="exact"/>
        <w:rPr>
          <w:sz w:val="20"/>
          <w:szCs w:val="20"/>
          <w:color w:val="auto"/>
        </w:rPr>
      </w:pPr>
    </w:p>
    <w:p>
      <w:pPr>
        <w:ind w:left="48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Snap-on Integrations.</w:t>
      </w:r>
      <w:r>
        <w:rPr>
          <w:rFonts w:ascii="Times New Roman" w:cs="Times New Roman" w:eastAsia="Times New Roman" w:hAnsi="Times New Roman"/>
          <w:sz w:val="10"/>
          <w:szCs w:val="10"/>
          <w:color w:val="auto"/>
        </w:rPr>
        <w:t xml:space="preserve"> Rezolve’s Platform supports a snap-on integration design that allows integrations to any payment provider or gateway as well as eCommerce platforms with minimum effort. Rezolve already supports a large number of payment providers and ramping up support for e-commerce platforms via its unique plugin architecture and webhooks.</w:t>
      </w:r>
    </w:p>
    <w:p>
      <w:pPr>
        <w:spacing w:after="0" w:line="37" w:lineRule="exact"/>
        <w:rPr>
          <w:sz w:val="20"/>
          <w:szCs w:val="20"/>
          <w:color w:val="auto"/>
        </w:rPr>
      </w:pPr>
    </w:p>
    <w:p>
      <w:pPr>
        <w:ind w:left="480" w:right="2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Mass Onboarding.</w:t>
      </w:r>
      <w:r>
        <w:rPr>
          <w:rFonts w:ascii="Times New Roman" w:cs="Times New Roman" w:eastAsia="Times New Roman" w:hAnsi="Times New Roman"/>
          <w:sz w:val="10"/>
          <w:szCs w:val="10"/>
          <w:color w:val="auto"/>
        </w:rPr>
        <w:t xml:space="preserve"> Bulk Onboarding of Merchants is a new and unique offering of our platform that allows us to set up and configure more than 10,000 merchants. Admin portal provides an easy to operate tool for operations teams to quickly add a large merchant base in any market on demand.</w:t>
      </w:r>
    </w:p>
    <w:p>
      <w:pPr>
        <w:spacing w:after="0" w:line="37"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Smart Triggers.</w:t>
      </w:r>
      <w:r>
        <w:rPr>
          <w:rFonts w:ascii="Times New Roman" w:cs="Times New Roman" w:eastAsia="Times New Roman" w:hAnsi="Times New Roman"/>
          <w:sz w:val="10"/>
          <w:szCs w:val="10"/>
          <w:color w:val="auto"/>
        </w:rPr>
        <w:t xml:space="preserve"> Rezolve’s implementation of GeoZones, Beacons and Watermarking are important elements of its platform. The creation of these triggers via Rezolve’s Experience Platform when combined with its SDK delivers a powerful tool to Merchants to deliver non spamming targeted engagements.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Developer Friendly.</w:t>
      </w:r>
      <w:r>
        <w:rPr>
          <w:rFonts w:ascii="Times New Roman" w:cs="Times New Roman" w:eastAsia="Times New Roman" w:hAnsi="Times New Roman"/>
          <w:sz w:val="10"/>
          <w:szCs w:val="10"/>
          <w:color w:val="auto"/>
        </w:rPr>
        <w:t xml:space="preserve"> Rezolve’s REST API provides another integration point for any partner or client not using native mobile apps. We can easily support progressive web applications, hybrid applications, web-based services and other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Our Channels</w:t>
      </w:r>
    </w:p>
    <w:p>
      <w:pPr>
        <w:spacing w:after="0" w:line="60" w:lineRule="exact"/>
        <w:rPr>
          <w:sz w:val="20"/>
          <w:szCs w:val="20"/>
          <w:color w:val="auto"/>
        </w:rPr>
      </w:pPr>
    </w:p>
    <w:p>
      <w:pPr>
        <w:ind w:right="20" w:firstLine="480"/>
        <w:spacing w:after="0" w:line="273" w:lineRule="auto"/>
        <w:rPr>
          <w:sz w:val="20"/>
          <w:szCs w:val="20"/>
          <w:color w:val="auto"/>
        </w:rPr>
      </w:pPr>
      <w:r>
        <w:rPr>
          <w:rFonts w:ascii="Times New Roman" w:cs="Times New Roman" w:eastAsia="Times New Roman" w:hAnsi="Times New Roman"/>
          <w:sz w:val="9"/>
          <w:szCs w:val="9"/>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Competition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market is transforming, competitive and highly fragmented, and we expect competition to increase in the future. We believe the principal competitive factors in our market are: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•proprietary actionable AI-engineered products and solutions focused on commerce;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•simplicity and ease of use;;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•integration of multiple Channels;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•breadth and depth of functionality;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•pace of innovation;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•ability to scale;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•security and reliability;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•support for brand development;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•brand recognition and reputation.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With respect to each of these factors, we believe that we provide a number of favorable offerings.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3" w:right="640" w:bottom="1440" w:gutter="0" w:footer="0" w:header="0"/>
        </w:sectPr>
      </w:pPr>
    </w:p>
    <w:bookmarkStart w:id="100" w:name="page101"/>
    <w:bookmarkEnd w:id="100"/>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 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Partner Agreements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Adobe</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Adobe, Inc. (“</w:t>
      </w:r>
      <w:r>
        <w:rPr>
          <w:rFonts w:ascii="Times New Roman" w:cs="Times New Roman" w:eastAsia="Times New Roman" w:hAnsi="Times New Roman"/>
          <w:sz w:val="10"/>
          <w:szCs w:val="10"/>
          <w:b w:val="1"/>
          <w:bCs w:val="1"/>
          <w:i w:val="1"/>
          <w:iCs w:val="1"/>
          <w:color w:val="auto"/>
        </w:rPr>
        <w:t>Adobe</w:t>
      </w:r>
      <w:r>
        <w:rPr>
          <w:rFonts w:ascii="Times New Roman" w:cs="Times New Roman" w:eastAsia="Times New Roman" w:hAnsi="Times New Roman"/>
          <w:sz w:val="10"/>
          <w:szCs w:val="10"/>
          <w:color w:val="auto"/>
        </w:rPr>
        <w:t>”),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ACI Worldwide</w:t>
      </w:r>
    </w:p>
    <w:p>
      <w:pPr>
        <w:spacing w:after="0" w:line="58"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10"/>
          <w:szCs w:val="10"/>
          <w:color w:val="auto"/>
        </w:rPr>
        <w:t xml:space="preserve">On March 31, 2022, Rezolve entered into an agreement with ACI Worldwide (EMEA) Limited (“ </w:t>
      </w:r>
      <w:r>
        <w:rPr>
          <w:rFonts w:ascii="Times New Roman" w:cs="Times New Roman" w:eastAsia="Times New Roman" w:hAnsi="Times New Roman"/>
          <w:sz w:val="10"/>
          <w:szCs w:val="10"/>
          <w:b w:val="1"/>
          <w:bCs w:val="1"/>
          <w:i w:val="1"/>
          <w:iCs w:val="1"/>
          <w:color w:val="auto"/>
        </w:rPr>
        <w:t>ACI</w:t>
      </w:r>
      <w:r>
        <w:rPr>
          <w:rFonts w:ascii="Times New Roman" w:cs="Times New Roman" w:eastAsia="Times New Roman" w:hAnsi="Times New Roman"/>
          <w:sz w:val="10"/>
          <w:szCs w:val="10"/>
          <w:color w:val="auto"/>
        </w:rPr>
        <w:t>”), pursuant to which, among other things, Rezolve granted ACI a non -sublicensable,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Haendlerbund</w:t>
      </w:r>
    </w:p>
    <w:p>
      <w:pPr>
        <w:spacing w:after="0" w:line="58"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10"/>
          <w:szCs w:val="10"/>
          <w:color w:val="auto"/>
        </w:rPr>
        <w:t>On November 20, 2023, Rezolve entered into an agreement with HB Marketplace GmbH (“</w:t>
      </w:r>
      <w:r>
        <w:rPr>
          <w:rFonts w:ascii="Times New Roman" w:cs="Times New Roman" w:eastAsia="Times New Roman" w:hAnsi="Times New Roman"/>
          <w:sz w:val="10"/>
          <w:szCs w:val="10"/>
          <w:b w:val="1"/>
          <w:bCs w:val="1"/>
          <w:i w:val="1"/>
          <w:iCs w:val="1"/>
          <w:color w:val="auto"/>
        </w:rPr>
        <w:t>Haendlerbund</w:t>
      </w:r>
      <w:r>
        <w:rPr>
          <w:rFonts w:ascii="Times New Roman" w:cs="Times New Roman" w:eastAsia="Times New Roman" w:hAnsi="Times New Roman"/>
          <w:sz w:val="10"/>
          <w:szCs w:val="10"/>
          <w:color w:val="auto"/>
        </w:rPr>
        <w:t>”), pursuant to which, among other things, Rezolve granted Haendlerbund a non- exclusive distribution and marketing license of the Brain in exchange for Handlerbund selling and marketing Brain on its digital marketplace to online retailers. Under the agreement, Handlerbund will receives 25% of the net sales actually 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Epages</w:t>
      </w:r>
    </w:p>
    <w:p>
      <w:pPr>
        <w:spacing w:after="0" w:line="58" w:lineRule="exact"/>
        <w:rPr>
          <w:sz w:val="20"/>
          <w:szCs w:val="20"/>
          <w:color w:val="auto"/>
        </w:rPr>
      </w:pPr>
    </w:p>
    <w:p>
      <w:pPr>
        <w:ind w:right="120" w:firstLine="480"/>
        <w:spacing w:after="0" w:line="315" w:lineRule="auto"/>
        <w:rPr>
          <w:sz w:val="20"/>
          <w:szCs w:val="20"/>
          <w:color w:val="auto"/>
        </w:rPr>
      </w:pPr>
      <w:r>
        <w:rPr>
          <w:rFonts w:ascii="Times New Roman" w:cs="Times New Roman" w:eastAsia="Times New Roman" w:hAnsi="Times New Roman"/>
          <w:sz w:val="9"/>
          <w:szCs w:val="9"/>
          <w:color w:val="auto"/>
        </w:rPr>
        <w:t>On January 22, 2024, Rezolve entered into an agreement with Epages GMBH (“</w:t>
      </w:r>
      <w:r>
        <w:rPr>
          <w:rFonts w:ascii="Times New Roman" w:cs="Times New Roman" w:eastAsia="Times New Roman" w:hAnsi="Times New Roman"/>
          <w:sz w:val="9"/>
          <w:szCs w:val="9"/>
          <w:b w:val="1"/>
          <w:bCs w:val="1"/>
          <w:i w:val="1"/>
          <w:iCs w:val="1"/>
          <w:color w:val="auto"/>
        </w:rPr>
        <w:t>Epages</w:t>
      </w:r>
      <w:r>
        <w:rPr>
          <w:rFonts w:ascii="Times New Roman" w:cs="Times New Roman" w:eastAsia="Times New Roman" w:hAnsi="Times New Roman"/>
          <w:sz w:val="9"/>
          <w:szCs w:val="9"/>
          <w:color w:val="auto"/>
        </w:rPr>
        <w:t>”),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JTL</w:t>
      </w:r>
    </w:p>
    <w:p>
      <w:pPr>
        <w:spacing w:after="0" w:line="58" w:lineRule="exact"/>
        <w:rPr>
          <w:sz w:val="20"/>
          <w:szCs w:val="20"/>
          <w:color w:val="auto"/>
        </w:rPr>
      </w:pPr>
    </w:p>
    <w:p>
      <w:pPr>
        <w:jc w:val="both"/>
        <w:ind w:right="80" w:firstLine="480"/>
        <w:spacing w:after="0" w:line="247" w:lineRule="auto"/>
        <w:rPr>
          <w:sz w:val="20"/>
          <w:szCs w:val="20"/>
          <w:color w:val="auto"/>
        </w:rPr>
      </w:pPr>
      <w:r>
        <w:rPr>
          <w:rFonts w:ascii="Times New Roman" w:cs="Times New Roman" w:eastAsia="Times New Roman" w:hAnsi="Times New Roman"/>
          <w:sz w:val="10"/>
          <w:szCs w:val="10"/>
          <w:color w:val="auto"/>
        </w:rPr>
        <w:t>On March 19, 2024, Rezolve entered into an agreement with JTL Software GmbH (“</w:t>
      </w:r>
      <w:r>
        <w:rPr>
          <w:rFonts w:ascii="Times New Roman" w:cs="Times New Roman" w:eastAsia="Times New Roman" w:hAnsi="Times New Roman"/>
          <w:sz w:val="10"/>
          <w:szCs w:val="10"/>
          <w:b w:val="1"/>
          <w:bCs w:val="1"/>
          <w:i w:val="1"/>
          <w:iCs w:val="1"/>
          <w:color w:val="auto"/>
        </w:rPr>
        <w:t>JTL</w:t>
      </w:r>
      <w:r>
        <w:rPr>
          <w:rFonts w:ascii="Times New Roman" w:cs="Times New Roman" w:eastAsia="Times New Roman" w:hAnsi="Times New Roman"/>
          <w:sz w:val="10"/>
          <w:szCs w:val="10"/>
          <w:color w:val="auto"/>
        </w:rPr>
        <w:t>”),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0"/>
          <w:szCs w:val="10"/>
          <w:i w:val="1"/>
          <w:iCs w:val="1"/>
          <w:color w:val="auto"/>
        </w:rPr>
        <w:t>Oxid</w:t>
      </w:r>
    </w:p>
    <w:p>
      <w:pPr>
        <w:spacing w:after="0" w:line="58" w:lineRule="exact"/>
        <w:rPr>
          <w:sz w:val="20"/>
          <w:szCs w:val="20"/>
          <w:color w:val="auto"/>
        </w:rPr>
      </w:pPr>
    </w:p>
    <w:p>
      <w:pPr>
        <w:ind w:right="200" w:firstLine="480"/>
        <w:spacing w:after="0" w:line="247" w:lineRule="auto"/>
        <w:rPr>
          <w:sz w:val="20"/>
          <w:szCs w:val="20"/>
          <w:color w:val="auto"/>
        </w:rPr>
      </w:pPr>
      <w:r>
        <w:rPr>
          <w:rFonts w:ascii="Times New Roman" w:cs="Times New Roman" w:eastAsia="Times New Roman" w:hAnsi="Times New Roman"/>
          <w:sz w:val="10"/>
          <w:szCs w:val="10"/>
          <w:color w:val="auto"/>
        </w:rPr>
        <w:t>On March 22, 2024, Rezolve entered into an agreement with OXID eSales AG (“</w:t>
      </w:r>
      <w:r>
        <w:rPr>
          <w:rFonts w:ascii="Times New Roman" w:cs="Times New Roman" w:eastAsia="Times New Roman" w:hAnsi="Times New Roman"/>
          <w:sz w:val="10"/>
          <w:szCs w:val="10"/>
          <w:b w:val="1"/>
          <w:bCs w:val="1"/>
          <w:i w:val="1"/>
          <w:iCs w:val="1"/>
          <w:color w:val="auto"/>
        </w:rPr>
        <w:t>OXID</w:t>
      </w:r>
      <w:r>
        <w:rPr>
          <w:rFonts w:ascii="Times New Roman" w:cs="Times New Roman" w:eastAsia="Times New Roman" w:hAnsi="Times New Roman"/>
          <w:sz w:val="10"/>
          <w:szCs w:val="10"/>
          <w:color w:val="auto"/>
        </w:rPr>
        <w:t>”),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Chatwerk</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Rezolve entered into a non-binding offer with Chatwerk by Inbox Solutions GmbH (“</w:t>
      </w:r>
      <w:r>
        <w:rPr>
          <w:rFonts w:ascii="Times New Roman" w:cs="Times New Roman" w:eastAsia="Times New Roman" w:hAnsi="Times New Roman"/>
          <w:sz w:val="10"/>
          <w:szCs w:val="10"/>
          <w:b w:val="1"/>
          <w:bCs w:val="1"/>
          <w:i w:val="1"/>
          <w:iCs w:val="1"/>
          <w:color w:val="auto"/>
        </w:rPr>
        <w:t>Chatwerk</w:t>
      </w:r>
      <w:r>
        <w:rPr>
          <w:rFonts w:ascii="Times New Roman" w:cs="Times New Roman" w:eastAsia="Times New Roman" w:hAnsi="Times New Roman"/>
          <w:sz w:val="10"/>
          <w:szCs w:val="10"/>
          <w:color w:val="auto"/>
        </w:rPr>
        <w:t>”) to purchase Rezolve’s products. Under the agreement, Chatwerk will receive 20% on all Rezolve services-based revenues generated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Chatwerk.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Current Operations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Intellectual Property</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0"/>
          <w:szCs w:val="10"/>
          <w:i w:val="1"/>
          <w:iCs w:val="1"/>
          <w:color w:val="auto"/>
        </w:rPr>
        <w:t>Risk Factors—Risks Related to our Business and Industry</w:t>
      </w:r>
      <w:r>
        <w:rPr>
          <w:rFonts w:ascii="Times New Roman" w:cs="Times New Roman" w:eastAsia="Times New Roman" w:hAnsi="Times New Roman"/>
          <w:sz w:val="10"/>
          <w:szCs w:val="1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Employees</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Facilities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are headquartered in London, England, United Kingdom. We do not own any real property. All of our employees based in the United Kingdom work remotely.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Government Regulation</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102" w:name="page103"/>
    <w:bookmarkEnd w:id="102"/>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05"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08" w:lineRule="exact"/>
        <w:rPr>
          <w:sz w:val="20"/>
          <w:szCs w:val="20"/>
          <w:color w:val="auto"/>
        </w:rPr>
      </w:pPr>
    </w:p>
    <w:p>
      <w:pPr>
        <w:ind w:right="60" w:firstLine="480"/>
        <w:spacing w:after="0" w:line="238" w:lineRule="auto"/>
        <w:rPr>
          <w:sz w:val="20"/>
          <w:szCs w:val="20"/>
          <w:color w:val="auto"/>
        </w:rPr>
      </w:pPr>
      <w:r>
        <w:rPr>
          <w:rFonts w:ascii="Times New Roman" w:cs="Times New Roman" w:eastAsia="Times New Roman" w:hAnsi="Times New Roman"/>
          <w:sz w:val="10"/>
          <w:szCs w:val="10"/>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Legal Proceedings</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MANAGEMENT AND COMPENSATION</w:t>
      </w:r>
    </w:p>
    <w:p>
      <w:pPr>
        <w:spacing w:after="0" w:line="97"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following sets forth the names, business addresses and functions of the Company’s directors and senior management as of December 19, 2024. The Company’s Amended and Restated Memorandum and Articles of Association provide that the Company Board of Directors (the “</w:t>
      </w:r>
      <w:r>
        <w:rPr>
          <w:rFonts w:ascii="Times New Roman" w:cs="Times New Roman" w:eastAsia="Times New Roman" w:hAnsi="Times New Roman"/>
          <w:sz w:val="10"/>
          <w:szCs w:val="10"/>
          <w:b w:val="1"/>
          <w:bCs w:val="1"/>
          <w:i w:val="1"/>
          <w:iCs w:val="1"/>
          <w:color w:val="auto"/>
        </w:rPr>
        <w:t>Company Board</w:t>
      </w:r>
      <w:r>
        <w:rPr>
          <w:rFonts w:ascii="Times New Roman" w:cs="Times New Roman" w:eastAsia="Times New Roman" w:hAnsi="Times New Roman"/>
          <w:sz w:val="10"/>
          <w:szCs w:val="10"/>
          <w:color w:val="auto"/>
        </w:rPr>
        <w:t>”) has three classes of directors with the directors of each class serving staggered three-year terms. Class I directors shall serve a term expiring at the Company’s 2025 annual meeting of shareholders, Class II directors shall serve a term expiring at the Company’s 2026 annual meeting of shareholders, and Class III directors shall serve a term expiring at the Company’s 2027 annual meeting of shareholders.</w:t>
      </w:r>
    </w:p>
    <w:p>
      <w:pPr>
        <w:spacing w:after="0" w:line="141" w:lineRule="exact"/>
        <w:rPr>
          <w:sz w:val="20"/>
          <w:szCs w:val="20"/>
          <w:color w:val="auto"/>
        </w:rPr>
      </w:pPr>
    </w:p>
    <w:tbl>
      <w:tblPr>
        <w:tblLayout w:type="fixed"/>
        <w:tblInd w:w="1060" w:type="dxa"/>
        <w:tblCellMar>
          <w:top w:w="0" w:type="dxa"/>
          <w:left w:w="0" w:type="dxa"/>
          <w:bottom w:w="0" w:type="dxa"/>
          <w:right w:w="0" w:type="dxa"/>
        </w:tblCellMar>
      </w:tblPr>
      <w:tr>
        <w:trPr>
          <w:trHeight w:val="97"/>
        </w:trPr>
        <w:tc>
          <w:tcPr>
            <w:tcW w:w="18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Name</w:t>
            </w:r>
          </w:p>
        </w:tc>
        <w:tc>
          <w:tcPr>
            <w:tcW w:w="18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Age</w:t>
            </w:r>
          </w:p>
        </w:tc>
        <w:tc>
          <w:tcPr>
            <w:tcW w:w="4840" w:type="dxa"/>
            <w:vAlign w:val="bottom"/>
          </w:tcPr>
          <w:p>
            <w:pPr>
              <w:ind w:left="2460"/>
              <w:spacing w:after="0"/>
              <w:rPr>
                <w:sz w:val="20"/>
                <w:szCs w:val="20"/>
                <w:color w:val="auto"/>
              </w:rPr>
            </w:pPr>
            <w:r>
              <w:rPr>
                <w:rFonts w:ascii="Times New Roman" w:cs="Times New Roman" w:eastAsia="Times New Roman" w:hAnsi="Times New Roman"/>
                <w:sz w:val="8"/>
                <w:szCs w:val="8"/>
                <w:b w:val="1"/>
                <w:bCs w:val="1"/>
                <w:color w:val="auto"/>
              </w:rPr>
              <w:t>Position</w:t>
            </w:r>
          </w:p>
        </w:tc>
      </w:tr>
      <w:tr>
        <w:trPr>
          <w:trHeight w:val="121"/>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w:t>
            </w:r>
          </w:p>
        </w:tc>
        <w:tc>
          <w:tcPr>
            <w:tcW w:w="1800" w:type="dxa"/>
            <w:vAlign w:val="bottom"/>
          </w:tcPr>
          <w:p>
            <w:pPr>
              <w:spacing w:after="0"/>
              <w:rPr>
                <w:sz w:val="10"/>
                <w:szCs w:val="10"/>
                <w:color w:val="auto"/>
              </w:rPr>
            </w:pPr>
          </w:p>
        </w:tc>
        <w:tc>
          <w:tcPr>
            <w:tcW w:w="4840" w:type="dxa"/>
            <w:vAlign w:val="bottom"/>
          </w:tcPr>
          <w:p>
            <w:pPr>
              <w:spacing w:after="0"/>
              <w:rPr>
                <w:sz w:val="10"/>
                <w:szCs w:val="10"/>
                <w:color w:val="auto"/>
              </w:rPr>
            </w:pP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III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91</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III Director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80</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64</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06"/>
        </w:trPr>
        <w:tc>
          <w:tcPr>
            <w:tcW w:w="186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Derek Smith</w:t>
            </w:r>
          </w:p>
        </w:tc>
        <w:tc>
          <w:tcPr>
            <w:tcW w:w="1800" w:type="dxa"/>
            <w:vAlign w:val="bottom"/>
          </w:tcPr>
          <w:p>
            <w:pPr>
              <w:jc w:val="right"/>
              <w:ind w:right="552"/>
              <w:spacing w:after="0" w:line="106" w:lineRule="exact"/>
              <w:rPr>
                <w:sz w:val="20"/>
                <w:szCs w:val="20"/>
                <w:color w:val="auto"/>
              </w:rPr>
            </w:pPr>
            <w:r>
              <w:rPr>
                <w:rFonts w:ascii="Times New Roman" w:cs="Times New Roman" w:eastAsia="Times New Roman" w:hAnsi="Times New Roman"/>
                <w:sz w:val="10"/>
                <w:szCs w:val="10"/>
                <w:color w:val="auto"/>
              </w:rPr>
              <w:t>78</w:t>
            </w:r>
          </w:p>
        </w:tc>
        <w:tc>
          <w:tcPr>
            <w:tcW w:w="4840" w:type="dxa"/>
            <w:vAlign w:val="bottom"/>
          </w:tcPr>
          <w:p>
            <w:pPr>
              <w:ind w:left="520"/>
              <w:spacing w:after="0" w:line="106" w:lineRule="exact"/>
              <w:rPr>
                <w:sz w:val="20"/>
                <w:szCs w:val="20"/>
                <w:color w:val="auto"/>
              </w:rPr>
            </w:pPr>
            <w:r>
              <w:rPr>
                <w:rFonts w:ascii="Times New Roman" w:cs="Times New Roman" w:eastAsia="Times New Roman" w:hAnsi="Times New Roman"/>
                <w:sz w:val="10"/>
                <w:szCs w:val="10"/>
                <w:color w:val="auto"/>
              </w:rPr>
              <w:t>Class II Director</w:t>
            </w:r>
          </w:p>
        </w:tc>
      </w:tr>
      <w:tr>
        <w:trPr>
          <w:trHeight w:val="125"/>
        </w:trPr>
        <w:tc>
          <w:tcPr>
            <w:tcW w:w="1860" w:type="dxa"/>
            <w:vAlign w:val="bottom"/>
          </w:tcPr>
          <w:p>
            <w:pPr>
              <w:spacing w:after="0"/>
              <w:rPr>
                <w:sz w:val="20"/>
                <w:szCs w:val="20"/>
                <w:color w:val="auto"/>
              </w:rPr>
            </w:pPr>
            <w:r>
              <w:rPr>
                <w:rFonts w:ascii="Times New Roman" w:cs="Times New Roman" w:eastAsia="Times New Roman" w:hAnsi="Times New Roman"/>
                <w:sz w:val="10"/>
                <w:szCs w:val="10"/>
                <w:color w:val="auto"/>
              </w:rPr>
              <w:t>Stephen Herbert</w:t>
            </w:r>
          </w:p>
        </w:tc>
        <w:tc>
          <w:tcPr>
            <w:tcW w:w="1800" w:type="dxa"/>
            <w:vAlign w:val="bottom"/>
          </w:tcPr>
          <w:p>
            <w:pPr>
              <w:jc w:val="right"/>
              <w:ind w:right="552"/>
              <w:spacing w:after="0"/>
              <w:rPr>
                <w:sz w:val="20"/>
                <w:szCs w:val="20"/>
                <w:color w:val="auto"/>
              </w:rPr>
            </w:pPr>
            <w:r>
              <w:rPr>
                <w:rFonts w:ascii="Times New Roman" w:cs="Times New Roman" w:eastAsia="Times New Roman" w:hAnsi="Times New Roman"/>
                <w:sz w:val="10"/>
                <w:szCs w:val="10"/>
                <w:color w:val="auto"/>
              </w:rPr>
              <w:t>62</w:t>
            </w:r>
          </w:p>
        </w:tc>
        <w:tc>
          <w:tcPr>
            <w:tcW w:w="4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Class I Director</w:t>
            </w:r>
          </w:p>
        </w:tc>
      </w:tr>
      <w:tr>
        <w:trPr>
          <w:trHeight w:val="219"/>
        </w:trPr>
        <w:tc>
          <w:tcPr>
            <w:tcW w:w="186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tc>
        <w:tc>
          <w:tcPr>
            <w:tcW w:w="18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Daniel Wagner</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Executive Officer and Director</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52</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62</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Commercial Officer and General Manager (EMEA)</w:t>
            </w:r>
          </w:p>
        </w:tc>
      </w:tr>
      <w:tr>
        <w:trPr>
          <w:trHeight w:val="113"/>
        </w:trPr>
        <w:tc>
          <w:tcPr>
            <w:tcW w:w="18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1800" w:type="dxa"/>
            <w:vAlign w:val="bottom"/>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49</w:t>
            </w:r>
          </w:p>
        </w:tc>
        <w:tc>
          <w:tcPr>
            <w:tcW w:w="4840" w:type="dxa"/>
            <w:vAlign w:val="bottom"/>
          </w:tcPr>
          <w:p>
            <w:pPr>
              <w:ind w:left="520"/>
              <w:spacing w:after="0" w:line="113" w:lineRule="exact"/>
              <w:rPr>
                <w:sz w:val="20"/>
                <w:szCs w:val="20"/>
                <w:color w:val="auto"/>
              </w:rPr>
            </w:pPr>
            <w:r>
              <w:rPr>
                <w:rFonts w:ascii="Times New Roman" w:cs="Times New Roman" w:eastAsia="Times New Roman" w:hAnsi="Times New Roman"/>
                <w:sz w:val="10"/>
                <w:szCs w:val="10"/>
                <w:color w:val="auto"/>
              </w:rPr>
              <w:t>CEO Products, Technology, and Digital Services</w:t>
            </w:r>
          </w:p>
        </w:tc>
      </w:tr>
      <w:tr>
        <w:trPr>
          <w:trHeight w:val="113"/>
        </w:trPr>
        <w:tc>
          <w:tcPr>
            <w:tcW w:w="18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1800" w:type="dxa"/>
            <w:vAlign w:val="bottom"/>
            <w:shd w:val="clear" w:color="auto" w:fill="CFF0FC"/>
          </w:tcPr>
          <w:p>
            <w:pPr>
              <w:jc w:val="right"/>
              <w:ind w:right="552"/>
              <w:spacing w:after="0" w:line="113" w:lineRule="exact"/>
              <w:rPr>
                <w:sz w:val="20"/>
                <w:szCs w:val="20"/>
                <w:color w:val="auto"/>
              </w:rPr>
            </w:pPr>
            <w:r>
              <w:rPr>
                <w:rFonts w:ascii="Times New Roman" w:cs="Times New Roman" w:eastAsia="Times New Roman" w:hAnsi="Times New Roman"/>
                <w:sz w:val="10"/>
                <w:szCs w:val="10"/>
                <w:color w:val="auto"/>
              </w:rPr>
              <w:t>51</w:t>
            </w:r>
          </w:p>
        </w:tc>
        <w:tc>
          <w:tcPr>
            <w:tcW w:w="4840" w:type="dxa"/>
            <w:vAlign w:val="bottom"/>
            <w:shd w:val="clear" w:color="auto" w:fill="CFF0FC"/>
          </w:tcPr>
          <w:p>
            <w:pPr>
              <w:ind w:left="520"/>
              <w:spacing w:after="0" w:line="113" w:lineRule="exact"/>
              <w:rPr>
                <w:sz w:val="20"/>
                <w:szCs w:val="20"/>
                <w:color w:val="auto"/>
              </w:rPr>
            </w:pPr>
            <w:r>
              <w:rPr>
                <w:rFonts w:ascii="Times New Roman" w:cs="Times New Roman" w:eastAsia="Times New Roman" w:hAnsi="Times New Roman"/>
                <w:sz w:val="10"/>
                <w:szCs w:val="10"/>
                <w:color w:val="auto"/>
              </w:rPr>
              <w:t>Chief Technology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Director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Daniel Wagner</w:t>
      </w:r>
      <w:r>
        <w:rPr>
          <w:rFonts w:ascii="Times New Roman" w:cs="Times New Roman" w:eastAsia="Times New Roman" w:hAnsi="Times New Roman"/>
          <w:sz w:val="10"/>
          <w:szCs w:val="10"/>
          <w:color w:val="auto"/>
        </w:rPr>
        <w:t>.</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Non-Executive 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Perry.</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Dr. Perry served on the board of directors of Rezolve as a non -executive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 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Derek Smith.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Dr. Smith has served on the board of directors of Rezolve since January 2022. He has also served as chairman of Rhinegold Publishing Ltd from 2007 to 2019. He also served on the board of Opinion Research Corporation from 1997 to 2003. Dr Smith has a</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0"/>
          <w:szCs w:val="10"/>
          <w:color w:val="auto"/>
        </w:rPr>
        <w:t>BA in Economics from the University of Nottingham and a PhD in Economics from the University of Nottingham. Rezolve believes Dr. Smith is qualified to serve on the board because of his history of holding leadership roles in various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John Wagner.</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Mr. Wagner has served as a director on the board of directors of Rezolve since February 2016. Prior to joining Rezolve, he was a non -executive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Anthony Sharp.</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Mr. Sharp has served as a director on the board of directors of Rezolve since August 2016. Prior to joining Rezolve, he has been an early- 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Sir David Wright.</w:t>
      </w:r>
    </w:p>
    <w:p>
      <w:pPr>
        <w:spacing w:after="0" w:line="60"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Stephen Herbert.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Mr. Herbert has served as a director on the board of directors of Rezolve since August 2024.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Executive Officers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Peter Vesco.</w:t>
      </w:r>
    </w:p>
    <w:p>
      <w:pPr>
        <w:spacing w:after="0" w:line="60"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Richard Burchill.</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0"/>
          <w:szCs w:val="10"/>
          <w:color w:val="auto"/>
        </w:rPr>
        <w:t>Group Ltd. He also served as director of card services at Arcadia Group Ltd from 2006 to 2021. He holds a degree in Accounting and Finance from Middlesex University and is a member of the Chartered Institute of Management Accountants.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Sauvik Banerjjee.</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Dr. Salman Ahmad.</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Dr. Ahmad has served as the Chief Technology Officer of Rezolve since October 2017. Prior to joining Rezolve, he was the CTO and co- 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Family Relationships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for Daniel Wagner, CEO and director, being the son of John Wagner, a non-executive director on the board of directors, there are no family relationships between any of the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Private Issuer Exemption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•Exemption from filing quarterly reports on Form 10-Q containing unaudited financial and other specified information or current reports on Form 8-K upon the occurrence of specified significant events;</w:t>
      </w:r>
    </w:p>
    <w:p>
      <w:pPr>
        <w:spacing w:after="0" w:line="58" w:lineRule="exact"/>
        <w:rPr>
          <w:sz w:val="20"/>
          <w:szCs w:val="20"/>
          <w:color w:val="auto"/>
        </w:rPr>
      </w:pPr>
    </w:p>
    <w:p>
      <w:pPr>
        <w:ind w:left="480" w:right="960"/>
        <w:spacing w:after="0" w:line="360" w:lineRule="auto"/>
        <w:rPr>
          <w:sz w:val="20"/>
          <w:szCs w:val="20"/>
          <w:color w:val="auto"/>
        </w:rPr>
      </w:pPr>
      <w:r>
        <w:rPr>
          <w:rFonts w:ascii="Times New Roman" w:cs="Times New Roman" w:eastAsia="Times New Roman" w:hAnsi="Times New Roman"/>
          <w:sz w:val="10"/>
          <w:szCs w:val="10"/>
          <w:color w:val="auto"/>
        </w:rPr>
        <w:t>•Exemption from Section 16 under the Exchange Act, which requires insiders to file public reports of their securities ownership and trading activities and provides for liability for insiders who profit from trades in a short period of time; •Exemption from the Nasdaq rules applicable to domestic issuers requiring disclosure within four business days of any determination to grant a waiver of the code of business conduct and ethics to directors and officers; •Exemption from the requirement to obtain shareholder approval for certain issuances of securities, including shareholder approval of share option plans;</w:t>
      </w:r>
    </w:p>
    <w:p>
      <w:pPr>
        <w:ind w:left="480"/>
        <w:spacing w:after="0"/>
        <w:rPr>
          <w:sz w:val="20"/>
          <w:szCs w:val="20"/>
          <w:color w:val="auto"/>
        </w:rPr>
      </w:pPr>
      <w:r>
        <w:rPr>
          <w:rFonts w:ascii="Times New Roman" w:cs="Times New Roman" w:eastAsia="Times New Roman" w:hAnsi="Times New Roman"/>
          <w:sz w:val="10"/>
          <w:szCs w:val="10"/>
          <w:color w:val="auto"/>
        </w:rPr>
        <w:t>•Exemption from the requirement that our board have a compensation committee that is composed entirely of independent directors with a written charter addressing the committee’s purpose and responsibilities; and</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95" w:right="66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0"/>
          <w:szCs w:val="10"/>
          <w:b w:val="1"/>
          <w:bCs w:val="1"/>
          <w:i w:val="1"/>
          <w:iCs w:val="1"/>
          <w:color w:val="auto"/>
        </w:rPr>
        <w:t>Controlled Company Exemption</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the requirement that a majority of the board of directors consist of independent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requirement that we have a compensation committee that is composed entirely of independent directors with a written charter addressing the committee’s purpose and responsibilities;</w:t>
      </w:r>
    </w:p>
    <w:p>
      <w:pPr>
        <w:spacing w:after="0" w:line="58" w:lineRule="exact"/>
        <w:rPr>
          <w:sz w:val="20"/>
          <w:szCs w:val="20"/>
          <w:color w:val="auto"/>
        </w:rPr>
      </w:pPr>
    </w:p>
    <w:p>
      <w:pPr>
        <w:ind w:left="480" w:right="1780"/>
        <w:spacing w:after="0" w:line="380" w:lineRule="auto"/>
        <w:rPr>
          <w:sz w:val="20"/>
          <w:szCs w:val="20"/>
          <w:color w:val="auto"/>
        </w:rPr>
      </w:pPr>
      <w:r>
        <w:rPr>
          <w:rFonts w:ascii="Times New Roman" w:cs="Times New Roman" w:eastAsia="Times New Roman" w:hAnsi="Times New Roman"/>
          <w:sz w:val="10"/>
          <w:szCs w:val="10"/>
          <w:color w:val="auto"/>
        </w:rPr>
        <w:t>•the requirement that we have a nominating and corporate governance committee that is composed entirely of independent directors with a written charter addressing the committee’s purpose and responsibilities; and •the requirement for an annual performance evaluation of the nominating and corporate governance and compensation committees.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the event that we cease to be a “controlled company” and our shares continue to be listed on the Nasdaq, we will be required to comply with these provisions within the applicable transition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Corporate Governance</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 of Nasdaq. Accordingly, our shareholders may not receive the same protections afforded to shareholders of companies that are subject to all of Nasdaq’s corporate governance requirements.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we are an “emerging growth company” as defined in the JOBS Act and have elected to comply with certain reduced public company reporting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Independence of Directors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Board of Directors Composition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board of directors is comprised of eight directors (provided that Daniel Wagner has the right to appoint an additional director to the Board from time to time), five of whom qualify as independent directors as defined in the Nasdaq listing requirements.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Daniel Wagner serves as the Chairman of the board of directors and Anthony Sharp serves as deputy Chairman.</w:t>
      </w:r>
    </w:p>
    <w:p>
      <w:pPr>
        <w:spacing w:after="0" w:line="108" w:lineRule="exact"/>
        <w:rPr>
          <w:sz w:val="20"/>
          <w:szCs w:val="20"/>
          <w:color w:val="auto"/>
        </w:rPr>
      </w:pPr>
    </w:p>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05"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Our board is divided into three classes serving staggered three year terms.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0"/>
          <w:szCs w:val="10"/>
          <w:color w:val="auto"/>
        </w:rPr>
        <w:t>directors and will serve until our annual meeting in 2026. Messrs. Dan Wagner and John Wagner are Class III directors and will serve until our annual meeting in 2027.</w:t>
      </w:r>
    </w:p>
    <w:p>
      <w:pPr>
        <w:spacing w:after="0" w:line="11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Role of Rezolve Board of Directors in Risk Oversight</w:t>
      </w:r>
    </w:p>
    <w:p>
      <w:pPr>
        <w:spacing w:after="0" w:line="60"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Committees of the Rezolve Board of Directors</w:t>
      </w:r>
    </w:p>
    <w:p>
      <w:pPr>
        <w:spacing w:after="0" w:line="118" w:lineRule="exact"/>
        <w:rPr>
          <w:sz w:val="20"/>
          <w:szCs w:val="20"/>
          <w:color w:val="auto"/>
        </w:rPr>
      </w:pPr>
    </w:p>
    <w:p>
      <w:pPr>
        <w:ind w:right="80" w:firstLine="480"/>
        <w:spacing w:after="0" w:line="259" w:lineRule="auto"/>
        <w:rPr>
          <w:sz w:val="20"/>
          <w:szCs w:val="20"/>
          <w:color w:val="auto"/>
        </w:rPr>
      </w:pPr>
      <w:r>
        <w:rPr>
          <w:rFonts w:ascii="Times New Roman" w:cs="Times New Roman" w:eastAsia="Times New Roman" w:hAnsi="Times New Roman"/>
          <w:sz w:val="10"/>
          <w:szCs w:val="10"/>
          <w:color w:val="auto"/>
        </w:rPr>
        <w:t>Following the Closing, the board of directors established three standing committees: (i) an audit committee (the "</w:t>
      </w:r>
      <w:r>
        <w:rPr>
          <w:rFonts w:ascii="Times New Roman" w:cs="Times New Roman" w:eastAsia="Times New Roman" w:hAnsi="Times New Roman"/>
          <w:sz w:val="10"/>
          <w:szCs w:val="10"/>
          <w:b w:val="1"/>
          <w:bCs w:val="1"/>
          <w:i w:val="1"/>
          <w:iCs w:val="1"/>
          <w:color w:val="auto"/>
        </w:rPr>
        <w:t>Audit Committee</w:t>
      </w:r>
      <w:r>
        <w:rPr>
          <w:rFonts w:ascii="Times New Roman" w:cs="Times New Roman" w:eastAsia="Times New Roman" w:hAnsi="Times New Roman"/>
          <w:sz w:val="10"/>
          <w:szCs w:val="10"/>
          <w:color w:val="auto"/>
        </w:rPr>
        <w:t xml:space="preserve">"), (ii) a remuneration committee (the " </w:t>
      </w:r>
      <w:r>
        <w:rPr>
          <w:rFonts w:ascii="Times New Roman" w:cs="Times New Roman" w:eastAsia="Times New Roman" w:hAnsi="Times New Roman"/>
          <w:sz w:val="10"/>
          <w:szCs w:val="10"/>
          <w:b w:val="1"/>
          <w:bCs w:val="1"/>
          <w:i w:val="1"/>
          <w:iCs w:val="1"/>
          <w:color w:val="auto"/>
        </w:rPr>
        <w:t>Remuneration Committee</w:t>
      </w:r>
      <w:r>
        <w:rPr>
          <w:rFonts w:ascii="Times New Roman" w:cs="Times New Roman" w:eastAsia="Times New Roman" w:hAnsi="Times New Roman"/>
          <w:sz w:val="10"/>
          <w:szCs w:val="10"/>
          <w:color w:val="auto"/>
        </w:rPr>
        <w:t>"), and (iii) a nominating and corporate governance committee (the "</w:t>
      </w:r>
      <w:r>
        <w:rPr>
          <w:rFonts w:ascii="Times New Roman" w:cs="Times New Roman" w:eastAsia="Times New Roman" w:hAnsi="Times New Roman"/>
          <w:sz w:val="10"/>
          <w:szCs w:val="10"/>
          <w:b w:val="1"/>
          <w:bCs w:val="1"/>
          <w:i w:val="1"/>
          <w:iCs w:val="1"/>
          <w:color w:val="auto"/>
        </w:rPr>
        <w:t>Nominating and Corporate Governance Committee</w:t>
      </w:r>
      <w:r>
        <w:rPr>
          <w:rFonts w:ascii="Times New Roman" w:cs="Times New Roman" w:eastAsia="Times New Roman" w:hAnsi="Times New Roman"/>
          <w:sz w:val="10"/>
          <w:szCs w:val="10"/>
          <w:color w:val="auto"/>
        </w:rPr>
        <w:t>"). In addition, from time to time, special committees may be established under the direction of our board of directors when necessary to address specific issues.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Audit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Audit Committee is responsible for, among other things:</w:t>
      </w:r>
    </w:p>
    <w:p>
      <w:pPr>
        <w:spacing w:after="0" w:line="58" w:lineRule="exact"/>
        <w:rPr>
          <w:sz w:val="20"/>
          <w:szCs w:val="20"/>
          <w:color w:val="auto"/>
        </w:rPr>
      </w:pPr>
    </w:p>
    <w:p>
      <w:pPr>
        <w:ind w:left="480" w:right="4320"/>
        <w:spacing w:after="0" w:line="360" w:lineRule="auto"/>
        <w:rPr>
          <w:sz w:val="20"/>
          <w:szCs w:val="20"/>
          <w:color w:val="auto"/>
        </w:rPr>
      </w:pPr>
      <w:r>
        <w:rPr>
          <w:rFonts w:ascii="Times New Roman" w:cs="Times New Roman" w:eastAsia="Times New Roman" w:hAnsi="Times New Roman"/>
          <w:sz w:val="10"/>
          <w:szCs w:val="10"/>
          <w:color w:val="auto"/>
        </w:rPr>
        <w:t>•meeting with our independent registered accounting firm regarding, among other issues, audits, and adequacy of our accounting and control systems; •monitoring the independence of the independent registered public accounting firm;</w:t>
      </w:r>
    </w:p>
    <w:p>
      <w:pPr>
        <w:ind w:left="480" w:right="3000"/>
        <w:spacing w:after="0" w:line="360" w:lineRule="auto"/>
        <w:rPr>
          <w:sz w:val="20"/>
          <w:szCs w:val="20"/>
          <w:color w:val="auto"/>
        </w:rPr>
      </w:pPr>
      <w:r>
        <w:rPr>
          <w:rFonts w:ascii="Times New Roman" w:cs="Times New Roman" w:eastAsia="Times New Roman" w:hAnsi="Times New Roman"/>
          <w:sz w:val="10"/>
          <w:szCs w:val="10"/>
          <w:color w:val="auto"/>
        </w:rPr>
        <w:t>•verifying the rotation of the lead (or coordinating) audit partner having primary responsibility for the audit and the audit partner responsible for reviewing the audit as required by law; •inquiring and discussing with management our compliance with applicable laws and regulations;</w:t>
      </w:r>
    </w:p>
    <w:p>
      <w:pPr>
        <w:ind w:left="480" w:right="2440"/>
        <w:spacing w:after="0" w:line="360" w:lineRule="auto"/>
        <w:rPr>
          <w:sz w:val="20"/>
          <w:szCs w:val="20"/>
          <w:color w:val="auto"/>
        </w:rPr>
      </w:pPr>
      <w:r>
        <w:rPr>
          <w:rFonts w:ascii="Times New Roman" w:cs="Times New Roman" w:eastAsia="Times New Roman" w:hAnsi="Times New Roman"/>
          <w:sz w:val="10"/>
          <w:szCs w:val="10"/>
          <w:color w:val="auto"/>
        </w:rPr>
        <w:t>•pre-approving all audit services and permitted non-audit services to be performed by our independent registered public accounting firm, including the fees and terms of the services to be performed; •appointing or replacing the independent registered public accounting firm;</w:t>
      </w:r>
    </w:p>
    <w:p>
      <w:pPr>
        <w:ind w:left="480" w:right="160"/>
        <w:spacing w:after="0" w:line="255" w:lineRule="auto"/>
        <w:rPr>
          <w:sz w:val="20"/>
          <w:szCs w:val="20"/>
          <w:color w:val="auto"/>
        </w:rPr>
      </w:pPr>
      <w:r>
        <w:rPr>
          <w:rFonts w:ascii="Times New Roman" w:cs="Times New Roman" w:eastAsia="Times New Roman" w:hAnsi="Times New Roman"/>
          <w:sz w:val="10"/>
          <w:szCs w:val="10"/>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policies on risk assessment and risk management;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related person transactions.</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0"/>
          <w:szCs w:val="10"/>
          <w:b w:val="1"/>
          <w:bCs w:val="1"/>
          <w:i w:val="1"/>
          <w:iCs w:val="1"/>
          <w:color w:val="auto"/>
        </w:rPr>
        <w:t>Remuneration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Remuneration Committee is responsible for, among other things:</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and approving the compensation of all of our other executive officers;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•reviewing our executive compensation policies and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•implementing and administering our incentive compensation equity-based remuneration plans;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•assisting management in complying with any disclosure requirements;</w:t>
      </w:r>
    </w:p>
    <w:p>
      <w:pPr>
        <w:spacing w:after="0" w:line="58" w:lineRule="exact"/>
        <w:rPr>
          <w:sz w:val="20"/>
          <w:szCs w:val="20"/>
          <w:color w:val="auto"/>
        </w:rPr>
      </w:pPr>
    </w:p>
    <w:p>
      <w:pPr>
        <w:ind w:left="480" w:right="4420"/>
        <w:spacing w:after="0" w:line="370" w:lineRule="auto"/>
        <w:rPr>
          <w:sz w:val="20"/>
          <w:szCs w:val="20"/>
          <w:color w:val="auto"/>
        </w:rPr>
      </w:pPr>
      <w:r>
        <w:rPr>
          <w:rFonts w:ascii="Times New Roman" w:cs="Times New Roman" w:eastAsia="Times New Roman" w:hAnsi="Times New Roman"/>
          <w:sz w:val="10"/>
          <w:szCs w:val="10"/>
          <w:color w:val="auto"/>
        </w:rPr>
        <w:t>•approving all special perquisites, special cash payments and other special compensation and benefit arrangements for our officers and employees; •reviewing, evaluating and recommending changes, if appropriate, to the remuneration for directors.; and •retaining and overseeing any compensation consultants.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Our Remuneration Committee consists of Anthony Sharp and Steve Perry, with Steve Perry serving as the chair of the committee. Our board of directors has adopted a written terms of reference for the Remuneration Committee, which is available on our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website.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Nominating and Corporate Governance Committee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Nominating and Corporate Governance Committee is responsible for, among other things: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individuals qualified to become members of our board of directors;</w:t>
      </w:r>
    </w:p>
    <w:p>
      <w:pPr>
        <w:spacing w:after="0" w:line="58" w:lineRule="exact"/>
        <w:rPr>
          <w:sz w:val="20"/>
          <w:szCs w:val="20"/>
          <w:color w:val="auto"/>
        </w:rPr>
      </w:pPr>
    </w:p>
    <w:p>
      <w:pPr>
        <w:ind w:left="480" w:right="4280"/>
        <w:spacing w:after="0" w:line="360" w:lineRule="auto"/>
        <w:rPr>
          <w:sz w:val="20"/>
          <w:szCs w:val="20"/>
          <w:color w:val="auto"/>
        </w:rPr>
      </w:pPr>
      <w:r>
        <w:rPr>
          <w:rFonts w:ascii="Times New Roman" w:cs="Times New Roman" w:eastAsia="Times New Roman" w:hAnsi="Times New Roman"/>
          <w:sz w:val="10"/>
          <w:szCs w:val="10"/>
          <w:color w:val="auto"/>
        </w:rPr>
        <w:t>•recommending to our board of directors the persons to be nominated for election as directors and to each of the committees of our board of directors; •reviewing and making recommendations to our board of directors with respect to our board leadership structure; •reviewing and making recommendations to our board of directors with respect to management succession planning; and</w:t>
      </w:r>
    </w:p>
    <w:p>
      <w:pPr>
        <w:ind w:left="480"/>
        <w:spacing w:after="0"/>
        <w:rPr>
          <w:sz w:val="20"/>
          <w:szCs w:val="20"/>
          <w:color w:val="auto"/>
        </w:rPr>
      </w:pPr>
      <w:r>
        <w:rPr>
          <w:rFonts w:ascii="Times New Roman" w:cs="Times New Roman" w:eastAsia="Times New Roman" w:hAnsi="Times New Roman"/>
          <w:sz w:val="10"/>
          <w:szCs w:val="10"/>
          <w:color w:val="auto"/>
        </w:rPr>
        <w:t>•developing and recommending to our board of directors corporate governance principles.</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Code of Ethics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Limitation on Liability and Indemnification of Officers and Directors</w:t>
      </w:r>
    </w:p>
    <w:p>
      <w:pPr>
        <w:spacing w:after="0" w:line="60"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9"/>
          <w:szCs w:val="9"/>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has also purchased a policy of directors’ and officers’ liability insurance effective upon completion of the Business Combination that insures our officers and directors against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0"/>
          <w:szCs w:val="10"/>
          <w:color w:val="auto"/>
        </w:rPr>
        <w:t>cost of defense, settlement or payment of a judgment in some circumstances and insures us against our obligations to indemnify our officers and directors.</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We believe that these provisions, the insurance and the indemnity agreements are necessary to attract and retain talented and experienced officers and directors.</w:t>
      </w:r>
    </w:p>
    <w:p>
      <w:pPr>
        <w:spacing w:after="0" w:line="116" w:lineRule="exact"/>
        <w:rPr>
          <w:sz w:val="20"/>
          <w:szCs w:val="20"/>
          <w:color w:val="auto"/>
        </w:rPr>
      </w:pPr>
    </w:p>
    <w:p>
      <w:pPr>
        <w:ind w:right="200" w:firstLine="480"/>
        <w:spacing w:after="0" w:line="259" w:lineRule="auto"/>
        <w:rPr>
          <w:sz w:val="20"/>
          <w:szCs w:val="20"/>
          <w:color w:val="auto"/>
        </w:rPr>
      </w:pPr>
      <w:r>
        <w:rPr>
          <w:rFonts w:ascii="Times New Roman" w:cs="Times New Roman" w:eastAsia="Times New Roman" w:hAnsi="Times New Roman"/>
          <w:sz w:val="10"/>
          <w:szCs w:val="10"/>
          <w:color w:val="auto"/>
        </w:rPr>
        <w:t>For further details on the indemnity provisions referred to in our articles of association, see the section entitled “</w:t>
      </w:r>
      <w:r>
        <w:rPr>
          <w:rFonts w:ascii="Times New Roman" w:cs="Times New Roman" w:eastAsia="Times New Roman" w:hAnsi="Times New Roman"/>
          <w:sz w:val="10"/>
          <w:szCs w:val="10"/>
          <w:i w:val="1"/>
          <w:iCs w:val="1"/>
          <w:color w:val="auto"/>
        </w:rPr>
        <w:t>Description of Ordinary Shares and Articles of Association</w:t>
      </w:r>
      <w:r>
        <w:rPr>
          <w:rFonts w:ascii="Times New Roman" w:cs="Times New Roman" w:eastAsia="Times New Roman" w:hAnsi="Times New Roman"/>
          <w:sz w:val="10"/>
          <w:szCs w:val="10"/>
          <w:color w:val="auto"/>
        </w:rPr>
        <w:t>” of this prospectus, and for a summary of the indemnification agreement, see the section entitled “</w:t>
      </w:r>
      <w:r>
        <w:rPr>
          <w:rFonts w:ascii="Times New Roman" w:cs="Times New Roman" w:eastAsia="Times New Roman" w:hAnsi="Times New Roman"/>
          <w:sz w:val="10"/>
          <w:szCs w:val="10"/>
          <w:i w:val="1"/>
          <w:iCs w:val="1"/>
          <w:color w:val="auto"/>
        </w:rPr>
        <w:t>Indemnification Agreements with Officers and Directors</w:t>
      </w:r>
      <w:r>
        <w:rPr>
          <w:rFonts w:ascii="Times New Roman" w:cs="Times New Roman" w:eastAsia="Times New Roman" w:hAnsi="Times New Roman"/>
          <w:sz w:val="10"/>
          <w:szCs w:val="10"/>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Rezolve Executive Officer and Director Compensation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cash compensation paid by Rezolve and its subsidiaries to its executive officers and directors for the year ended December 31, 2022 was $2,213,626.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Executive Officer and Director Compensation Following Completion of the Proposed Transactions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40"/>
          </w:cols>
          <w:pgMar w:left="640" w:top="1095" w:right="72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Daniel Wagner</w:t>
      </w:r>
    </w:p>
    <w:p>
      <w:pPr>
        <w:spacing w:after="0" w:line="60" w:lineRule="exact"/>
        <w:rPr>
          <w:sz w:val="20"/>
          <w:szCs w:val="20"/>
          <w:color w:val="auto"/>
        </w:rPr>
      </w:pPr>
    </w:p>
    <w:p>
      <w:pPr>
        <w:jc w:val="both"/>
        <w:ind w:right="280" w:firstLine="480"/>
        <w:spacing w:after="0" w:line="255" w:lineRule="auto"/>
        <w:rPr>
          <w:sz w:val="20"/>
          <w:szCs w:val="20"/>
          <w:color w:val="auto"/>
        </w:rPr>
      </w:pPr>
      <w:r>
        <w:rPr>
          <w:rFonts w:ascii="Times New Roman" w:cs="Times New Roman" w:eastAsia="Times New Roman" w:hAnsi="Times New Roman"/>
          <w:sz w:val="10"/>
          <w:szCs w:val="10"/>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01" w:lineRule="exact"/>
        <w:rPr>
          <w:sz w:val="20"/>
          <w:szCs w:val="20"/>
          <w:color w:val="auto"/>
        </w:rPr>
      </w:pPr>
    </w:p>
    <w:p>
      <w:pPr>
        <w:jc w:val="both"/>
        <w:ind w:right="260" w:firstLine="480"/>
        <w:spacing w:after="0" w:line="245" w:lineRule="auto"/>
        <w:rPr>
          <w:sz w:val="20"/>
          <w:szCs w:val="20"/>
          <w:color w:val="auto"/>
        </w:rPr>
      </w:pPr>
      <w:r>
        <w:rPr>
          <w:rFonts w:ascii="Times New Roman" w:cs="Times New Roman" w:eastAsia="Times New Roman" w:hAnsi="Times New Roman"/>
          <w:sz w:val="10"/>
          <w:szCs w:val="10"/>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Service Agreement with Richard Burchill</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Non-executive Director Letters of Appointment (John Wagner, Anthony Sharp, Sir David Wright, Derek Smith, Stephen Perry, and Stephen Herbert)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(John Wagner, Anthony Sharp, Sir David Wright, Derek Smith, and Stephen Perry)</w:t>
      </w:r>
    </w:p>
    <w:p>
      <w:pPr>
        <w:spacing w:after="0" w:line="60"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01"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Terms of non-executive director appointment letters (Stephen Herbert)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1" w:name="page112"/>
    <w:bookmarkEnd w:id="111"/>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CERTAIN RELATIONSHIPS AND RELATED PARTY TRANSACTIONS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Relationship with Daniel Wagner</w:t>
      </w:r>
    </w:p>
    <w:p>
      <w:pPr>
        <w:spacing w:after="0" w:line="58" w:lineRule="exact"/>
        <w:rPr>
          <w:sz w:val="20"/>
          <w:szCs w:val="20"/>
          <w:color w:val="auto"/>
        </w:rPr>
      </w:pPr>
    </w:p>
    <w:p>
      <w:pPr>
        <w:ind w:right="20" w:firstLine="480"/>
        <w:spacing w:after="0" w:line="315" w:lineRule="auto"/>
        <w:rPr>
          <w:sz w:val="20"/>
          <w:szCs w:val="20"/>
          <w:color w:val="auto"/>
        </w:rPr>
      </w:pPr>
      <w:r>
        <w:rPr>
          <w:rFonts w:ascii="Times New Roman" w:cs="Times New Roman" w:eastAsia="Times New Roman" w:hAnsi="Times New Roman"/>
          <w:sz w:val="9"/>
          <w:szCs w:val="9"/>
          <w:color w:val="auto"/>
        </w:rPr>
        <w:t>We have debt outstanding to DBLP Sea Cow Limited (a company incorporated in the Seychelles) (“</w:t>
      </w:r>
      <w:r>
        <w:rPr>
          <w:rFonts w:ascii="Times New Roman" w:cs="Times New Roman" w:eastAsia="Times New Roman" w:hAnsi="Times New Roman"/>
          <w:sz w:val="9"/>
          <w:szCs w:val="9"/>
          <w:b w:val="1"/>
          <w:bCs w:val="1"/>
          <w:i w:val="1"/>
          <w:iCs w:val="1"/>
          <w:color w:val="auto"/>
        </w:rPr>
        <w:t>DBLP</w:t>
      </w:r>
      <w:r>
        <w:rPr>
          <w:rFonts w:ascii="Times New Roman" w:cs="Times New Roman" w:eastAsia="Times New Roman" w:hAnsi="Times New Roman"/>
          <w:sz w:val="9"/>
          <w:szCs w:val="9"/>
          <w:color w:val="auto"/>
        </w:rPr>
        <w:t>”),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7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Indemnification Agreements with Officers and Directors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Rezolve has also purchased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Policies and Procedures for Related Person Transactions</w:t>
      </w:r>
    </w:p>
    <w:p>
      <w:pPr>
        <w:spacing w:after="0" w:line="60" w:lineRule="exact"/>
        <w:rPr>
          <w:sz w:val="20"/>
          <w:szCs w:val="20"/>
          <w:color w:val="auto"/>
        </w:rPr>
      </w:pPr>
    </w:p>
    <w:p>
      <w:pPr>
        <w:ind w:right="80" w:firstLine="480"/>
        <w:spacing w:after="0" w:line="310" w:lineRule="auto"/>
        <w:rPr>
          <w:sz w:val="20"/>
          <w:szCs w:val="20"/>
          <w:color w:val="auto"/>
        </w:rPr>
      </w:pPr>
      <w:r>
        <w:rPr>
          <w:rFonts w:ascii="Times New Roman" w:cs="Times New Roman" w:eastAsia="Times New Roman" w:hAnsi="Times New Roman"/>
          <w:sz w:val="9"/>
          <w:szCs w:val="9"/>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or at any time during the applicable period was, one of Rezolve’s executive officers or directors;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person who is known by Rezolve to be the beneficial owner of more than 5% of Rezolve voting shares;</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immediate family member of any of the foregoing persons, which means any child, stepchild, parent, stepparent, spouse, sibling, mother- in-law, father-in-law, son- in- law, daughter-in- law, brother in- law or sister-in -law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firm, corporation or other entity in which any of the foregoing persons is a partner or principal, or in a similar position, or in which such person has a 10% or greater beneficial ownership interest.</w:t>
      </w:r>
    </w:p>
    <w:p>
      <w:pPr>
        <w:spacing w:after="0" w:line="11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12" w:name="page113"/>
    <w:bookmarkEnd w:id="112"/>
    <w:p>
      <w:pPr>
        <w:ind w:left="4300"/>
        <w:spacing w:after="0"/>
        <w:rPr>
          <w:sz w:val="20"/>
          <w:szCs w:val="20"/>
          <w:color w:val="auto"/>
        </w:rPr>
      </w:pPr>
      <w:r>
        <w:rPr>
          <w:rFonts w:ascii="Times New Roman" w:cs="Times New Roman" w:eastAsia="Times New Roman" w:hAnsi="Times New Roman"/>
          <w:sz w:val="10"/>
          <w:szCs w:val="10"/>
          <w:b w:val="1"/>
          <w:bCs w:val="1"/>
          <w:color w:val="auto"/>
        </w:rPr>
        <w:t>BENEFICIAL OWNERSHIP OF SECURITIES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sets forth information known to us regarding the beneficial ownership of our Ordinary Shares as of December 18,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person known by us to be the beneficial owner of more than 5%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of our executive officers and directors;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our executive officers and directors as a group.</w:t>
      </w:r>
    </w:p>
    <w:p>
      <w:pPr>
        <w:spacing w:after="0" w:line="11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0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 xml:space="preserve">The percentage of Ordinary Shares beneficially owned is computed on the basis of 172,182,769 Ordinary Shares outstanding as of December 19, 2024, after giving effect to the Business Combination, and does not include (i) Ordinary Shares issuable upon the exercise of outstanding Warrants; (ii) Ordinary Shares issuable upon the conversion of the Convertible Notes; (iii) Ordinary Shares issuable pursuant to the advanced subscription agreements; (iv) Ordinary Shares issuable pursuant to an agreement with </w:t>
      </w:r>
      <w:r>
        <w:rPr>
          <w:rFonts w:ascii="Times New Roman" w:cs="Times New Roman" w:eastAsia="Times New Roman" w:hAnsi="Times New Roman"/>
          <w:sz w:val="10"/>
          <w:szCs w:val="10"/>
          <w:color w:val="212529"/>
        </w:rPr>
        <w:t>YA II PN, LTD; (v)</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color w:val="212529"/>
        </w:rPr>
        <w:t xml:space="preserve">Ordinary Shares issuable upon conversion of the YA Notes; (vii) Ordinary Shares issuable pursuant to the Northland Note </w:t>
      </w:r>
      <w:r>
        <w:rPr>
          <w:rFonts w:ascii="Times New Roman" w:cs="Times New Roman" w:eastAsia="Times New Roman" w:hAnsi="Times New Roman"/>
          <w:sz w:val="10"/>
          <w:szCs w:val="10"/>
          <w:color w:val="000000"/>
        </w:rPr>
        <w:t>and (viii) Ordinary Shares issuable upon the conversion of the Promissory Notes (as defined herein).</w:t>
      </w:r>
    </w:p>
    <w:p>
      <w:pPr>
        <w:spacing w:after="0" w:line="105"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b w:val="1"/>
                <w:bCs w:val="1"/>
                <w:i w:val="1"/>
                <w:iCs w:val="1"/>
                <w:color w:val="auto"/>
              </w:rPr>
              <w:t>Name of Beneficial Owners</w:t>
            </w:r>
            <w:r>
              <w:rPr>
                <w:rFonts w:ascii="Times New Roman" w:cs="Times New Roman" w:eastAsia="Times New Roman" w:hAnsi="Times New Roman"/>
                <w:sz w:val="13"/>
                <w:szCs w:val="13"/>
                <w:i w:val="1"/>
                <w:iCs w:val="1"/>
                <w:color w:val="auto"/>
                <w:vertAlign w:val="superscript"/>
              </w:rPr>
              <w:t>(1)</w:t>
            </w:r>
          </w:p>
        </w:tc>
        <w:tc>
          <w:tcPr>
            <w:tcW w:w="2060" w:type="dxa"/>
            <w:vAlign w:val="bottom"/>
          </w:tcPr>
          <w:p>
            <w:pPr>
              <w:spacing w:after="0"/>
              <w:rPr>
                <w:sz w:val="12"/>
                <w:szCs w:val="12"/>
                <w:color w:val="auto"/>
              </w:rPr>
            </w:pPr>
          </w:p>
        </w:tc>
        <w:tc>
          <w:tcPr>
            <w:tcW w:w="5860" w:type="dxa"/>
            <w:vAlign w:val="bottom"/>
          </w:tcPr>
          <w:p>
            <w:pPr>
              <w:spacing w:after="0"/>
              <w:rPr>
                <w:sz w:val="12"/>
                <w:szCs w:val="12"/>
                <w:color w:val="auto"/>
              </w:rPr>
            </w:pPr>
          </w:p>
        </w:tc>
      </w:tr>
      <w:tr>
        <w:trPr>
          <w:trHeight w:val="99"/>
        </w:trPr>
        <w:tc>
          <w:tcPr>
            <w:tcW w:w="270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Directors and Executive Officers</w:t>
            </w:r>
          </w:p>
        </w:tc>
        <w:tc>
          <w:tcPr>
            <w:tcW w:w="2060" w:type="dxa"/>
            <w:vAlign w:val="bottom"/>
          </w:tcPr>
          <w:p>
            <w:pPr>
              <w:ind w:left="84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Number of Shares</w:t>
            </w:r>
          </w:p>
        </w:tc>
        <w:tc>
          <w:tcPr>
            <w:tcW w:w="5860" w:type="dxa"/>
            <w:vAlign w:val="bottom"/>
          </w:tcPr>
          <w:p>
            <w:pPr>
              <w:ind w:left="2300"/>
              <w:spacing w:after="0" w:line="99" w:lineRule="exact"/>
              <w:rPr>
                <w:sz w:val="20"/>
                <w:szCs w:val="20"/>
                <w:color w:val="auto"/>
              </w:rPr>
            </w:pPr>
            <w:r>
              <w:rPr>
                <w:rFonts w:ascii="Times New Roman" w:cs="Times New Roman" w:eastAsia="Times New Roman" w:hAnsi="Times New Roman"/>
                <w:sz w:val="10"/>
                <w:szCs w:val="10"/>
                <w:b w:val="1"/>
                <w:bCs w:val="1"/>
                <w:i w:val="1"/>
                <w:iCs w:val="1"/>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Daniel Wagner</w:t>
            </w:r>
            <w:r>
              <w:rPr>
                <w:rFonts w:ascii="Times New Roman" w:cs="Times New Roman" w:eastAsia="Times New Roman" w:hAnsi="Times New Roman"/>
                <w:sz w:val="13"/>
                <w:szCs w:val="13"/>
                <w:i w:val="1"/>
                <w:iCs w:val="1"/>
                <w:color w:val="auto"/>
                <w:vertAlign w:val="superscript"/>
              </w:rPr>
              <w:t>(2)</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39,965,221</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23.21%</w:t>
            </w:r>
          </w:p>
        </w:tc>
      </w:tr>
      <w:tr>
        <w:trPr>
          <w:trHeight w:val="128"/>
        </w:trPr>
        <w:tc>
          <w:tcPr>
            <w:tcW w:w="2700" w:type="dxa"/>
            <w:vAlign w:val="bottom"/>
          </w:tcPr>
          <w:p>
            <w:pPr>
              <w:ind w:left="40"/>
              <w:spacing w:after="0" w:line="128" w:lineRule="exact"/>
              <w:rPr>
                <w:sz w:val="20"/>
                <w:szCs w:val="20"/>
                <w:color w:val="auto"/>
              </w:rPr>
            </w:pPr>
            <w:r>
              <w:rPr>
                <w:rFonts w:ascii="Times New Roman" w:cs="Times New Roman" w:eastAsia="Times New Roman" w:hAnsi="Times New Roman"/>
                <w:sz w:val="10"/>
                <w:szCs w:val="10"/>
                <w:color w:val="auto"/>
              </w:rPr>
              <w:t>John Wagner</w:t>
            </w:r>
            <w:r>
              <w:rPr>
                <w:rFonts w:ascii="Times New Roman" w:cs="Times New Roman" w:eastAsia="Times New Roman" w:hAnsi="Times New Roman"/>
                <w:sz w:val="13"/>
                <w:szCs w:val="13"/>
                <w:i w:val="1"/>
                <w:iCs w:val="1"/>
                <w:color w:val="auto"/>
                <w:vertAlign w:val="superscript"/>
              </w:rPr>
              <w:t>(3)</w:t>
            </w:r>
          </w:p>
        </w:tc>
        <w:tc>
          <w:tcPr>
            <w:tcW w:w="206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36,082,705</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20.96%</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1,879,352</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1.09%</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495,343</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564,935</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Stephen Herbert</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298,436</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1,142,384</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300</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All directors and executive officers as a group</w:t>
            </w:r>
          </w:p>
        </w:tc>
        <w:tc>
          <w:tcPr>
            <w:tcW w:w="206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45,565,901</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26.46%</w:t>
            </w:r>
          </w:p>
        </w:tc>
      </w:tr>
      <w:tr>
        <w:trPr>
          <w:trHeight w:val="197"/>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b w:val="1"/>
                <w:bCs w:val="1"/>
                <w:i w:val="1"/>
                <w:iCs w:val="1"/>
                <w:color w:val="auto"/>
              </w:rPr>
              <w:t>Five Percent Holders</w:t>
            </w:r>
          </w:p>
        </w:tc>
        <w:tc>
          <w:tcPr>
            <w:tcW w:w="206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128"/>
        </w:trPr>
        <w:tc>
          <w:tcPr>
            <w:tcW w:w="2700" w:type="dxa"/>
            <w:vAlign w:val="bottom"/>
          </w:tcPr>
          <w:p>
            <w:pPr>
              <w:ind w:left="40"/>
              <w:spacing w:after="0" w:line="128" w:lineRule="exact"/>
              <w:rPr>
                <w:sz w:val="20"/>
                <w:szCs w:val="20"/>
                <w:color w:val="auto"/>
              </w:rPr>
            </w:pPr>
            <w:r>
              <w:rPr>
                <w:rFonts w:ascii="Times New Roman" w:cs="Times New Roman" w:eastAsia="Times New Roman" w:hAnsi="Times New Roman"/>
                <w:sz w:val="10"/>
                <w:szCs w:val="10"/>
                <w:color w:val="auto"/>
              </w:rPr>
              <w:t>DBLP Sea Cow Limited</w:t>
            </w:r>
            <w:r>
              <w:rPr>
                <w:rFonts w:ascii="Times New Roman" w:cs="Times New Roman" w:eastAsia="Times New Roman" w:hAnsi="Times New Roman"/>
                <w:sz w:val="13"/>
                <w:szCs w:val="13"/>
                <w:i w:val="1"/>
                <w:iCs w:val="1"/>
                <w:color w:val="auto"/>
                <w:vertAlign w:val="superscript"/>
              </w:rPr>
              <w:t>(4)</w:t>
            </w:r>
          </w:p>
        </w:tc>
        <w:tc>
          <w:tcPr>
            <w:tcW w:w="206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35,266,716</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20.48%</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34,771,000</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20.19%</w:t>
            </w:r>
          </w:p>
        </w:tc>
      </w:tr>
      <w:tr>
        <w:trPr>
          <w:trHeight w:val="98"/>
        </w:trPr>
        <w:tc>
          <w:tcPr>
            <w:tcW w:w="2700" w:type="dxa"/>
            <w:vAlign w:val="bottom"/>
          </w:tcPr>
          <w:p>
            <w:pPr>
              <w:ind w:left="40"/>
              <w:spacing w:after="0" w:line="99" w:lineRule="exact"/>
              <w:rPr>
                <w:sz w:val="20"/>
                <w:szCs w:val="20"/>
                <w:color w:val="auto"/>
              </w:rPr>
            </w:pPr>
            <w:r>
              <w:rPr>
                <w:rFonts w:ascii="Times New Roman" w:cs="Times New Roman" w:eastAsia="Times New Roman" w:hAnsi="Times New Roman"/>
                <w:sz w:val="10"/>
                <w:szCs w:val="10"/>
                <w:color w:val="auto"/>
              </w:rPr>
              <w:t>Brooks Newmark</w:t>
            </w:r>
          </w:p>
        </w:tc>
        <w:tc>
          <w:tcPr>
            <w:tcW w:w="2060" w:type="dxa"/>
            <w:vAlign w:val="bottom"/>
          </w:tcPr>
          <w:p>
            <w:pPr>
              <w:ind w:left="840"/>
              <w:spacing w:after="0" w:line="99" w:lineRule="exact"/>
              <w:rPr>
                <w:sz w:val="20"/>
                <w:szCs w:val="20"/>
                <w:color w:val="auto"/>
              </w:rPr>
            </w:pPr>
            <w:r>
              <w:rPr>
                <w:rFonts w:ascii="Times New Roman" w:cs="Times New Roman" w:eastAsia="Times New Roman" w:hAnsi="Times New Roman"/>
                <w:sz w:val="10"/>
                <w:szCs w:val="10"/>
                <w:color w:val="auto"/>
              </w:rPr>
              <w:t>15,170,676</w:t>
            </w:r>
          </w:p>
        </w:tc>
        <w:tc>
          <w:tcPr>
            <w:tcW w:w="5860" w:type="dxa"/>
            <w:vAlign w:val="bottom"/>
          </w:tcPr>
          <w:p>
            <w:pPr>
              <w:ind w:left="2300"/>
              <w:spacing w:after="0" w:line="99" w:lineRule="exact"/>
              <w:rPr>
                <w:sz w:val="20"/>
                <w:szCs w:val="20"/>
                <w:color w:val="auto"/>
              </w:rPr>
            </w:pPr>
            <w:r>
              <w:rPr>
                <w:rFonts w:ascii="Times New Roman" w:cs="Times New Roman" w:eastAsia="Times New Roman" w:hAnsi="Times New Roman"/>
                <w:sz w:val="10"/>
                <w:szCs w:val="10"/>
                <w:color w:val="auto"/>
              </w:rPr>
              <w:t>8.81%</w:t>
            </w:r>
          </w:p>
        </w:tc>
      </w:tr>
      <w:tr>
        <w:trPr>
          <w:trHeight w:val="113"/>
        </w:trPr>
        <w:tc>
          <w:tcPr>
            <w:tcW w:w="2700" w:type="dxa"/>
            <w:vAlign w:val="bottom"/>
          </w:tcPr>
          <w:p>
            <w:pPr>
              <w:ind w:left="40"/>
              <w:spacing w:after="0" w:line="113" w:lineRule="exact"/>
              <w:rPr>
                <w:sz w:val="20"/>
                <w:szCs w:val="20"/>
                <w:color w:val="auto"/>
              </w:rPr>
            </w:pPr>
            <w:r>
              <w:rPr>
                <w:rFonts w:ascii="Times New Roman" w:cs="Times New Roman" w:eastAsia="Times New Roman" w:hAnsi="Times New Roman"/>
                <w:sz w:val="10"/>
                <w:szCs w:val="10"/>
                <w:color w:val="auto"/>
              </w:rPr>
              <w:t>Brad Wickens</w:t>
            </w:r>
          </w:p>
        </w:tc>
        <w:tc>
          <w:tcPr>
            <w:tcW w:w="2060" w:type="dxa"/>
            <w:vAlign w:val="bottom"/>
          </w:tcPr>
          <w:p>
            <w:pPr>
              <w:ind w:left="840"/>
              <w:spacing w:after="0" w:line="113" w:lineRule="exact"/>
              <w:rPr>
                <w:sz w:val="20"/>
                <w:szCs w:val="20"/>
                <w:color w:val="auto"/>
              </w:rPr>
            </w:pPr>
            <w:r>
              <w:rPr>
                <w:rFonts w:ascii="Times New Roman" w:cs="Times New Roman" w:eastAsia="Times New Roman" w:hAnsi="Times New Roman"/>
                <w:sz w:val="10"/>
                <w:szCs w:val="10"/>
                <w:color w:val="auto"/>
              </w:rPr>
              <w:t>9,138,778</w:t>
            </w:r>
            <w:r>
              <w:rPr>
                <w:rFonts w:ascii="Times New Roman" w:cs="Times New Roman" w:eastAsia="Times New Roman" w:hAnsi="Times New Roman"/>
                <w:sz w:val="13"/>
                <w:szCs w:val="13"/>
                <w:color w:val="auto"/>
                <w:vertAlign w:val="superscript"/>
              </w:rPr>
              <w:t>(5)</w:t>
            </w:r>
          </w:p>
        </w:tc>
        <w:tc>
          <w:tcPr>
            <w:tcW w:w="5860" w:type="dxa"/>
            <w:vAlign w:val="bottom"/>
          </w:tcPr>
          <w:p>
            <w:pPr>
              <w:ind w:left="2300"/>
              <w:spacing w:after="0" w:line="113" w:lineRule="exact"/>
              <w:rPr>
                <w:sz w:val="20"/>
                <w:szCs w:val="20"/>
                <w:color w:val="auto"/>
              </w:rPr>
            </w:pPr>
            <w:r>
              <w:rPr>
                <w:rFonts w:ascii="Times New Roman" w:cs="Times New Roman" w:eastAsia="Times New Roman" w:hAnsi="Times New Roman"/>
                <w:sz w:val="10"/>
                <w:szCs w:val="10"/>
                <w:color w:val="auto"/>
              </w:rPr>
              <w:t>5.31%</w:t>
            </w:r>
          </w:p>
        </w:tc>
      </w:tr>
      <w:tr>
        <w:trPr>
          <w:trHeight w:val="176"/>
        </w:trPr>
        <w:tc>
          <w:tcPr>
            <w:tcW w:w="27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Aperion Investment Group Limited</w:t>
            </w:r>
          </w:p>
        </w:tc>
        <w:tc>
          <w:tcPr>
            <w:tcW w:w="206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14,712,645</w:t>
            </w:r>
            <w:r>
              <w:rPr>
                <w:rFonts w:ascii="Times New Roman" w:cs="Times New Roman" w:eastAsia="Times New Roman" w:hAnsi="Times New Roman"/>
                <w:sz w:val="13"/>
                <w:szCs w:val="13"/>
                <w:color w:val="auto"/>
                <w:vertAlign w:val="superscript"/>
              </w:rPr>
              <w:t>(6)</w:t>
            </w:r>
          </w:p>
        </w:tc>
        <w:tc>
          <w:tcPr>
            <w:tcW w:w="5860" w:type="dxa"/>
            <w:vAlign w:val="bottom"/>
          </w:tcPr>
          <w:p>
            <w:pPr>
              <w:ind w:left="2300"/>
              <w:spacing w:after="0"/>
              <w:rPr>
                <w:sz w:val="20"/>
                <w:szCs w:val="20"/>
                <w:color w:val="auto"/>
              </w:rPr>
            </w:pPr>
            <w:r>
              <w:rPr>
                <w:rFonts w:ascii="Times New Roman" w:cs="Times New Roman" w:eastAsia="Times New Roman" w:hAnsi="Times New Roman"/>
                <w:sz w:val="10"/>
                <w:szCs w:val="10"/>
                <w:color w:val="auto"/>
              </w:rPr>
              <w:t>8.54%</w:t>
            </w:r>
          </w:p>
        </w:tc>
      </w:tr>
      <w:tr>
        <w:trPr>
          <w:trHeight w:val="540"/>
        </w:trPr>
        <w:tc>
          <w:tcPr>
            <w:tcW w:w="2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6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103</w:t>
            </w:r>
          </w:p>
        </w:tc>
      </w:tr>
      <w:tr>
        <w:trPr>
          <w:trHeight w:val="422"/>
        </w:trPr>
        <w:tc>
          <w:tcPr>
            <w:tcW w:w="270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5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13" w:name="page114"/>
    <w:bookmarkEnd w:id="113"/>
    <w:p>
      <w:pPr>
        <w:ind w:left="10"/>
        <w:spacing w:after="0"/>
        <w:rPr>
          <w:sz w:val="20"/>
          <w:szCs w:val="20"/>
          <w:color w:val="auto"/>
        </w:rPr>
      </w:pPr>
      <w:r>
        <w:rPr>
          <w:rFonts w:ascii="Times New Roman" w:cs="Times New Roman" w:eastAsia="Times New Roman" w:hAnsi="Times New Roman"/>
          <w:sz w:val="10"/>
          <w:szCs w:val="10"/>
          <w:color w:val="auto"/>
        </w:rPr>
        <w:t>* Less than one percent.</w:t>
      </w:r>
    </w:p>
    <w:p>
      <w:pPr>
        <w:spacing w:after="0" w:line="95" w:lineRule="exact"/>
        <w:rPr>
          <w:sz w:val="20"/>
          <w:szCs w:val="2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Unless otherwise indicated, the business address of each of the following owners is 3rd Floor, 80 New Bond Street, London, W1S 1SB, United Kingdom.</w:t>
      </w:r>
    </w:p>
    <w:p>
      <w:pPr>
        <w:spacing w:after="0" w:line="93" w:lineRule="exact"/>
        <w:rPr>
          <w:rFonts w:ascii="Times New Roman" w:cs="Times New Roman" w:eastAsia="Times New Roman" w:hAnsi="Times New Roman"/>
          <w:sz w:val="10"/>
          <w:szCs w:val="10"/>
          <w:color w:val="auto"/>
        </w:rPr>
      </w:pPr>
    </w:p>
    <w:p>
      <w:pPr>
        <w:ind w:left="10" w:right="120" w:hanging="10"/>
        <w:spacing w:after="0" w:line="259" w:lineRule="auto"/>
        <w:tabs>
          <w:tab w:leader="none" w:pos="14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4,698,505 shares directly held by Daniel Wagner and (ii) 35,266,716 shares directly held by DBLP Sea Cow Limited (“</w:t>
      </w:r>
      <w:r>
        <w:rPr>
          <w:rFonts w:ascii="Times New Roman" w:cs="Times New Roman" w:eastAsia="Times New Roman" w:hAnsi="Times New Roman"/>
          <w:sz w:val="10"/>
          <w:szCs w:val="10"/>
          <w:b w:val="1"/>
          <w:bCs w:val="1"/>
          <w:i w:val="1"/>
          <w:iCs w:val="1"/>
          <w:color w:val="auto"/>
        </w:rPr>
        <w:t>DBLP</w:t>
      </w:r>
      <w:r>
        <w:rPr>
          <w:rFonts w:ascii="Times New Roman" w:cs="Times New Roman" w:eastAsia="Times New Roman" w:hAnsi="Times New Roman"/>
          <w:sz w:val="10"/>
          <w:szCs w:val="10"/>
          <w:color w:val="auto"/>
        </w:rPr>
        <w:t>”). DBLP is wholly legally owned by Mr. Wagner and Mr. Wagner is a director of DBLP and therefore Mr. Wagner may be deemed to share voting and investment power over the shares held by DBLP.</w:t>
      </w:r>
    </w:p>
    <w:p>
      <w:pPr>
        <w:spacing w:after="0" w:line="76" w:lineRule="exact"/>
        <w:rPr>
          <w:rFonts w:ascii="Times New Roman" w:cs="Times New Roman" w:eastAsia="Times New Roman" w:hAnsi="Times New Roman"/>
          <w:sz w:val="10"/>
          <w:szCs w:val="10"/>
          <w:color w:val="auto"/>
        </w:rPr>
      </w:pPr>
    </w:p>
    <w:p>
      <w:pPr>
        <w:ind w:left="10" w:hanging="10"/>
        <w:spacing w:after="0" w:line="255" w:lineRule="auto"/>
        <w:tabs>
          <w:tab w:leader="none" w:pos="148"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815,989 shares directly held by John Wagner and (ii) 35,266,716 shares directly held by DBLP. DBLP is beneficially owned by Mr. John Wagner and Mr. John Wagner is a director of DBLP and therefore Mr. Wagner may be deemed to share voting and investment power over the shares held by DBLP.</w:t>
      </w:r>
    </w:p>
    <w:p>
      <w:pPr>
        <w:spacing w:after="0" w:line="78"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DBLP is wholly legally owned by Daniel Wagner and is wholly beneficially owned by John Wagner. Both Daniel Wagner and John Wagner are directors of DBLP.</w:t>
      </w:r>
    </w:p>
    <w:p>
      <w:pPr>
        <w:spacing w:after="0" w:line="95" w:lineRule="exact"/>
        <w:rPr>
          <w:rFonts w:ascii="Times New Roman" w:cs="Times New Roman" w:eastAsia="Times New Roman" w:hAnsi="Times New Roman"/>
          <w:sz w:val="10"/>
          <w:szCs w:val="10"/>
          <w:color w:val="auto"/>
        </w:rPr>
      </w:pPr>
    </w:p>
    <w:p>
      <w:pPr>
        <w:ind w:left="170" w:hanging="170"/>
        <w:spacing w:after="0"/>
        <w:tabs>
          <w:tab w:leader="none" w:pos="17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(i) 7,897,913 Ordinary Shares and (ii) 1,240,865 Ordinary Shares currently held by Apeiron on Brad Wickens' behalf.</w:t>
      </w:r>
    </w:p>
    <w:p>
      <w:pPr>
        <w:spacing w:after="0" w:line="95" w:lineRule="exact"/>
        <w:rPr>
          <w:rFonts w:ascii="Times New Roman" w:cs="Times New Roman" w:eastAsia="Times New Roman" w:hAnsi="Times New Roman"/>
          <w:sz w:val="10"/>
          <w:szCs w:val="10"/>
          <w:color w:val="auto"/>
        </w:rPr>
      </w:pPr>
    </w:p>
    <w:p>
      <w:pPr>
        <w:ind w:left="130" w:hanging="130"/>
        <w:spacing w:after="0"/>
        <w:tabs>
          <w:tab w:leader="none" w:pos="13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Based on the Schedule 13G filed by Apeiron on September 24, 2024.</w:t>
      </w:r>
    </w:p>
    <w:p>
      <w:pPr>
        <w:spacing w:after="0" w:line="118" w:lineRule="exact"/>
        <w:rPr>
          <w:sz w:val="20"/>
          <w:szCs w:val="20"/>
          <w:color w:val="auto"/>
        </w:rPr>
      </w:pPr>
    </w:p>
    <w:p>
      <w:pPr>
        <w:jc w:val="center"/>
        <w:ind w:right="-149"/>
        <w:spacing w:after="0"/>
        <w:rPr>
          <w:sz w:val="20"/>
          <w:szCs w:val="20"/>
          <w:color w:val="auto"/>
        </w:rPr>
      </w:pPr>
      <w:r>
        <w:rPr>
          <w:rFonts w:ascii="Times New Roman" w:cs="Times New Roman" w:eastAsia="Times New Roman" w:hAnsi="Times New Roman"/>
          <w:sz w:val="10"/>
          <w:szCs w:val="1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90"/>
          </w:cols>
          <w:pgMar w:left="630" w:top="1305" w:right="78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0"/>
          <w:szCs w:val="10"/>
          <w:b w:val="1"/>
          <w:bCs w:val="1"/>
          <w:color w:val="auto"/>
        </w:rPr>
        <w:t>DESCRIPTION OF ORDINARY SHARES, ARTICLES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ASSOCIATION AND CERTAIN LEGAL CONSIDERATIONS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Introduction</w:t>
      </w:r>
    </w:p>
    <w:p>
      <w:pPr>
        <w:spacing w:after="0" w:line="58" w:lineRule="exact"/>
        <w:rPr>
          <w:sz w:val="20"/>
          <w:szCs w:val="20"/>
          <w:color w:val="auto"/>
        </w:rPr>
      </w:pPr>
    </w:p>
    <w:p>
      <w:pPr>
        <w:ind w:firstLine="480"/>
        <w:spacing w:after="0" w:line="247" w:lineRule="auto"/>
        <w:rPr>
          <w:sz w:val="20"/>
          <w:szCs w:val="20"/>
          <w:color w:val="auto"/>
        </w:rPr>
      </w:pPr>
      <w:r>
        <w:rPr>
          <w:rFonts w:ascii="Times New Roman" w:cs="Times New Roman" w:eastAsia="Times New Roman" w:hAnsi="Times New Roman"/>
          <w:sz w:val="10"/>
          <w:szCs w:val="10"/>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0"/>
          <w:szCs w:val="10"/>
          <w:b w:val="1"/>
          <w:bCs w:val="1"/>
          <w:i w:val="1"/>
          <w:iCs w:val="1"/>
          <w:color w:val="auto"/>
        </w:rPr>
        <w:t>Articles</w:t>
      </w:r>
      <w:r>
        <w:rPr>
          <w:rFonts w:ascii="Times New Roman" w:cs="Times New Roman" w:eastAsia="Times New Roman" w:hAnsi="Times New Roman"/>
          <w:sz w:val="10"/>
          <w:szCs w:val="10"/>
          <w:color w:val="auto"/>
        </w:rPr>
        <w:t xml:space="preserve">”), and (iii) a summary of relevant provisions of the UK Companies Act 2006 (as amended) (the “ </w:t>
      </w:r>
      <w:r>
        <w:rPr>
          <w:rFonts w:ascii="Times New Roman" w:cs="Times New Roman" w:eastAsia="Times New Roman" w:hAnsi="Times New Roman"/>
          <w:sz w:val="10"/>
          <w:szCs w:val="10"/>
          <w:b w:val="1"/>
          <w:bCs w:val="1"/>
          <w:i w:val="1"/>
          <w:iCs w:val="1"/>
          <w:color w:val="auto"/>
        </w:rPr>
        <w:t>UK Companies Act</w:t>
      </w:r>
      <w:r>
        <w:rPr>
          <w:rFonts w:ascii="Times New Roman" w:cs="Times New Roman" w:eastAsia="Times New Roman" w:hAnsi="Times New Roman"/>
          <w:sz w:val="10"/>
          <w:szCs w:val="10"/>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General Description of Ordinary Shares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comprise a single class of ordinary shares with a nominal value of £0.0001 each.</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•Ordinary Shares carry the right to receive dividends and distributions paid by Rezolve, if any.</w:t>
      </w:r>
    </w:p>
    <w:p>
      <w:pPr>
        <w:spacing w:after="0" w:line="58" w:lineRule="exact"/>
        <w:rPr>
          <w:sz w:val="20"/>
          <w:szCs w:val="20"/>
          <w:color w:val="auto"/>
        </w:rPr>
      </w:pPr>
    </w:p>
    <w:p>
      <w:pPr>
        <w:ind w:left="480" w:right="240"/>
        <w:spacing w:after="0" w:line="310" w:lineRule="auto"/>
        <w:rPr>
          <w:sz w:val="20"/>
          <w:szCs w:val="20"/>
          <w:color w:val="auto"/>
        </w:rPr>
      </w:pPr>
      <w:r>
        <w:rPr>
          <w:rFonts w:ascii="Times New Roman" w:cs="Times New Roman" w:eastAsia="Times New Roman" w:hAnsi="Times New Roman"/>
          <w:sz w:val="9"/>
          <w:szCs w:val="9"/>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equity securities issued by Rezolve for cash must first be offered to Rezolve shareholders in proportion to their existing holdings of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69"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01"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99" w:lineRule="exact"/>
        <w:rPr>
          <w:sz w:val="20"/>
          <w:szCs w:val="20"/>
          <w:color w:val="auto"/>
        </w:rPr>
      </w:pPr>
    </w:p>
    <w:p>
      <w:pPr>
        <w:jc w:val="both"/>
        <w:ind w:right="20" w:firstLine="480"/>
        <w:spacing w:after="0" w:line="247" w:lineRule="auto"/>
        <w:rPr>
          <w:sz w:val="20"/>
          <w:szCs w:val="20"/>
          <w:color w:val="auto"/>
        </w:rPr>
      </w:pPr>
      <w:r>
        <w:rPr>
          <w:rFonts w:ascii="Times New Roman" w:cs="Times New Roman" w:eastAsia="Times New Roman" w:hAnsi="Times New Roman"/>
          <w:sz w:val="10"/>
          <w:szCs w:val="10"/>
          <w:color w:val="auto"/>
        </w:rPr>
        <w:t>Rezolve may convert Ordinary Shares into deferred shares of £ 0.0001 each (or other nominal value) in the capital of Rezolve (the “</w:t>
      </w:r>
      <w:r>
        <w:rPr>
          <w:rFonts w:ascii="Times New Roman" w:cs="Times New Roman" w:eastAsia="Times New Roman" w:hAnsi="Times New Roman"/>
          <w:sz w:val="10"/>
          <w:szCs w:val="10"/>
          <w:b w:val="1"/>
          <w:bCs w:val="1"/>
          <w:i w:val="1"/>
          <w:iCs w:val="1"/>
          <w:color w:val="auto"/>
        </w:rPr>
        <w:t>Deferred Shares</w:t>
      </w:r>
      <w:r>
        <w:rPr>
          <w:rFonts w:ascii="Times New Roman" w:cs="Times New Roman" w:eastAsia="Times New Roman" w:hAnsi="Times New Roman"/>
          <w:sz w:val="10"/>
          <w:szCs w:val="10"/>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04"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Register</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15" w:name="page116"/>
    <w:bookmarkEnd w:id="115"/>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any of its shareholders or any other affected person may apply to the court for rectification of the share register if: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name of any person, without sufficient cause, is wrongly entered in or omitted from Rezolve’s register of shareholders; or</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Public Warrants</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08"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92"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 xml:space="preserve">Redemption of Public Warrants when the price per Ordinary Share equals or exceeds $18.00. </w:t>
      </w:r>
      <w:r>
        <w:rPr>
          <w:rFonts w:ascii="Times New Roman" w:cs="Times New Roman" w:eastAsia="Times New Roman" w:hAnsi="Times New Roman"/>
          <w:sz w:val="10"/>
          <w:szCs w:val="10"/>
          <w:color w:val="auto"/>
        </w:rPr>
        <w:t>Once the warrants become exercisable, we may redeem the outstanding warrants (subject to any restrictions under the UK Companies Act):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 price of $0.01 per warrant;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a minimum of 30 days’ prior written notice of redemption; and</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116" w:name="page117"/>
    <w:bookmarkEnd w:id="116"/>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03" w:lineRule="exact"/>
        <w:rPr>
          <w:sz w:val="20"/>
          <w:szCs w:val="20"/>
          <w:color w:val="auto"/>
        </w:rPr>
      </w:pPr>
    </w:p>
    <w:p>
      <w:pPr>
        <w:ind w:right="22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Holder Election to Limit Exercise</w:t>
      </w:r>
      <w:r>
        <w:rPr>
          <w:rFonts w:ascii="Times New Roman" w:cs="Times New Roman" w:eastAsia="Times New Roman" w:hAnsi="Times New Roman"/>
          <w:sz w:val="10"/>
          <w:szCs w:val="10"/>
          <w:color w:val="auto"/>
        </w:rPr>
        <w:t>. A holder of a warrant may notify us in writing in the event it elects to be subject to a requirement that such holder will not have the right to exercise such warrant, to the extent that after giving effect to such exercise, such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person (together with such person’s affiliates), to the warrant agent’s actual knowledge, would beneficially own in excess of 9.8% (as specified by the holder) of the Ordinary Shares outstanding immediately after giving effect to such exercise.</w:t>
      </w:r>
    </w:p>
    <w:p>
      <w:pPr>
        <w:spacing w:after="0" w:line="97"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Anti -Dilution Adjustments</w:t>
      </w:r>
      <w:r>
        <w:rPr>
          <w:rFonts w:ascii="Times New Roman" w:cs="Times New Roman" w:eastAsia="Times New Roman" w:hAnsi="Times New Roman"/>
          <w:sz w:val="10"/>
          <w:szCs w:val="10"/>
          <w:color w:val="auto"/>
        </w:rPr>
        <w:t>. If the number of outstanding Ordinary Shares is increased by a stock dividend payable in Ordinary Shares, or by a split up of common stock or other similar event, then, on the effective date of such share capitalization, sub-division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78"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10"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0"/>
          <w:szCs w:val="10"/>
          <w:b w:val="1"/>
          <w:bCs w:val="1"/>
          <w:color w:val="auto"/>
        </w:rPr>
        <w:t>Articles of Association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 rights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Voting rights and quorum</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holder.</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number of votes attaching to all the shares held by Daniel Wagner as the “Rezolve Founder” or in which he is interested shall be equal to the higher of:</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(i)75% of the votes attaching to all shares in the capital of the Company;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(ii)the total number of votes that would otherwise have been conferred on Daniel Wagner.</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Restrictions on Voting</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Variation of Rights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rights attached to any class of shares may be varied in accordance with the provisions of the UK Companies Act and with either the written consent of the holders of not less than three- 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0"/>
          <w:szCs w:val="10"/>
          <w:b w:val="1"/>
          <w:bCs w:val="1"/>
          <w:i w:val="1"/>
          <w:iCs w:val="1"/>
          <w:color w:val="auto"/>
        </w:rPr>
        <w:t>Share transfers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Ordinary Shares are in registered form. Any Ordinary Shares may be held in uncertificated form.</w:t>
      </w:r>
    </w:p>
    <w:p>
      <w:pPr>
        <w:spacing w:after="0" w:line="11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transferor of an ordinary share is deemed to remain the holder until the transferee’s name is entered in the share register.</w:t>
      </w:r>
    </w:p>
    <w:p>
      <w:pPr>
        <w:spacing w:after="0" w:line="118"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Dividends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dividends on shares are to be paid according to the amounts paid up on their nominal value, or otherwise in accordance with the terms concerning entitlement to dividends on which shares were issued.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unclaimed dividends may be made use of by Rezolve’s board of directors for Rezolve’s benefit until claimed.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dividend unclaimed for a period of 10 years from the date when it was declared or became due for payment shall revert to Rezolve.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Shareholder meetings</w:t>
      </w:r>
    </w:p>
    <w:p>
      <w:pPr>
        <w:spacing w:after="0" w:line="6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05"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19" w:name="page120"/>
    <w:bookmarkEnd w:id="119"/>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voting rights of each member at a general meeting are as set out under the heading “Voting Rights and Quorum”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Alteration of share capital</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may agree with any member terms and conditions upon which all or any part of the Ordinary Shares held by such member from time to time shall be automatically converted into deferred shares.</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Change of Control</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There is no specific provision in the articles of association that would have the effect of delaying, deferring or preventing a change of control. Our board will be divided into three classes serving staggered three -year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Winding Up</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Directors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Number of Directors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1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Rezolve’s board is divided into three classes serving staggered three -year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1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0"/>
          <w:szCs w:val="10"/>
          <w:b w:val="1"/>
          <w:bCs w:val="1"/>
          <w:i w:val="1"/>
          <w:iCs w:val="1"/>
          <w:color w:val="auto"/>
        </w:rPr>
        <w:t>Appointment of Directors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0"/>
          <w:szCs w:val="10"/>
          <w:i w:val="1"/>
          <w:iCs w:val="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Retirement of Directors</w:t>
      </w:r>
    </w:p>
    <w:p>
      <w:pPr>
        <w:spacing w:after="0" w:line="60" w:lineRule="exact"/>
        <w:rPr>
          <w:sz w:val="20"/>
          <w:szCs w:val="20"/>
          <w:color w:val="auto"/>
        </w:rPr>
      </w:pPr>
    </w:p>
    <w:p>
      <w:pPr>
        <w:jc w:val="both"/>
        <w:ind w:right="320" w:firstLine="480"/>
        <w:spacing w:after="0" w:line="245" w:lineRule="auto"/>
        <w:rPr>
          <w:sz w:val="20"/>
          <w:szCs w:val="20"/>
          <w:color w:val="auto"/>
        </w:rPr>
      </w:pPr>
      <w:r>
        <w:rPr>
          <w:rFonts w:ascii="Times New Roman" w:cs="Times New Roman" w:eastAsia="Times New Roman" w:hAnsi="Times New Roman"/>
          <w:sz w:val="10"/>
          <w:szCs w:val="10"/>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Interests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2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director shall be entitled to vote (and be counted in the quorum) in respect of any resolution concerning any of the following matters: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contract, transaction or arrangement in which the director is interested by virtue of an interest in shares, debentures or other securities of Rezolve or any of its subsidiary undertakings;</w:t>
      </w:r>
    </w:p>
    <w:p>
      <w:pPr>
        <w:spacing w:after="0" w:line="58"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•indemnification by Rezolve in relation to the performance of the director’s duties on behalf of the Company or any of its subsidiary undertakings;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121" w:name="page122"/>
    <w:bookmarkEnd w:id="121"/>
    <w:p>
      <w:pPr>
        <w:ind w:left="480" w:right="40"/>
        <w:spacing w:after="0" w:line="255" w:lineRule="auto"/>
        <w:rPr>
          <w:sz w:val="20"/>
          <w:szCs w:val="20"/>
          <w:color w:val="auto"/>
        </w:rPr>
      </w:pPr>
      <w:r>
        <w:rPr>
          <w:rFonts w:ascii="Times New Roman" w:cs="Times New Roman" w:eastAsia="Times New Roman" w:hAnsi="Times New Roman"/>
          <w:sz w:val="10"/>
          <w:szCs w:val="10"/>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8" w:lineRule="exact"/>
        <w:rPr>
          <w:sz w:val="20"/>
          <w:szCs w:val="20"/>
          <w:color w:val="auto"/>
        </w:rPr>
      </w:pPr>
    </w:p>
    <w:p>
      <w:pPr>
        <w:ind w:left="480" w:right="420"/>
        <w:spacing w:after="0" w:line="380" w:lineRule="auto"/>
        <w:rPr>
          <w:sz w:val="20"/>
          <w:szCs w:val="20"/>
          <w:color w:val="auto"/>
        </w:rPr>
      </w:pPr>
      <w:r>
        <w:rPr>
          <w:rFonts w:ascii="Times New Roman" w:cs="Times New Roman" w:eastAsia="Times New Roman" w:hAnsi="Times New Roman"/>
          <w:sz w:val="10"/>
          <w:szCs w:val="10"/>
          <w:color w:val="auto"/>
        </w:rPr>
        <w:t>•any arrangement for the benefit of employees of Rezolve or of any of its subsidiary undertakings which does not accord to the director any privilege or benefit not generally accorded to the employees to whom the contract or arrangement relates; and •the purchase or maintenance of insurance either for or for the benefit of any director or for persons who include directors.</w:t>
      </w:r>
    </w:p>
    <w:p>
      <w:pPr>
        <w:spacing w:after="0" w:line="4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Directors’ Fees and Remuneration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Special remuneration may be granted to any director who performs any special or extra services to, or at the request of, Rezolve, to be paid by way of lump sum, salary, commission, participation in profits or otherwise as the Rezolve board of directors may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decide.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Borrowing Powers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Indemnity</w:t>
      </w:r>
    </w:p>
    <w:p>
      <w:pPr>
        <w:spacing w:after="0" w:line="60" w:lineRule="exact"/>
        <w:rPr>
          <w:sz w:val="20"/>
          <w:szCs w:val="20"/>
          <w:color w:val="auto"/>
        </w:rPr>
      </w:pPr>
    </w:p>
    <w:p>
      <w:pPr>
        <w:ind w:right="280" w:firstLine="480"/>
        <w:spacing w:after="0" w:line="245" w:lineRule="auto"/>
        <w:rPr>
          <w:sz w:val="20"/>
          <w:szCs w:val="20"/>
          <w:color w:val="auto"/>
        </w:rPr>
      </w:pPr>
      <w:r>
        <w:rPr>
          <w:rFonts w:ascii="Times New Roman" w:cs="Times New Roman" w:eastAsia="Times New Roman" w:hAnsi="Times New Roman"/>
          <w:sz w:val="10"/>
          <w:szCs w:val="10"/>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Other English Law Considerations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Mandatory Purchases and Acquisitions</w:t>
      </w:r>
    </w:p>
    <w:p>
      <w:pPr>
        <w:spacing w:after="0" w:line="60" w:lineRule="exact"/>
        <w:rPr>
          <w:sz w:val="20"/>
          <w:szCs w:val="20"/>
          <w:color w:val="auto"/>
        </w:rPr>
      </w:pPr>
    </w:p>
    <w:p>
      <w:pPr>
        <w:ind w:right="140" w:firstLine="480"/>
        <w:spacing w:after="0" w:line="310" w:lineRule="auto"/>
        <w:rPr>
          <w:sz w:val="20"/>
          <w:szCs w:val="20"/>
          <w:color w:val="auto"/>
        </w:rPr>
      </w:pPr>
      <w:r>
        <w:rPr>
          <w:rFonts w:ascii="Times New Roman" w:cs="Times New Roman" w:eastAsia="Times New Roman" w:hAnsi="Times New Roman"/>
          <w:sz w:val="9"/>
          <w:szCs w:val="9"/>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0"/>
          <w:szCs w:val="10"/>
          <w:color w:val="auto"/>
        </w:rPr>
        <w:t>acquire, those shares on the same terms as the general offer. The offeror would do so by sending a notice to the outstanding minority shareholders telling them that it will compulsorily acquire their shares.</w:t>
      </w:r>
    </w:p>
    <w:p>
      <w:pPr>
        <w:spacing w:after="0" w:line="11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Such notice must be sent within three months of the last day on which the offer can be accepted in the prescribed manner. The squeeze -out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Sell Out</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Disclosure of Interest in Shares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8" w:lineRule="exact"/>
        <w:rPr>
          <w:sz w:val="20"/>
          <w:szCs w:val="20"/>
          <w:color w:val="auto"/>
        </w:rPr>
      </w:pPr>
    </w:p>
    <w:p>
      <w:pPr>
        <w:jc w:val="both"/>
        <w:ind w:left="480" w:right="220"/>
        <w:spacing w:after="0" w:line="245" w:lineRule="auto"/>
        <w:rPr>
          <w:sz w:val="20"/>
          <w:szCs w:val="20"/>
          <w:color w:val="auto"/>
        </w:rPr>
      </w:pPr>
      <w:r>
        <w:rPr>
          <w:rFonts w:ascii="Times New Roman" w:cs="Times New Roman" w:eastAsia="Times New Roman" w:hAnsi="Times New Roman"/>
          <w:sz w:val="10"/>
          <w:szCs w:val="10"/>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Purchase of Own Shares</w:t>
      </w:r>
    </w:p>
    <w:p>
      <w:pPr>
        <w:spacing w:after="0" w:line="60" w:lineRule="exact"/>
        <w:rPr>
          <w:sz w:val="20"/>
          <w:szCs w:val="20"/>
          <w:color w:val="auto"/>
        </w:rPr>
      </w:pPr>
    </w:p>
    <w:p>
      <w:pPr>
        <w:ind w:right="200" w:firstLine="480"/>
        <w:spacing w:after="0" w:line="241" w:lineRule="auto"/>
        <w:rPr>
          <w:sz w:val="20"/>
          <w:szCs w:val="20"/>
          <w:color w:val="auto"/>
        </w:rPr>
      </w:pPr>
      <w:r>
        <w:rPr>
          <w:rFonts w:ascii="Times New Roman" w:cs="Times New Roman" w:eastAsia="Times New Roman" w:hAnsi="Times New Roman"/>
          <w:sz w:val="10"/>
          <w:szCs w:val="10"/>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the maximum number of shares authorized to be acquired;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•determine the maximum and minimum prices that may be paid for the shares;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•specify a date, not being later than five years after the passing of the resolution, on which the authority to purchase is to expire.</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123" w:name="page124"/>
    <w:bookmarkEnd w:id="123"/>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and Dividends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It is not sufficient that Rezolve, once re- 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41" w:lineRule="exact"/>
        <w:rPr>
          <w:sz w:val="20"/>
          <w:szCs w:val="20"/>
          <w:color w:val="auto"/>
        </w:rPr>
      </w:pPr>
    </w:p>
    <w:p>
      <w:pPr>
        <w:ind w:left="480" w:right="2120"/>
        <w:spacing w:after="0" w:line="380" w:lineRule="auto"/>
        <w:rPr>
          <w:sz w:val="20"/>
          <w:szCs w:val="20"/>
          <w:color w:val="auto"/>
        </w:rPr>
      </w:pPr>
      <w:r>
        <w:rPr>
          <w:rFonts w:ascii="Times New Roman" w:cs="Times New Roman" w:eastAsia="Times New Roman" w:hAnsi="Times New Roman"/>
          <w:sz w:val="10"/>
          <w:szCs w:val="10"/>
          <w:color w:val="auto"/>
        </w:rPr>
        <w:t>•if, at the time that the distribution is made, the amount of its net assets (that is, the total excess of assets over liabilities) is not less than the total of its called-up share capital and undistributable reserves; and •if, and to the extent that, the distribution itself, at the time that it is made, does not reduce the amount of the net assets to less than that total.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Anti-Money Laundering</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Enforceability of Civil Liabilities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05"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Data Protection - United Kingdom</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has certain duties under the General Data Protection Regulation (as implemented in the UK) and the Data Protection Act 2018 (“</w:t>
      </w:r>
      <w:r>
        <w:rPr>
          <w:rFonts w:ascii="Times New Roman" w:cs="Times New Roman" w:eastAsia="Times New Roman" w:hAnsi="Times New Roman"/>
          <w:sz w:val="10"/>
          <w:szCs w:val="10"/>
          <w:b w:val="1"/>
          <w:bCs w:val="1"/>
          <w:i w:val="1"/>
          <w:iCs w:val="1"/>
          <w:color w:val="auto"/>
        </w:rPr>
        <w:t>UK GDPR</w:t>
      </w:r>
      <w:r>
        <w:rPr>
          <w:rFonts w:ascii="Times New Roman" w:cs="Times New Roman" w:eastAsia="Times New Roman" w:hAnsi="Times New Roman"/>
          <w:sz w:val="10"/>
          <w:szCs w:val="10"/>
          <w:color w:val="auto"/>
        </w:rPr>
        <w:t>”) based on internationally accepted principles of data privacy.</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0"/>
          <w:szCs w:val="10"/>
          <w:b w:val="1"/>
          <w:bCs w:val="1"/>
          <w:i w:val="1"/>
          <w:iCs w:val="1"/>
          <w:color w:val="auto"/>
        </w:rPr>
        <w:t>Privacy Notice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Introduction</w:t>
      </w:r>
    </w:p>
    <w:p>
      <w:pPr>
        <w:spacing w:after="0" w:line="58" w:lineRule="exact"/>
        <w:rPr>
          <w:sz w:val="20"/>
          <w:szCs w:val="20"/>
          <w:color w:val="auto"/>
        </w:rPr>
      </w:pPr>
    </w:p>
    <w:p>
      <w:pPr>
        <w:ind w:right="260" w:firstLine="480"/>
        <w:spacing w:after="0" w:line="259" w:lineRule="auto"/>
        <w:rPr>
          <w:sz w:val="20"/>
          <w:szCs w:val="20"/>
          <w:color w:val="auto"/>
        </w:rPr>
      </w:pPr>
      <w:r>
        <w:rPr>
          <w:rFonts w:ascii="Times New Roman" w:cs="Times New Roman" w:eastAsia="Times New Roman" w:hAnsi="Times New Roman"/>
          <w:sz w:val="10"/>
          <w:szCs w:val="10"/>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0"/>
          <w:szCs w:val="10"/>
          <w:b w:val="1"/>
          <w:bCs w:val="1"/>
          <w:i w:val="1"/>
          <w:iCs w:val="1"/>
          <w:color w:val="auto"/>
        </w:rPr>
        <w:t>personal data</w:t>
      </w:r>
      <w:r>
        <w:rPr>
          <w:rFonts w:ascii="Times New Roman" w:cs="Times New Roman" w:eastAsia="Times New Roman" w:hAnsi="Times New Roman"/>
          <w:sz w:val="10"/>
          <w:szCs w:val="10"/>
          <w:color w:val="auto"/>
        </w:rPr>
        <w:t>”). In the following discussion, the “Company” refers to Rezolve and its affiliates and/or delegates, except where the context requires otherwise.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Investor Data</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05"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05" w:lineRule="exact"/>
        <w:rPr>
          <w:sz w:val="20"/>
          <w:szCs w:val="20"/>
          <w:color w:val="auto"/>
        </w:rPr>
      </w:pPr>
    </w:p>
    <w:p>
      <w:pPr>
        <w:ind w:right="320" w:firstLine="480"/>
        <w:spacing w:after="0" w:line="245" w:lineRule="auto"/>
        <w:rPr>
          <w:sz w:val="20"/>
          <w:szCs w:val="20"/>
          <w:color w:val="auto"/>
        </w:rPr>
      </w:pPr>
      <w:r>
        <w:rPr>
          <w:rFonts w:ascii="Times New Roman" w:cs="Times New Roman" w:eastAsia="Times New Roman" w:hAnsi="Times New Roman"/>
          <w:sz w:val="10"/>
          <w:szCs w:val="10"/>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Who this Affects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How Rezolve May Use a Member’s Personal Data</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as the data controller, may collect, store and use personal data for lawful purposes, including, in particular: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•where this is necessary for the performance of its rights and obligations under any purchase agreements;</w:t>
      </w:r>
    </w:p>
    <w:p>
      <w:pPr>
        <w:spacing w:after="0" w:line="58" w:lineRule="exact"/>
        <w:rPr>
          <w:sz w:val="20"/>
          <w:szCs w:val="20"/>
          <w:color w:val="auto"/>
        </w:rPr>
      </w:pPr>
    </w:p>
    <w:p>
      <w:pPr>
        <w:ind w:left="480" w:right="2380"/>
        <w:spacing w:after="0" w:line="380" w:lineRule="auto"/>
        <w:rPr>
          <w:sz w:val="20"/>
          <w:szCs w:val="20"/>
          <w:color w:val="auto"/>
        </w:rPr>
      </w:pPr>
      <w:r>
        <w:rPr>
          <w:rFonts w:ascii="Times New Roman" w:cs="Times New Roman" w:eastAsia="Times New Roman" w:hAnsi="Times New Roman"/>
          <w:sz w:val="10"/>
          <w:szCs w:val="10"/>
          <w:color w:val="auto"/>
        </w:rPr>
        <w:t>•where this is necessary for compliance with a legal and regulatory obligation to which the company is subject (such as compliance with anti-money laundering and FATCA/CRS requirements); and/or •where this is necessary for the purposes of our legitimate interests and such interests are not overridden by your interests, fundamental rights or freedoms.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Should Rezolve wish to use personal data for other specific purposes (including, if applicable, any purpose that requires your consent), it will contact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Why Rezolve May Share Your Personal Data</w:t>
      </w:r>
    </w:p>
    <w:p>
      <w:pPr>
        <w:spacing w:after="0" w:line="60" w:lineRule="exact"/>
        <w:rPr>
          <w:sz w:val="20"/>
          <w:szCs w:val="20"/>
          <w:color w:val="auto"/>
        </w:rPr>
      </w:pPr>
    </w:p>
    <w:p>
      <w:pPr>
        <w:ind w:right="300" w:firstLine="480"/>
        <w:spacing w:after="0" w:line="255" w:lineRule="auto"/>
        <w:rPr>
          <w:sz w:val="20"/>
          <w:szCs w:val="20"/>
          <w:color w:val="auto"/>
        </w:rPr>
      </w:pPr>
      <w:r>
        <w:rPr>
          <w:rFonts w:ascii="Times New Roman" w:cs="Times New Roman" w:eastAsia="Times New Roman" w:hAnsi="Times New Roman"/>
          <w:sz w:val="10"/>
          <w:szCs w:val="10"/>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213" w:right="600" w:bottom="1440" w:gutter="0" w:footer="0" w:header="0"/>
        </w:sectPr>
      </w:pPr>
    </w:p>
    <w:bookmarkStart w:id="125" w:name="page126"/>
    <w:bookmarkEnd w:id="125"/>
    <w:p>
      <w:pPr>
        <w:ind w:left="480"/>
        <w:spacing w:after="0"/>
        <w:rPr>
          <w:sz w:val="20"/>
          <w:szCs w:val="20"/>
          <w:color w:val="auto"/>
        </w:rPr>
      </w:pPr>
      <w:r>
        <w:rPr>
          <w:rFonts w:ascii="Times New Roman" w:cs="Times New Roman" w:eastAsia="Times New Roman" w:hAnsi="Times New Roman"/>
          <w:sz w:val="10"/>
          <w:szCs w:val="10"/>
          <w:color w:val="auto"/>
        </w:rPr>
        <w:t>Rezolve may share your personal data with our affiliates for any of the purposes described in this privacy notice.</w:t>
      </w:r>
    </w:p>
    <w:p>
      <w:pPr>
        <w:spacing w:after="0" w:line="11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International Data Transfers</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The Data Protection Measures Rezolve Takes</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Retention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26" w:name="page127"/>
    <w:bookmarkEnd w:id="126"/>
    <w:p>
      <w:pPr>
        <w:ind w:left="4340"/>
        <w:spacing w:after="0"/>
        <w:rPr>
          <w:sz w:val="20"/>
          <w:szCs w:val="20"/>
          <w:color w:val="auto"/>
        </w:rPr>
      </w:pPr>
      <w:r>
        <w:rPr>
          <w:rFonts w:ascii="Times New Roman" w:cs="Times New Roman" w:eastAsia="Times New Roman" w:hAnsi="Times New Roman"/>
          <w:sz w:val="10"/>
          <w:szCs w:val="10"/>
          <w:b w:val="1"/>
          <w:bCs w:val="1"/>
          <w:color w:val="auto"/>
        </w:rPr>
        <w:t>DESCRIPTION OF SECURITIES WE ARE OFFERING</w:t>
      </w:r>
    </w:p>
    <w:p>
      <w:pPr>
        <w:spacing w:after="0" w:line="172" w:lineRule="exact"/>
        <w:rPr>
          <w:sz w:val="20"/>
          <w:szCs w:val="20"/>
          <w:color w:val="auto"/>
        </w:rPr>
      </w:pPr>
    </w:p>
    <w:p>
      <w:pPr>
        <w:ind w:firstLine="705"/>
        <w:spacing w:after="0" w:line="277" w:lineRule="auto"/>
        <w:rPr>
          <w:sz w:val="20"/>
          <w:szCs w:val="20"/>
          <w:color w:val="auto"/>
        </w:rPr>
      </w:pPr>
      <w:r>
        <w:rPr>
          <w:rFonts w:ascii="Times New Roman" w:cs="Times New Roman" w:eastAsia="Times New Roman" w:hAnsi="Times New Roman"/>
          <w:sz w:val="9"/>
          <w:szCs w:val="9"/>
          <w:color w:val="auto"/>
        </w:rPr>
        <w:t>We are offering up to 7,598,784 Ordinary Shares and accompanying Offering Warrants to purchase up to 7,598,784 Ordinary Shares. We are also offering up to 7,598,784 Pre-Funded Warrants to those purchasers whose purchase Ordinary Shares in this offering would result in the purchaser, together with its affiliates and certain related parties, beneficially owning more than 4.99% (or, at the election of the purchaser, 9.99%) of our outstanding Ordinary Shares following the consummation of this offering in lieu of the Ordinary Shares that would result in such excess ownership. Each Pre- Funded Warrant will be exercisable for one Ordinary Share. For each Pre-Funded Warrant we sell, the number of Ordinary Shares we are offering will be decreased on a one-for-one basis. No Offering Warrants for fractional Ordinary Shares will be issued, rather Offering Warrants will be issued only for whole shares. We are also registering the Ordinary Shares issuable from time to time upon exercise of the Pre-Funded Warrants and Offering Warrants offered hereby.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Ordinary Shares</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The material terms and provisions of our Ordinary Shares are described under the caption “</w:t>
      </w:r>
      <w:r>
        <w:rPr>
          <w:rFonts w:ascii="Times New Roman" w:cs="Times New Roman" w:eastAsia="Times New Roman" w:hAnsi="Times New Roman"/>
          <w:sz w:val="10"/>
          <w:szCs w:val="10"/>
          <w:i w:val="1"/>
          <w:iCs w:val="1"/>
          <w:color w:val="auto"/>
        </w:rPr>
        <w:t>General Description of Ordinary Shares</w:t>
      </w:r>
      <w:r>
        <w:rPr>
          <w:rFonts w:ascii="Times New Roman" w:cs="Times New Roman" w:eastAsia="Times New Roman" w:hAnsi="Times New Roman"/>
          <w:sz w:val="10"/>
          <w:szCs w:val="10"/>
          <w:color w:val="auto"/>
        </w:rPr>
        <w:t>” in this prospectus.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Offering Warrants</w:t>
      </w:r>
    </w:p>
    <w:p>
      <w:pPr>
        <w:spacing w:after="0" w:line="112" w:lineRule="exact"/>
        <w:rPr>
          <w:sz w:val="20"/>
          <w:szCs w:val="20"/>
          <w:color w:val="auto"/>
        </w:rPr>
      </w:pPr>
    </w:p>
    <w:p>
      <w:pPr>
        <w:ind w:right="20" w:firstLine="705"/>
        <w:spacing w:after="0" w:line="310" w:lineRule="auto"/>
        <w:rPr>
          <w:sz w:val="20"/>
          <w:szCs w:val="20"/>
          <w:color w:val="auto"/>
        </w:rPr>
      </w:pPr>
      <w:r>
        <w:rPr>
          <w:rFonts w:ascii="Times New Roman" w:cs="Times New Roman" w:eastAsia="Times New Roman" w:hAnsi="Times New Roman"/>
          <w:sz w:val="9"/>
          <w:szCs w:val="9"/>
          <w:color w:val="auto"/>
        </w:rPr>
        <w:t>The following is a summary of certain terms and provisions of the Offering Warrants that are being offered hereby and is not complete and is subject to, and qualified in its entirety by, the provisions of the Offering Warrants, the form of which is filed as an exhibit to the registration statement of which this prospectus forms a part. Prospective investors should carefully review the terms and provisions of the form of Offering Warrants for a complete description of the terms and conditions of the Offering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Duration and Exercise Price</w:t>
      </w:r>
    </w:p>
    <w:p>
      <w:pPr>
        <w:spacing w:after="0" w:line="112" w:lineRule="exact"/>
        <w:rPr>
          <w:sz w:val="20"/>
          <w:szCs w:val="20"/>
          <w:color w:val="auto"/>
        </w:rPr>
      </w:pPr>
    </w:p>
    <w:p>
      <w:pPr>
        <w:ind w:right="40" w:firstLine="705"/>
        <w:spacing w:after="0" w:line="245" w:lineRule="auto"/>
        <w:rPr>
          <w:sz w:val="20"/>
          <w:szCs w:val="20"/>
          <w:color w:val="auto"/>
        </w:rPr>
      </w:pPr>
      <w:r>
        <w:rPr>
          <w:rFonts w:ascii="Times New Roman" w:cs="Times New Roman" w:eastAsia="Times New Roman" w:hAnsi="Times New Roman"/>
          <w:sz w:val="10"/>
          <w:szCs w:val="10"/>
          <w:color w:val="auto"/>
        </w:rPr>
        <w:t>Each Offering Warrant offered hereby will have an exercise price equal to $ . The Offering Warrants will be immediately exercisable and may be exercised until the five-year anniversary of the issuance date. The exercise price and number of Ordinary Shares issuable upon exercise of the Offering Warrants are subject to appropriate adjustment in the event of stock dividends, stock splits, reorganizations or similar events affecting our Ordinary Shares. The Offering Warrants will be issued separately from the Ordinary Shares or Pre-Funded Warrants, respectively, and may be transferred separately immediately thereafter. However, if at any time the 5-Day VWAP is at or above ______, the Offering Warrants shall expire in 30 days.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Exercisability</w:t>
      </w:r>
    </w:p>
    <w:p>
      <w:pPr>
        <w:spacing w:after="0" w:line="112"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Offering Warrants will be exercisable, at the option of each holder, in whole or in part, by delivering to us a duly executed exercise notice accompanied by payment in full for the number of Ordinary Shares purchased upon such exercise. A holder (together with its affiliates) may not exercise any portion of such holder’s Offering Warrants to the extent that the holder would own more than 4.99% (or, at the election of the holder, 9.99%) of the outstanding Ordinary Shares immediately after exercise. However, upon notice from the holder to us, the holder may decrease or increase the holder’s beneficial ownership limitation, which may not exceed 9.99% of the number of outstanding Ordinary Shares immediately after giving effect to the exercise, as such percentage ownership is determined in accordance with the terms of the Offering Warrants, provided that any increase in the beneficial ownership limitation will not take effect until 61 days following notice to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Fundamental Transactions</w:t>
      </w:r>
    </w:p>
    <w:p>
      <w:pPr>
        <w:spacing w:after="0" w:line="112"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In the event of any fundamental transaction, as described in the Offering Warrants and generally including any merger or consolidation with or into another entity, sale of all or substantially all of our assets, tender offer or exchange offer, or reclassification of our Ordinary Shares, then upon any subsequent exercise of the Offering Warrants, the holder will have the right to receive as alternative consideration, for each Ordinary Share that would have been issuable upon such exercise immediately prior to the occurrence of such fundamental transaction, the number of Ordinary Shares of the successor or acquiring corporation or of our Company, if it is the surviving corporation, and any additional consideration receivable upon or as a result of such transaction by a holder of the number of Ordinary Shares for which the Offering Warrants are exercisable immediately prior to such event. Notwithstanding the foregoing, in the event of a fundamental transaction, the holders of the Offering Warrants have the right to require us or a successor entity to redeem the Offering Warrants for cash in the amount of the Black-Scholes Value (as defined in the Offering Warrants) of the remaining unexercised portion of the Offering Warrants on the date of the consummation of such fundamental transaction, concurrently with or within 30 days following the consummation of a fundamental transaction.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93" w:right="680" w:bottom="1440" w:gutter="0" w:footer="0" w:header="0"/>
        </w:sectPr>
      </w:pPr>
    </w:p>
    <w:bookmarkStart w:id="127" w:name="page128"/>
    <w:bookmarkEnd w:id="127"/>
    <w:p>
      <w:pPr>
        <w:ind w:right="100" w:firstLine="705"/>
        <w:spacing w:after="0" w:line="241" w:lineRule="auto"/>
        <w:rPr>
          <w:sz w:val="20"/>
          <w:szCs w:val="20"/>
          <w:color w:val="auto"/>
        </w:rPr>
      </w:pPr>
      <w:r>
        <w:rPr>
          <w:rFonts w:ascii="Times New Roman" w:cs="Times New Roman" w:eastAsia="Times New Roman" w:hAnsi="Times New Roman"/>
          <w:sz w:val="10"/>
          <w:szCs w:val="10"/>
          <w:color w:val="auto"/>
        </w:rPr>
        <w:t>However, in the event of a fundamental transaction which is not in our control, including a fundamental transaction not approved by our Board, the holders of the Offering Warrants will only be entitled to receive from us or our successor entity, as of the date of consummation of such fundamental transaction the same type or form of consideration (and in the same proportion), at the Black Scholes Value of the unexercised portion of the Offering Warrants that are being offered and paid to the holders of our Ordinary Shares in connection with the fundamental transaction, whether that consideration is in the form of cash, stock or any combination of cash and stock, or whether the holders of our Ordinary Shares are given the choice to receive alternative forms of consideration in connection with the fundamental transaction.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Transferability</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Subject to applicable laws, the Offering Warrants may be transferred at the option of the holder upon surrender of the Offering Warrants to us together with the appropriate instruments of transfer.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Fractional Shares</w:t>
      </w:r>
    </w:p>
    <w:p>
      <w:pPr>
        <w:spacing w:after="0" w:line="112" w:lineRule="exact"/>
        <w:rPr>
          <w:sz w:val="20"/>
          <w:szCs w:val="20"/>
          <w:color w:val="auto"/>
        </w:rPr>
      </w:pPr>
    </w:p>
    <w:p>
      <w:pPr>
        <w:ind w:right="40" w:firstLine="705"/>
        <w:spacing w:after="0" w:line="255" w:lineRule="auto"/>
        <w:rPr>
          <w:sz w:val="20"/>
          <w:szCs w:val="20"/>
          <w:color w:val="auto"/>
        </w:rPr>
      </w:pPr>
      <w:r>
        <w:rPr>
          <w:rFonts w:ascii="Times New Roman" w:cs="Times New Roman" w:eastAsia="Times New Roman" w:hAnsi="Times New Roman"/>
          <w:sz w:val="10"/>
          <w:szCs w:val="10"/>
          <w:color w:val="auto"/>
        </w:rPr>
        <w:t>No fractional Ordinary Shares will be issued upon the exercise of the Offering Warrants. Rather, the number of shares of Ordinary Shares to be issued will, at our election, either be rounded up to the nearest whole number or we will pay a cash adjustment in respect of such final fraction in an amount equal to such fraction multiplied by the exercise price.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Trading Market</w:t>
      </w:r>
    </w:p>
    <w:p>
      <w:pPr>
        <w:spacing w:after="0" w:line="112" w:lineRule="exact"/>
        <w:rPr>
          <w:sz w:val="20"/>
          <w:szCs w:val="20"/>
          <w:color w:val="auto"/>
        </w:rPr>
      </w:pPr>
    </w:p>
    <w:p>
      <w:pPr>
        <w:ind w:right="240" w:firstLine="705"/>
        <w:spacing w:after="0" w:line="255" w:lineRule="auto"/>
        <w:rPr>
          <w:sz w:val="20"/>
          <w:szCs w:val="20"/>
          <w:color w:val="auto"/>
        </w:rPr>
      </w:pPr>
      <w:r>
        <w:rPr>
          <w:rFonts w:ascii="Times New Roman" w:cs="Times New Roman" w:eastAsia="Times New Roman" w:hAnsi="Times New Roman"/>
          <w:sz w:val="10"/>
          <w:szCs w:val="10"/>
          <w:color w:val="auto"/>
        </w:rPr>
        <w:t>There is no established trading market for the Offering Warrants, and we do not expect an active trading market to develop. We do not intend to apply to list the Offering Warrants on any securities exchange or other trading market. Without a trading market, the liquidity of the Offering Warrants will be extremely limited. The Ordinary Shares issuable upon exercise of the Offering Warrants are currently traded on Nasdaq.</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Right as a Stockholder</w:t>
      </w:r>
    </w:p>
    <w:p>
      <w:pPr>
        <w:spacing w:after="0" w:line="112" w:lineRule="exact"/>
        <w:rPr>
          <w:sz w:val="20"/>
          <w:szCs w:val="20"/>
          <w:color w:val="auto"/>
        </w:rPr>
      </w:pPr>
    </w:p>
    <w:p>
      <w:pPr>
        <w:ind w:firstLine="705"/>
        <w:spacing w:after="0" w:line="255" w:lineRule="auto"/>
        <w:rPr>
          <w:sz w:val="20"/>
          <w:szCs w:val="20"/>
          <w:color w:val="auto"/>
        </w:rPr>
      </w:pPr>
      <w:r>
        <w:rPr>
          <w:rFonts w:ascii="Times New Roman" w:cs="Times New Roman" w:eastAsia="Times New Roman" w:hAnsi="Times New Roman"/>
          <w:sz w:val="10"/>
          <w:szCs w:val="10"/>
          <w:color w:val="auto"/>
        </w:rPr>
        <w:t>Except as otherwise provided in the Offering Warrants or by virtue of the holder’s ownership of Ordinary Shares, such holder of Offering Warrants does not have the rights or privileges of a holder of Ordinary Shares, including any voting rights, until such holder exercises such holder’s Offering Warrants. The Offering Warrants provide that holders have the right to participate in distributions or dividends paid on our Ordinary Shares.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Waivers and Amendments</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No term of the Offering Warrants may be amended or waived without the written consent of the holder.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Pre-Funded Warrants</w:t>
      </w:r>
    </w:p>
    <w:p>
      <w:pPr>
        <w:spacing w:after="0" w:line="112" w:lineRule="exact"/>
        <w:rPr>
          <w:sz w:val="20"/>
          <w:szCs w:val="20"/>
          <w:color w:val="auto"/>
        </w:rPr>
      </w:pPr>
    </w:p>
    <w:p>
      <w:pPr>
        <w:ind w:right="100" w:firstLine="705"/>
        <w:spacing w:after="0" w:line="310" w:lineRule="auto"/>
        <w:rPr>
          <w:sz w:val="20"/>
          <w:szCs w:val="20"/>
          <w:color w:val="auto"/>
        </w:rPr>
      </w:pPr>
      <w:r>
        <w:rPr>
          <w:rFonts w:ascii="Times New Roman" w:cs="Times New Roman" w:eastAsia="Times New Roman" w:hAnsi="Times New Roman"/>
          <w:sz w:val="9"/>
          <w:szCs w:val="9"/>
          <w:color w:val="auto"/>
        </w:rPr>
        <w:t>The following summary of certain terms and provisions of the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Duration and Exercise Price</w:t>
      </w:r>
    </w:p>
    <w:p>
      <w:pPr>
        <w:spacing w:after="0" w:line="112" w:lineRule="exact"/>
        <w:rPr>
          <w:sz w:val="20"/>
          <w:szCs w:val="20"/>
          <w:color w:val="auto"/>
        </w:rPr>
      </w:pPr>
    </w:p>
    <w:p>
      <w:pPr>
        <w:ind w:right="80" w:firstLine="705"/>
        <w:spacing w:after="0" w:line="255" w:lineRule="auto"/>
        <w:rPr>
          <w:sz w:val="20"/>
          <w:szCs w:val="20"/>
          <w:color w:val="auto"/>
        </w:rPr>
      </w:pPr>
      <w:r>
        <w:rPr>
          <w:rFonts w:ascii="Times New Roman" w:cs="Times New Roman" w:eastAsia="Times New Roman" w:hAnsi="Times New Roman"/>
          <w:sz w:val="10"/>
          <w:szCs w:val="10"/>
          <w:color w:val="auto"/>
        </w:rPr>
        <w:t>Each Pre-Funded Warrant offered hereby will have an initial exercise price per Ordinary Share equal to $0.001. The Pre-Funded Warrants will be immediately exercisable and will expire when exercised in full. The exercise price and number of Ordinary Shares issuable upon exercise is subject to appropriate adjustment in the event of share dividends, share splits, reorganizations or similar events affecting our Ordinary Shares.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Exercisability</w:t>
      </w:r>
    </w:p>
    <w:p>
      <w:pPr>
        <w:spacing w:after="0" w:line="112" w:lineRule="exact"/>
        <w:rPr>
          <w:sz w:val="20"/>
          <w:szCs w:val="20"/>
          <w:color w:val="auto"/>
        </w:rPr>
      </w:pPr>
    </w:p>
    <w:p>
      <w:pPr>
        <w:ind w:right="60" w:firstLine="705"/>
        <w:spacing w:after="0" w:line="285" w:lineRule="auto"/>
        <w:rPr>
          <w:sz w:val="20"/>
          <w:szCs w:val="20"/>
          <w:color w:val="auto"/>
        </w:rPr>
      </w:pPr>
      <w:r>
        <w:rPr>
          <w:rFonts w:ascii="Times New Roman" w:cs="Times New Roman" w:eastAsia="Times New Roman" w:hAnsi="Times New Roman"/>
          <w:sz w:val="9"/>
          <w:szCs w:val="9"/>
          <w:color w:val="auto"/>
        </w:rPr>
        <w:t>The Pre-Funded Warrants will be exercisable, at the option of each holder, in whole or in part, by delivering to us a duly executed exercise notice accompanied by payment in full for the number of Ordinary Shares purchased upon such exercise. A holder (together with its affiliates) may not exercise any portion of the pre-funded warrant to the extent that the holder would own more than 4.99% (or, at the election of the holder, 9.99%) of the outstanding Ordinary Shares immediately after exercise. However, upon notice from the holder to us, the holder may decrease or increase the holder’s beneficial ownership limitation, which may not exceed 9.99% of the number of outstanding Ordinary Shares immediately after giving effect to the exercise, as such percentage ownership is determined</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35" w:right="60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0"/>
          <w:szCs w:val="10"/>
          <w:color w:val="auto"/>
        </w:rPr>
        <w:t>in accordance with the terms of the Pre-Funded Warrants, provided that any increase in the beneficial ownership limitation will not take effect until 61 days following notice to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Fractional Shares</w:t>
      </w:r>
    </w:p>
    <w:p>
      <w:pPr>
        <w:spacing w:after="0" w:line="112" w:lineRule="exact"/>
        <w:rPr>
          <w:sz w:val="20"/>
          <w:szCs w:val="20"/>
          <w:color w:val="auto"/>
        </w:rPr>
      </w:pPr>
    </w:p>
    <w:p>
      <w:pPr>
        <w:ind w:firstLine="705"/>
        <w:spacing w:after="0" w:line="255" w:lineRule="auto"/>
        <w:rPr>
          <w:sz w:val="20"/>
          <w:szCs w:val="20"/>
          <w:color w:val="auto"/>
        </w:rPr>
      </w:pPr>
      <w:r>
        <w:rPr>
          <w:rFonts w:ascii="Times New Roman" w:cs="Times New Roman" w:eastAsia="Times New Roman" w:hAnsi="Times New Roman"/>
          <w:sz w:val="10"/>
          <w:szCs w:val="10"/>
          <w:color w:val="auto"/>
        </w:rPr>
        <w:t>No fractional Ordinary Shares will be issued upon the exercise of the Pre-Funded Warrants. Rather, at our election, the number of Ordinary Shares to be issued will be rounded up to the nearest whole number or we will pay a cash adjustment in an amount equal to such fraction multiplied by the exercise price.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Transferability</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0"/>
          <w:szCs w:val="10"/>
          <w:color w:val="auto"/>
        </w:rPr>
        <w:t>Subject to applicable laws, a Pre-Funded Warrant may be transferred at the option of the holder upon surrender of the Pre-Funded Warrants to us together with the appropriate instruments of transfer.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Trading Market</w:t>
      </w:r>
    </w:p>
    <w:p>
      <w:pPr>
        <w:spacing w:after="0" w:line="112" w:lineRule="exact"/>
        <w:rPr>
          <w:sz w:val="20"/>
          <w:szCs w:val="20"/>
          <w:color w:val="auto"/>
        </w:rPr>
      </w:pPr>
    </w:p>
    <w:p>
      <w:pPr>
        <w:ind w:right="20" w:firstLine="705"/>
        <w:spacing w:after="0" w:line="255" w:lineRule="auto"/>
        <w:rPr>
          <w:sz w:val="20"/>
          <w:szCs w:val="20"/>
          <w:color w:val="auto"/>
        </w:rPr>
      </w:pPr>
      <w:r>
        <w:rPr>
          <w:rFonts w:ascii="Times New Roman" w:cs="Times New Roman" w:eastAsia="Times New Roman" w:hAnsi="Times New Roman"/>
          <w:sz w:val="10"/>
          <w:szCs w:val="10"/>
          <w:color w:val="auto"/>
        </w:rPr>
        <w:t>There is no established trading market for the Pre -Funded Warrants, and we do not expect an active trading market to develop. We do not intend to list the Pre-funded Warrants on any securities exchange or other trading market. Without a trading market, the liquidity of the Pre-Funded Warrants will be extremely limited. The Ordinary Shares issuable upon exercise of the Pre-Funded Warrants are currently traded on Nasdaq.</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Right as a Stockholder</w:t>
      </w:r>
    </w:p>
    <w:p>
      <w:pPr>
        <w:spacing w:after="0" w:line="112" w:lineRule="exact"/>
        <w:rPr>
          <w:sz w:val="20"/>
          <w:szCs w:val="20"/>
          <w:color w:val="auto"/>
        </w:rPr>
      </w:pPr>
    </w:p>
    <w:p>
      <w:pPr>
        <w:ind w:right="180" w:firstLine="705"/>
        <w:spacing w:after="0" w:line="255" w:lineRule="auto"/>
        <w:rPr>
          <w:sz w:val="20"/>
          <w:szCs w:val="20"/>
          <w:color w:val="auto"/>
        </w:rPr>
      </w:pPr>
      <w:r>
        <w:rPr>
          <w:rFonts w:ascii="Times New Roman" w:cs="Times New Roman" w:eastAsia="Times New Roman" w:hAnsi="Times New Roman"/>
          <w:sz w:val="10"/>
          <w:szCs w:val="10"/>
          <w:color w:val="auto"/>
        </w:rPr>
        <w:t>Except as otherwise provided in the Pre-Funded Warrants or by virtue of such holder’s ownership of Ordinary Shares, the holders of the Pre-Funded Warrants do not have the rights or privileges of holders of our Ordinary Shares, including any voting rights, until such holder exercise their Pre-Funded Warrants. The Pre-Funded Warrants provide that holders have the right to participate in distributions or dividends paid on our Ordinary Shares.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5" w:right="640" w:bottom="1440" w:gutter="0" w:footer="0" w:header="0"/>
        </w:sectPr>
      </w:pPr>
    </w:p>
    <w:bookmarkStart w:id="129" w:name="page130"/>
    <w:bookmarkEnd w:id="129"/>
    <w:p>
      <w:pPr>
        <w:jc w:val="center"/>
        <w:ind w:right="-139"/>
        <w:spacing w:after="0"/>
        <w:rPr>
          <w:sz w:val="20"/>
          <w:szCs w:val="20"/>
          <w:color w:val="auto"/>
        </w:rPr>
      </w:pPr>
      <w:r>
        <w:rPr>
          <w:rFonts w:ascii="Times New Roman" w:cs="Times New Roman" w:eastAsia="Times New Roman" w:hAnsi="Times New Roman"/>
          <w:sz w:val="10"/>
          <w:szCs w:val="10"/>
          <w:b w:val="1"/>
          <w:bCs w:val="1"/>
          <w:color w:val="auto"/>
        </w:rPr>
        <w:t>MATERIAL TAX CONSIDERATIONS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United Kingdom Tax Considerations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29"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statements are not directed at and do not apply to persons who are resident, or in the case of individuals, domiciled for tax purposes in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YOU ARE IN ANY DOUBT AS TO YOUR TAX POSITION, YOU SHOULD CONSULT YOUR PROFESSIONAL TAX ADVISER.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Rezolve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subject to UK corporation tax on its taxable profits and gains, as it is tax resident in the UK. The Business Combination will not give rise to any taxable profits or gains for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Disposals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Taxation of Dividends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is not required to withhold UK tax when paying a dividend.</w:t>
      </w:r>
    </w:p>
    <w:p>
      <w:pPr>
        <w:spacing w:after="0" w:line="118"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0"/>
          <w:szCs w:val="1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80"/>
          </w:cols>
          <w:pgMar w:left="640" w:top="1033" w:right="78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0"/>
          <w:szCs w:val="10"/>
          <w:b w:val="1"/>
          <w:bCs w:val="1"/>
          <w:i w:val="1"/>
          <w:iCs w:val="1"/>
          <w:color w:val="auto"/>
        </w:rPr>
        <w:t>Stamp Duty and Stamp Duty Reserve Tax (“SDRT”)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UK stamp duty or UK SDRT should arise on the issue of Ordinary Shares.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An agreement to transfer Ordinary Shares or Warrants other than to a depository trust company (“</w:t>
      </w:r>
      <w:r>
        <w:rPr>
          <w:rFonts w:ascii="Times New Roman" w:cs="Times New Roman" w:eastAsia="Times New Roman" w:hAnsi="Times New Roman"/>
          <w:sz w:val="10"/>
          <w:szCs w:val="10"/>
          <w:b w:val="1"/>
          <w:bCs w:val="1"/>
          <w:i w:val="1"/>
          <w:iCs w:val="1"/>
          <w:color w:val="auto"/>
        </w:rPr>
        <w:t>DTC</w:t>
      </w:r>
      <w:r>
        <w:rPr>
          <w:rFonts w:ascii="Times New Roman" w:cs="Times New Roman" w:eastAsia="Times New Roman" w:hAnsi="Times New Roman"/>
          <w:sz w:val="10"/>
          <w:szCs w:val="10"/>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06"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Material U.S. Federal Tax Considerations</w:t>
      </w:r>
    </w:p>
    <w:p>
      <w:pPr>
        <w:spacing w:after="0" w:line="60" w:lineRule="exact"/>
        <w:rPr>
          <w:sz w:val="20"/>
          <w:szCs w:val="20"/>
          <w:color w:val="auto"/>
        </w:rPr>
      </w:pPr>
    </w:p>
    <w:p>
      <w:pPr>
        <w:ind w:right="300" w:firstLine="480"/>
        <w:spacing w:after="0" w:line="245" w:lineRule="auto"/>
        <w:rPr>
          <w:sz w:val="20"/>
          <w:szCs w:val="20"/>
          <w:color w:val="auto"/>
        </w:rPr>
      </w:pPr>
      <w:r>
        <w:rPr>
          <w:rFonts w:ascii="Times New Roman" w:cs="Times New Roman" w:eastAsia="Times New Roman" w:hAnsi="Times New Roman"/>
          <w:sz w:val="10"/>
          <w:szCs w:val="10"/>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•brokers, dealers and other investors that do not own their Ordinary Shares or Warrants as capital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•traders in securities that elect to use a mark-to-market method of accounting for their securities holdings;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•tax-exempt organizations, qualified retirement plans, individual retirement accounts or other tax deferred accounts;</w:t>
      </w:r>
    </w:p>
    <w:p>
      <w:pPr>
        <w:spacing w:after="0" w:line="58" w:lineRule="exact"/>
        <w:rPr>
          <w:sz w:val="20"/>
          <w:szCs w:val="20"/>
          <w:color w:val="auto"/>
        </w:rPr>
      </w:pPr>
    </w:p>
    <w:p>
      <w:pPr>
        <w:ind w:left="480" w:right="4800"/>
        <w:spacing w:after="0" w:line="360" w:lineRule="auto"/>
        <w:rPr>
          <w:sz w:val="20"/>
          <w:szCs w:val="20"/>
          <w:color w:val="auto"/>
        </w:rPr>
      </w:pPr>
      <w:r>
        <w:rPr>
          <w:rFonts w:ascii="Times New Roman" w:cs="Times New Roman" w:eastAsia="Times New Roman" w:hAnsi="Times New Roman"/>
          <w:sz w:val="10"/>
          <w:szCs w:val="10"/>
          <w:color w:val="auto"/>
        </w:rPr>
        <w:t>•banks or other financial institutions, underwriters, insurance companies, real estate investment trusts or regulated investment companies; •U.S. expatriates or former long-term residents of the United States;</w:t>
      </w:r>
    </w:p>
    <w:p>
      <w:pPr>
        <w:ind w:left="480" w:right="4400"/>
        <w:spacing w:after="0" w:line="400" w:lineRule="auto"/>
        <w:rPr>
          <w:sz w:val="20"/>
          <w:szCs w:val="20"/>
          <w:color w:val="auto"/>
        </w:rPr>
      </w:pPr>
      <w:r>
        <w:rPr>
          <w:rFonts w:ascii="Times New Roman" w:cs="Times New Roman" w:eastAsia="Times New Roman" w:hAnsi="Times New Roman"/>
          <w:sz w:val="9"/>
          <w:szCs w:val="9"/>
          <w:color w:val="auto"/>
        </w:rPr>
        <w:t>•persons that own (directly, indirectly, or by attribution) 5% or more (by vote or value) of the Armada Common Stock or Ordinary Shares; •partnerships or other pass-through entities for U.S. federal income tax purposes, or beneficial owners of partnerships or other pass-through entities;</w:t>
      </w:r>
    </w:p>
    <w:p>
      <w:pPr>
        <w:ind w:left="480"/>
        <w:spacing w:after="0"/>
        <w:rPr>
          <w:sz w:val="20"/>
          <w:szCs w:val="20"/>
          <w:color w:val="auto"/>
        </w:rPr>
      </w:pPr>
      <w:r>
        <w:rPr>
          <w:rFonts w:ascii="Times New Roman" w:cs="Times New Roman" w:eastAsia="Times New Roman" w:hAnsi="Times New Roman"/>
          <w:sz w:val="10"/>
          <w:szCs w:val="10"/>
          <w:color w:val="auto"/>
        </w:rPr>
        <w:t>•persons holding Ordinary Shares or Warrants as part of a straddle, hedging or conversion transaction, constructive sale, or other arrangement involving more than one position;</w:t>
      </w:r>
    </w:p>
    <w:p>
      <w:pPr>
        <w:spacing w:after="0" w:line="58" w:lineRule="exact"/>
        <w:rPr>
          <w:sz w:val="20"/>
          <w:szCs w:val="20"/>
          <w:color w:val="auto"/>
        </w:rPr>
      </w:pPr>
    </w:p>
    <w:p>
      <w:pPr>
        <w:ind w:left="480" w:right="2320"/>
        <w:spacing w:after="0" w:line="360" w:lineRule="auto"/>
        <w:rPr>
          <w:sz w:val="20"/>
          <w:szCs w:val="20"/>
          <w:color w:val="auto"/>
        </w:rPr>
      </w:pPr>
      <w:r>
        <w:rPr>
          <w:rFonts w:ascii="Times New Roman" w:cs="Times New Roman" w:eastAsia="Times New Roman" w:hAnsi="Times New Roman"/>
          <w:sz w:val="10"/>
          <w:szCs w:val="10"/>
          <w:color w:val="auto"/>
        </w:rPr>
        <w:t>•persons required to accelerate the recognition of any item of gross income with respect to Ordinary Shares or Warrants as a result of such income being recognized on an applicable financial statement; •persons whose functional currency is not the U.S. dollar;</w:t>
      </w:r>
    </w:p>
    <w:p>
      <w:pPr>
        <w:ind w:left="480"/>
        <w:spacing w:after="0"/>
        <w:rPr>
          <w:sz w:val="20"/>
          <w:szCs w:val="20"/>
          <w:color w:val="auto"/>
        </w:rPr>
      </w:pPr>
      <w:r>
        <w:rPr>
          <w:rFonts w:ascii="Times New Roman" w:cs="Times New Roman" w:eastAsia="Times New Roman" w:hAnsi="Times New Roman"/>
          <w:sz w:val="10"/>
          <w:szCs w:val="10"/>
          <w:color w:val="auto"/>
        </w:rPr>
        <w:t>•persons that received Ordinary Shares or Warrants as compensation for services; or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•controlled foreign corporations or passive foreign investment companies.</w:t>
      </w:r>
    </w:p>
    <w:p>
      <w:pPr>
        <w:spacing w:after="0" w:line="116"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10"/>
          <w:szCs w:val="10"/>
          <w:color w:val="auto"/>
        </w:rPr>
        <w:t>This discussion is based on the Code, its legislative history, existing and proposed Treasury regulations promulgated under the Code (the “</w:t>
      </w:r>
      <w:r>
        <w:rPr>
          <w:rFonts w:ascii="Times New Roman" w:cs="Times New Roman" w:eastAsia="Times New Roman" w:hAnsi="Times New Roman"/>
          <w:sz w:val="10"/>
          <w:szCs w:val="10"/>
          <w:b w:val="1"/>
          <w:bCs w:val="1"/>
          <w:i w:val="1"/>
          <w:iCs w:val="1"/>
          <w:color w:val="auto"/>
        </w:rPr>
        <w:t>Treasury Regulations</w:t>
      </w:r>
      <w:r>
        <w:rPr>
          <w:rFonts w:ascii="Times New Roman" w:cs="Times New Roman" w:eastAsia="Times New Roman" w:hAnsi="Times New Roman"/>
          <w:sz w:val="10"/>
          <w:szCs w:val="10"/>
          <w:color w:val="auto"/>
        </w:rPr>
        <w:t>”), published rulings by the IRS and court decisions, all as of the date hereof. These laws are subject to change, possibly on a retroactive basis. 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0"/>
          <w:szCs w:val="10"/>
          <w:color w:val="auto"/>
        </w:rPr>
        <w:t>IRS will not take positions concerning the tax consequences of the Business Combination that are different from those discussed below, or that any such different positions would not be sustained by a court.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Except as specifically provided, the discussion below applies only to U.S. holders. For purposes of this discussion, a U.S. holder means a beneficial owner of Ordinary Shares or Warrants that is, for U.S. federal income tax purposes: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individual who is a citizen or resident of the United States;</w:t>
      </w:r>
    </w:p>
    <w:p>
      <w:pPr>
        <w:spacing w:after="0" w:line="58" w:lineRule="exact"/>
        <w:rPr>
          <w:sz w:val="20"/>
          <w:szCs w:val="20"/>
          <w:color w:val="auto"/>
        </w:rPr>
      </w:pPr>
    </w:p>
    <w:p>
      <w:pPr>
        <w:ind w:left="480" w:right="2360"/>
        <w:spacing w:after="0" w:line="360" w:lineRule="auto"/>
        <w:rPr>
          <w:sz w:val="20"/>
          <w:szCs w:val="20"/>
          <w:color w:val="auto"/>
        </w:rPr>
      </w:pPr>
      <w:r>
        <w:rPr>
          <w:rFonts w:ascii="Times New Roman" w:cs="Times New Roman" w:eastAsia="Times New Roman" w:hAnsi="Times New Roman"/>
          <w:sz w:val="10"/>
          <w:szCs w:val="10"/>
          <w:color w:val="auto"/>
        </w:rPr>
        <w:t>•a corporation (or other entity taxable as a corporation for U.S. federal income tax purposes) created or organized in or under the laws of the United States, any state thereof or the District of Columbia; •an estate whose income is subject to U.S. federal income tax regardless of its source; or</w:t>
      </w:r>
    </w:p>
    <w:p>
      <w:pPr>
        <w:ind w:left="480" w:right="340"/>
        <w:spacing w:after="0" w:line="255" w:lineRule="auto"/>
        <w:rPr>
          <w:sz w:val="20"/>
          <w:szCs w:val="20"/>
          <w:color w:val="auto"/>
        </w:rPr>
      </w:pPr>
      <w:r>
        <w:rPr>
          <w:rFonts w:ascii="Times New Roman" w:cs="Times New Roman" w:eastAsia="Times New Roman" w:hAnsi="Times New Roman"/>
          <w:sz w:val="10"/>
          <w:szCs w:val="10"/>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Holders who are not U.S. holders should consult with their own tax advisors regarding the U.S. federal income tax consequences of holding Rezolve Securities.</w:t>
      </w:r>
    </w:p>
    <w:p>
      <w:pPr>
        <w:spacing w:after="0" w:line="11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Distributions on Ordinary Shares</w:t>
      </w:r>
    </w:p>
    <w:p>
      <w:pPr>
        <w:spacing w:after="0" w:line="58" w:lineRule="exact"/>
        <w:rPr>
          <w:sz w:val="20"/>
          <w:szCs w:val="20"/>
          <w:color w:val="auto"/>
        </w:rPr>
      </w:pPr>
    </w:p>
    <w:p>
      <w:pPr>
        <w:ind w:right="120" w:firstLine="480"/>
        <w:spacing w:after="0" w:line="278" w:lineRule="auto"/>
        <w:rPr>
          <w:sz w:val="20"/>
          <w:szCs w:val="20"/>
          <w:color w:val="auto"/>
        </w:rPr>
      </w:pPr>
      <w:r>
        <w:rPr>
          <w:rFonts w:ascii="Times New Roman" w:cs="Times New Roman" w:eastAsia="Times New Roman" w:hAnsi="Times New Roman"/>
          <w:sz w:val="9"/>
          <w:szCs w:val="9"/>
          <w:color w:val="auto"/>
        </w:rPr>
        <w:t>Subject to the discussion under the section entitled “</w:t>
      </w:r>
      <w:r>
        <w:rPr>
          <w:rFonts w:ascii="Times New Roman" w:cs="Times New Roman" w:eastAsia="Times New Roman" w:hAnsi="Times New Roman"/>
          <w:sz w:val="9"/>
          <w:szCs w:val="9"/>
          <w:i w:val="1"/>
          <w:iCs w:val="1"/>
          <w:color w:val="auto"/>
        </w:rPr>
        <w:t>Material Tax Considerations — Material U.S. Federal Income Tax Considerations — Passive Foreign Investment Company Rules</w:t>
      </w:r>
      <w:r>
        <w:rPr>
          <w:rFonts w:ascii="Times New Roman" w:cs="Times New Roman" w:eastAsia="Times New Roman" w:hAnsi="Times New Roman"/>
          <w:sz w:val="9"/>
          <w:szCs w:val="9"/>
          <w:color w:val="auto"/>
        </w:rPr>
        <w:t>,” the gross amount of any distribution on Ordinary Shares that is made out of Rezolve’s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91"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dividends received by non-corporate U.S. holders (including individuals) from a “qualified foreign corporation” may 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0"/>
          <w:szCs w:val="10"/>
          <w:i w:val="1"/>
          <w:iCs w:val="1"/>
          <w:color w:val="auto"/>
        </w:rPr>
        <w:t>Material Tax Considerations — Material U.S. Federal Income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i w:val="1"/>
          <w:iCs w:val="1"/>
          <w:color w:val="auto"/>
        </w:rPr>
        <w:t>Tax Considerations — Passive Foreign Investment Company Rules.</w:t>
      </w:r>
      <w:r>
        <w:rPr>
          <w:rFonts w:ascii="Times New Roman" w:cs="Times New Roman" w:eastAsia="Times New Roman" w:hAnsi="Times New Roman"/>
          <w:sz w:val="10"/>
          <w:szCs w:val="10"/>
          <w:color w:val="auto"/>
        </w:rPr>
        <w:t>”</w:t>
      </w:r>
    </w:p>
    <w:p>
      <w:pPr>
        <w:spacing w:after="0" w:line="11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9"/>
          <w:szCs w:val="9"/>
          <w:color w:val="auto"/>
        </w:rPr>
        <w:t>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Sale, Exchange, Redemption or Other Taxable Disposition of Ordinary Shares and Warrants</w:t>
      </w:r>
    </w:p>
    <w:p>
      <w:pPr>
        <w:spacing w:after="0" w:line="5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Subject to the discussion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Passive Foreign Investment Company Rules</w:t>
      </w:r>
      <w:r>
        <w:rPr>
          <w:rFonts w:ascii="Times New Roman" w:cs="Times New Roman" w:eastAsia="Times New Roman" w:hAnsi="Times New Roman"/>
          <w:sz w:val="10"/>
          <w:szCs w:val="10"/>
          <w:color w:val="auto"/>
        </w:rPr>
        <w:t xml:space="preserve"> ,” a U.S. holder generally will recognize gain or loss on any sale, exchange, redemption or other taxable disposition of 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Exercise or Lapse of a Warrant</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Possible Constructive Distributions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0"/>
          <w:szCs w:val="10"/>
          <w:i w:val="1"/>
          <w:iCs w:val="1"/>
          <w:color w:val="auto"/>
        </w:rPr>
        <w:t>Description of Rezolve Securities</w:t>
      </w:r>
      <w:r>
        <w:rPr>
          <w:rFonts w:ascii="Times New Roman" w:cs="Times New Roman" w:eastAsia="Times New Roman" w:hAnsi="Times New Roman"/>
          <w:sz w:val="10"/>
          <w:szCs w:val="10"/>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0"/>
          <w:szCs w:val="10"/>
          <w:i w:val="1"/>
          <w:iCs w:val="1"/>
          <w:color w:val="auto"/>
        </w:rPr>
        <w:t>Material Tax Considerations — Material U.S. Federal Income Tax Considerations — Distributions on Ordinary Shares.</w:t>
      </w:r>
      <w:r>
        <w:rPr>
          <w:rFonts w:ascii="Times New Roman" w:cs="Times New Roman" w:eastAsia="Times New Roman" w:hAnsi="Times New Roman"/>
          <w:sz w:val="10"/>
          <w:szCs w:val="10"/>
          <w:color w:val="auto"/>
        </w:rPr>
        <w:t>” Such constructive distribution would be subject to tax as described under that section in the same 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Passive Foreign Investment Company Rules</w:t>
      </w:r>
    </w:p>
    <w:p>
      <w:pPr>
        <w:spacing w:after="0" w:line="5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i w:val="1"/>
          <w:iCs w:val="1"/>
          <w:color w:val="auto"/>
        </w:rPr>
        <w:t xml:space="preserve">Generally. </w:t>
      </w:r>
      <w:r>
        <w:rPr>
          <w:rFonts w:ascii="Times New Roman" w:cs="Times New Roman" w:eastAsia="Times New Roman" w:hAnsi="Times New Roman"/>
          <w:sz w:val="10"/>
          <w:szCs w:val="10"/>
          <w:color w:val="auto"/>
        </w:rPr>
        <w:t>The treatment of U.S. holders of the Ordinary Shares could be materially different from that described above if Rezolve is treated as a passive foreign investment company, or PFIC, for U.S. federal income tax purposes. A PFIC is any foreign</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0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133" w:name="page134"/>
    <w:bookmarkEnd w:id="133"/>
    <w:p>
      <w:pPr>
        <w:ind w:right="140"/>
        <w:spacing w:after="0" w:line="245" w:lineRule="auto"/>
        <w:rPr>
          <w:sz w:val="20"/>
          <w:szCs w:val="20"/>
          <w:color w:val="auto"/>
        </w:rPr>
      </w:pPr>
      <w:r>
        <w:rPr>
          <w:rFonts w:ascii="Times New Roman" w:cs="Times New Roman" w:eastAsia="Times New Roman" w:hAnsi="Times New Roman"/>
          <w:sz w:val="10"/>
          <w:szCs w:val="10"/>
          <w:color w:val="auto"/>
        </w:rPr>
        <w:t>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 (iii) 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06" w:lineRule="exact"/>
        <w:rPr>
          <w:sz w:val="20"/>
          <w:szCs w:val="20"/>
          <w:color w:val="auto"/>
        </w:rPr>
      </w:pPr>
    </w:p>
    <w:p>
      <w:pPr>
        <w:jc w:val="both"/>
        <w:ind w:right="180" w:firstLine="480"/>
        <w:spacing w:after="0" w:line="247" w:lineRule="auto"/>
        <w:rPr>
          <w:sz w:val="20"/>
          <w:szCs w:val="20"/>
          <w:color w:val="auto"/>
        </w:rPr>
      </w:pPr>
      <w:r>
        <w:rPr>
          <w:rFonts w:ascii="Times New Roman" w:cs="Times New Roman" w:eastAsia="Times New Roman" w:hAnsi="Times New Roman"/>
          <w:sz w:val="10"/>
          <w:szCs w:val="10"/>
          <w:i w:val="1"/>
          <w:iCs w:val="1"/>
          <w:color w:val="auto"/>
        </w:rPr>
        <w:t xml:space="preserve">Excess Distribution Regime. </w:t>
      </w:r>
      <w:r>
        <w:rPr>
          <w:rFonts w:ascii="Times New Roman" w:cs="Times New Roman" w:eastAsia="Times New Roman" w:hAnsi="Times New Roman"/>
          <w:sz w:val="10"/>
          <w:szCs w:val="10"/>
          <w:color w:val="auto"/>
        </w:rPr>
        <w:t>If a U.S. holder does not make a mark-to-market election, as described below, the U.S. holder will be subject to the default “excess distribution regime” under the PFIC rules with respect to (i) any gain realized on a sale or other</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gain or excess distribution will be allocated ratably over the period during which the U.S. holder held Ordinary Shares;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the current taxable year, will be treated as ordinary income;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99" w:lineRule="exact"/>
        <w:rPr>
          <w:sz w:val="20"/>
          <w:szCs w:val="20"/>
          <w:color w:val="auto"/>
        </w:rPr>
      </w:pPr>
    </w:p>
    <w:p>
      <w:pPr>
        <w:ind w:firstLine="480"/>
        <w:spacing w:after="0" w:line="237" w:lineRule="auto"/>
        <w:rPr>
          <w:sz w:val="20"/>
          <w:szCs w:val="20"/>
          <w:color w:val="auto"/>
        </w:rPr>
      </w:pPr>
      <w:r>
        <w:rPr>
          <w:rFonts w:ascii="Times New Roman" w:cs="Times New Roman" w:eastAsia="Times New Roman" w:hAnsi="Times New Roman"/>
          <w:sz w:val="10"/>
          <w:szCs w:val="10"/>
          <w:i w:val="1"/>
          <w:iCs w:val="1"/>
          <w:color w:val="auto"/>
        </w:rPr>
        <w:t xml:space="preserve">Mark-to-Market Regime. </w:t>
      </w:r>
      <w:r>
        <w:rPr>
          <w:rFonts w:ascii="Times New Roman" w:cs="Times New Roman" w:eastAsia="Times New Roman" w:hAnsi="Times New Roman"/>
          <w:sz w:val="10"/>
          <w:szCs w:val="10"/>
          <w:color w:val="auto"/>
        </w:rPr>
        <w:t>Alternatively, a U.S. holder may make an election to mark marketable shares in a PFIC to market on an annual basis. PFIC shares generally are marketable if: (i) they are “regularly traded” on a national securities exchange that is</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 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08" w:lineRule="exact"/>
        <w:rPr>
          <w:sz w:val="20"/>
          <w:szCs w:val="20"/>
          <w:color w:val="auto"/>
        </w:rPr>
      </w:pPr>
    </w:p>
    <w:p>
      <w:pPr>
        <w:ind w:right="18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QEF Regime. </w:t>
      </w:r>
      <w:r>
        <w:rPr>
          <w:rFonts w:ascii="Times New Roman" w:cs="Times New Roman" w:eastAsia="Times New Roman" w:hAnsi="Times New Roman"/>
          <w:sz w:val="10"/>
          <w:szCs w:val="10"/>
          <w:color w:val="auto"/>
        </w:rPr>
        <w:t>Alternatively, a U.S. holder of a PFIC may avoid the adverse PFIC tax consequences described above in respect of stock of the PFIC (but not warrants) by making and maintaining a timely and valid qualified electing fund (“QEF”) election (if</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eligible to do so) to include in income its pro rata share of the PFIC’s net capital gains (as long-term capital gain) and other earnings</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4" w:name="page135"/>
    <w:bookmarkEnd w:id="134"/>
    <w:p>
      <w:pPr>
        <w:spacing w:after="0" w:line="245" w:lineRule="auto"/>
        <w:rPr>
          <w:sz w:val="20"/>
          <w:szCs w:val="20"/>
          <w:color w:val="auto"/>
        </w:rPr>
      </w:pPr>
      <w:r>
        <w:rPr>
          <w:rFonts w:ascii="Times New Roman" w:cs="Times New Roman" w:eastAsia="Times New Roman" w:hAnsi="Times New Roman"/>
          <w:sz w:val="10"/>
          <w:szCs w:val="10"/>
          <w:color w:val="auto"/>
        </w:rPr>
        <w:t>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03" w:lineRule="exact"/>
        <w:rPr>
          <w:sz w:val="20"/>
          <w:szCs w:val="20"/>
          <w:color w:val="auto"/>
        </w:rPr>
      </w:pPr>
    </w:p>
    <w:p>
      <w:pPr>
        <w:ind w:right="300" w:firstLine="480"/>
        <w:spacing w:after="0" w:line="259" w:lineRule="auto"/>
        <w:rPr>
          <w:sz w:val="20"/>
          <w:szCs w:val="20"/>
          <w:color w:val="auto"/>
        </w:rPr>
      </w:pPr>
      <w:r>
        <w:rPr>
          <w:rFonts w:ascii="Times New Roman" w:cs="Times New Roman" w:eastAsia="Times New Roman" w:hAnsi="Times New Roman"/>
          <w:sz w:val="10"/>
          <w:szCs w:val="10"/>
          <w:i w:val="1"/>
          <w:iCs w:val="1"/>
          <w:color w:val="auto"/>
        </w:rPr>
        <w:t xml:space="preserve">PFIC Reporting Requirements. </w:t>
      </w:r>
      <w:r>
        <w:rPr>
          <w:rFonts w:ascii="Times New Roman" w:cs="Times New Roman" w:eastAsia="Times New Roman" w:hAnsi="Times New Roman"/>
          <w:sz w:val="10"/>
          <w:szCs w:val="10"/>
          <w:color w:val="auto"/>
        </w:rPr>
        <w:t>A U.S. holder of Ordinary Shares will be required to file an annual report on IRS Form 8621 containing such information with respect to its interest in a PFIC as the IRS may require. Failure to file IRS Form 8621 for each</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applicable taxable year may result in substantial penalties and result in the U.S. holder’s taxable years being open to audit by the IRS until such Forms are properly filed.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Additional Reporting Requirements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Information Reporting and Backup Withholding</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08"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0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PLAN OF DISTRIBUTION</w:t>
      </w:r>
    </w:p>
    <w:p>
      <w:pPr>
        <w:spacing w:after="0" w:line="112" w:lineRule="exact"/>
        <w:rPr>
          <w:sz w:val="20"/>
          <w:szCs w:val="20"/>
          <w:color w:val="auto"/>
        </w:rPr>
      </w:pPr>
    </w:p>
    <w:p>
      <w:pPr>
        <w:ind w:right="20" w:firstLine="705"/>
        <w:spacing w:after="0" w:line="245" w:lineRule="auto"/>
        <w:rPr>
          <w:sz w:val="20"/>
          <w:szCs w:val="20"/>
          <w:color w:val="auto"/>
        </w:rPr>
      </w:pPr>
      <w:r>
        <w:rPr>
          <w:rFonts w:ascii="Times New Roman" w:cs="Times New Roman" w:eastAsia="Times New Roman" w:hAnsi="Times New Roman"/>
          <w:sz w:val="10"/>
          <w:szCs w:val="10"/>
          <w:color w:val="auto"/>
        </w:rPr>
        <w:t>We have engaged H.C. Wainwright &amp; Co., LLC to act as our exclusive placement agent to solicit offers to purchase the securities offered by this prospectus on a reasonable best-efforts basis. The placement agent is not purchasing or selling any securities, nor are they required to arrange for the purchase and sale of any specific number or dollar amount of securities, other than to use their “reasonable best efforts” to arrange for the sale of the securities by us. Therefore, we may not sell the entire amount of securities being offered pursuant to this prospectus.</w:t>
      </w:r>
    </w:p>
    <w:p>
      <w:pPr>
        <w:spacing w:after="0" w:line="98" w:lineRule="exact"/>
        <w:rPr>
          <w:sz w:val="20"/>
          <w:szCs w:val="20"/>
          <w:color w:val="auto"/>
        </w:rPr>
      </w:pPr>
    </w:p>
    <w:p>
      <w:pPr>
        <w:ind w:firstLine="705"/>
        <w:spacing w:after="0" w:line="239" w:lineRule="auto"/>
        <w:rPr>
          <w:sz w:val="20"/>
          <w:szCs w:val="20"/>
          <w:color w:val="auto"/>
        </w:rPr>
      </w:pPr>
      <w:r>
        <w:rPr>
          <w:rFonts w:ascii="Times New Roman" w:cs="Times New Roman" w:eastAsia="Times New Roman" w:hAnsi="Times New Roman"/>
          <w:sz w:val="10"/>
          <w:szCs w:val="10"/>
          <w:color w:val="auto"/>
        </w:rPr>
        <w:t>The terms of this offering are subject to market conditions and negotiations between us, the placement agent and prospective investors. The placement agent will have no authority to bind us by virtue of the engagement letter. This is a best-efforts offering and there is no minimum amount of proceeds that is a condition to closing of this offering. Investors purchasing securities offered hereby will be required to execute a securities purchase agreement with us. In addition to rights and remedies available to all purchasers in this offering under federal securities and state law, the purchasers who enter into a securities purchase agreement will also be able to bring claims of breach of contract against us. The ability to pursue a claim for breach of contract is material to larger purchasers in this offering as a means to enforce the following covenants uniquely available to them under the securities purchase agreement: (i) a covenant to not enter into any equity financings for 45 days from closing of the offering, subject to certain exceptions and (ii) a covenant not to effect variable rate financings for a period of six months following the closing of the offering, subject to certain exceptions.</w:t>
      </w:r>
      <w:r>
        <w:rPr>
          <w:rFonts w:ascii="Arial" w:cs="Arial" w:eastAsia="Arial" w:hAnsi="Arial"/>
          <w:sz w:val="10"/>
          <w:szCs w:val="10"/>
          <w:color w:val="auto"/>
        </w:rPr>
        <w:t> </w:t>
      </w:r>
      <w:r>
        <w:rPr>
          <w:rFonts w:ascii="Times New Roman" w:cs="Times New Roman" w:eastAsia="Times New Roman" w:hAnsi="Times New Roman"/>
          <w:sz w:val="10"/>
          <w:szCs w:val="10"/>
          <w:color w:val="auto"/>
        </w:rPr>
        <w:t xml:space="preserve"> The placement agent may engage one or more sub-agents or selected dealers in connection with the offering.</w:t>
      </w:r>
    </w:p>
    <w:p>
      <w:pPr>
        <w:spacing w:after="0" w:line="1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The nature of the representations, warranties and covenants in the securities purchase agreements shall include:</w:t>
      </w:r>
    </w:p>
    <w:p>
      <w:pPr>
        <w:spacing w:after="0" w:line="170"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•standard issuer representations and warranties on matters such as organization, qualification, authorization, no conflict, no governmental filings required, current in SEC filings, no litigation, labor or other compliance issues, environmental, intellectual property and title matters and compliance with various laws such as the Foreign Corrupt Practices Act; and</w:t>
      </w:r>
    </w:p>
    <w:p>
      <w:pPr>
        <w:spacing w:after="0" w:line="183" w:lineRule="exact"/>
        <w:rPr>
          <w:sz w:val="20"/>
          <w:szCs w:val="20"/>
          <w:color w:val="auto"/>
        </w:rPr>
      </w:pPr>
    </w:p>
    <w:p>
      <w:pPr>
        <w:ind w:left="480" w:right="320"/>
        <w:spacing w:after="0" w:line="255" w:lineRule="auto"/>
        <w:rPr>
          <w:sz w:val="20"/>
          <w:szCs w:val="20"/>
          <w:color w:val="auto"/>
        </w:rPr>
      </w:pPr>
      <w:r>
        <w:rPr>
          <w:rFonts w:ascii="Times New Roman" w:cs="Times New Roman" w:eastAsia="Times New Roman" w:hAnsi="Times New Roman"/>
          <w:sz w:val="10"/>
          <w:szCs w:val="10"/>
          <w:color w:val="auto"/>
        </w:rPr>
        <w:t>•covenants regarding matters such as registration of warrant shares, no integration with other offerings, filing of an 6- K to disclose entering into these securities purchase agreements, no stockholder rights plans, no material nonpublic information, use of proceeds, indemnification of purchasers, reservation and listing of common stock, and no subsequent equity sales for 45 days, subject to certain exceptions.</w:t>
      </w:r>
    </w:p>
    <w:p>
      <w:pPr>
        <w:spacing w:after="0" w:line="93" w:lineRule="exact"/>
        <w:rPr>
          <w:sz w:val="20"/>
          <w:szCs w:val="20"/>
          <w:color w:val="auto"/>
        </w:rPr>
      </w:pPr>
    </w:p>
    <w:p>
      <w:pPr>
        <w:ind w:left="700"/>
        <w:spacing w:after="0"/>
        <w:tabs>
          <w:tab w:leader="none" w:pos="3980" w:val="left"/>
        </w:tabs>
        <w:rPr>
          <w:sz w:val="20"/>
          <w:szCs w:val="20"/>
          <w:color w:val="auto"/>
        </w:rPr>
      </w:pPr>
      <w:r>
        <w:rPr>
          <w:rFonts w:ascii="Times New Roman" w:cs="Times New Roman" w:eastAsia="Times New Roman" w:hAnsi="Times New Roman"/>
          <w:sz w:val="10"/>
          <w:szCs w:val="10"/>
          <w:color w:val="auto"/>
        </w:rPr>
        <w:t>Delivery of the securities offered hereby is expected to occur on or about</w:t>
      </w:r>
      <w:r>
        <w:rPr>
          <w:sz w:val="20"/>
          <w:szCs w:val="20"/>
          <w:color w:val="auto"/>
        </w:rPr>
        <w:tab/>
      </w:r>
      <w:r>
        <w:rPr>
          <w:rFonts w:ascii="Times New Roman" w:cs="Times New Roman" w:eastAsia="Times New Roman" w:hAnsi="Times New Roman"/>
          <w:sz w:val="9"/>
          <w:szCs w:val="9"/>
          <w:color w:val="auto"/>
        </w:rPr>
        <w:t>, 2024, subject to satisfaction of certain customary closing conditions.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Fees and Expenses</w:t>
      </w:r>
    </w:p>
    <w:p>
      <w:pPr>
        <w:spacing w:after="0" w:line="112" w:lineRule="exact"/>
        <w:rPr>
          <w:sz w:val="20"/>
          <w:szCs w:val="20"/>
          <w:color w:val="auto"/>
        </w:rPr>
      </w:pPr>
    </w:p>
    <w:p>
      <w:pPr>
        <w:ind w:right="40" w:firstLine="705"/>
        <w:spacing w:after="0" w:line="255" w:lineRule="auto"/>
        <w:rPr>
          <w:sz w:val="20"/>
          <w:szCs w:val="20"/>
          <w:color w:val="auto"/>
        </w:rPr>
      </w:pPr>
      <w:r>
        <w:rPr>
          <w:rFonts w:ascii="Times New Roman" w:cs="Times New Roman" w:eastAsia="Times New Roman" w:hAnsi="Times New Roman"/>
          <w:sz w:val="10"/>
          <w:szCs w:val="10"/>
          <w:color w:val="auto"/>
        </w:rPr>
        <w:t>The following table shows the per share and accompanying Offering Warrant, and per Pre-Funded Warrant and accompanying Offering Warrant, and total placement agent fees we will pay in connection with the sale of the securities in this offering based on the offering price of $ per share and accompanying Offering Warrant.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gridSpan w:val="4"/>
          </w:tcPr>
          <w:p>
            <w:pPr>
              <w:jc w:val="center"/>
              <w:ind w:right="716"/>
              <w:spacing w:after="0"/>
              <w:rPr>
                <w:sz w:val="20"/>
                <w:szCs w:val="20"/>
                <w:color w:val="auto"/>
              </w:rPr>
            </w:pPr>
            <w:r>
              <w:rPr>
                <w:rFonts w:ascii="Times New Roman" w:cs="Times New Roman" w:eastAsia="Times New Roman" w:hAnsi="Times New Roman"/>
                <w:sz w:val="10"/>
                <w:szCs w:val="10"/>
                <w:b w:val="1"/>
                <w:bCs w:val="1"/>
                <w:color w:val="auto"/>
                <w:w w:val="93"/>
              </w:rPr>
              <w:t>Per</w:t>
            </w:r>
          </w:p>
        </w:tc>
        <w:tc>
          <w:tcPr>
            <w:tcW w:w="2700" w:type="dxa"/>
            <w:vAlign w:val="bottom"/>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3"/>
              </w:rPr>
              <w:t>Per</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1"/>
        </w:trPr>
        <w:tc>
          <w:tcPr>
            <w:tcW w:w="4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0"/>
                <w:szCs w:val="10"/>
                <w:b w:val="1"/>
                <w:bCs w:val="1"/>
                <w:color w:val="auto"/>
                <w:w w:val="97"/>
              </w:rPr>
              <w:t>Share and Offering Warrant</w:t>
            </w:r>
          </w:p>
        </w:tc>
        <w:tc>
          <w:tcPr>
            <w:tcW w:w="220" w:type="dxa"/>
            <w:vAlign w:val="bottom"/>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8"/>
              </w:rPr>
              <w:t>Pre-Funded Warrant and Offering Warrant</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12"/>
                <w:szCs w:val="12"/>
                <w:color w:val="auto"/>
              </w:rPr>
            </w:pPr>
          </w:p>
        </w:tc>
      </w:tr>
      <w:tr>
        <w:trPr>
          <w:trHeight w:val="103"/>
        </w:trPr>
        <w:tc>
          <w:tcPr>
            <w:tcW w:w="4320" w:type="dxa"/>
            <w:vAlign w:val="bottom"/>
            <w:tcBorders>
              <w:top w:val="single" w:sz="8" w:color="CCEEFF"/>
            </w:tcBorders>
            <w:shd w:val="clear" w:color="auto" w:fill="CCEEFF"/>
          </w:tcPr>
          <w:p>
            <w:pPr>
              <w:spacing w:after="0" w:line="103" w:lineRule="exact"/>
              <w:rPr>
                <w:sz w:val="20"/>
                <w:szCs w:val="20"/>
                <w:color w:val="auto"/>
              </w:rPr>
            </w:pPr>
            <w:r>
              <w:rPr>
                <w:rFonts w:ascii="Times New Roman" w:cs="Times New Roman" w:eastAsia="Times New Roman" w:hAnsi="Times New Roman"/>
                <w:sz w:val="10"/>
                <w:szCs w:val="10"/>
                <w:color w:val="auto"/>
              </w:rPr>
              <w:t>Offering price</w:t>
            </w:r>
          </w:p>
        </w:tc>
        <w:tc>
          <w:tcPr>
            <w:tcW w:w="220" w:type="dxa"/>
            <w:vAlign w:val="bottom"/>
            <w:tcBorders>
              <w:top w:val="single" w:sz="8" w:color="CCEEFF"/>
            </w:tcBorders>
            <w:shd w:val="clear" w:color="auto" w:fill="CCEEFF"/>
          </w:tcPr>
          <w:p>
            <w:pPr>
              <w:jc w:val="right"/>
              <w:ind w:right="111"/>
              <w:spacing w:after="0" w:line="103" w:lineRule="exact"/>
              <w:rPr>
                <w:sz w:val="20"/>
                <w:szCs w:val="20"/>
                <w:color w:val="auto"/>
              </w:rPr>
            </w:pPr>
            <w:r>
              <w:rPr>
                <w:rFonts w:ascii="Times New Roman" w:cs="Times New Roman" w:eastAsia="Times New Roman" w:hAnsi="Times New Roman"/>
                <w:sz w:val="10"/>
                <w:szCs w:val="10"/>
                <w:color w:val="auto"/>
                <w:w w:val="79"/>
              </w:rPr>
              <w:t>$</w:t>
            </w:r>
          </w:p>
        </w:tc>
        <w:tc>
          <w:tcPr>
            <w:tcW w:w="1820" w:type="dxa"/>
            <w:vAlign w:val="bottom"/>
            <w:tcBorders>
              <w:top w:val="single" w:sz="8" w:color="CCEEFF"/>
            </w:tcBorders>
            <w:gridSpan w:val="2"/>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270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gridSpan w:val="2"/>
            <w:shd w:val="clear" w:color="auto" w:fill="CCEEFF"/>
          </w:tcPr>
          <w:p>
            <w:pPr>
              <w:jc w:val="right"/>
              <w:ind w:right="731"/>
              <w:spacing w:after="0" w:line="10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8"/>
                <w:szCs w:val="8"/>
                <w:color w:val="auto"/>
              </w:rPr>
            </w:pPr>
          </w:p>
        </w:tc>
      </w:tr>
      <w:tr>
        <w:trPr>
          <w:trHeight w:val="135"/>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0"/>
                <w:szCs w:val="10"/>
                <w:color w:val="auto"/>
              </w:rPr>
              <w:t>Placement Agent Fees</w:t>
            </w:r>
            <w:r>
              <w:rPr>
                <w:rFonts w:ascii="Times New Roman" w:cs="Times New Roman" w:eastAsia="Times New Roman" w:hAnsi="Times New Roman"/>
                <w:sz w:val="13"/>
                <w:szCs w:val="13"/>
                <w:color w:val="auto"/>
                <w:vertAlign w:val="superscript"/>
              </w:rPr>
              <w:t>(1)</w:t>
            </w: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2240" w:type="dxa"/>
            <w:vAlign w:val="bottom"/>
            <w:gridSpan w:val="4"/>
          </w:tcPr>
          <w:p>
            <w:pPr>
              <w:jc w:val="right"/>
              <w:ind w:right="236"/>
              <w:spacing w:after="0"/>
              <w:rPr>
                <w:sz w:val="20"/>
                <w:szCs w:val="20"/>
                <w:color w:val="auto"/>
              </w:rPr>
            </w:pPr>
            <w:r>
              <w:rPr>
                <w:rFonts w:ascii="Times New Roman" w:cs="Times New Roman" w:eastAsia="Times New Roman" w:hAnsi="Times New Roman"/>
                <w:sz w:val="10"/>
                <w:szCs w:val="10"/>
                <w:color w:val="auto"/>
              </w:rPr>
              <w:t>$</w:t>
            </w:r>
          </w:p>
        </w:tc>
        <w:tc>
          <w:tcPr>
            <w:tcW w:w="2700" w:type="dxa"/>
            <w:vAlign w:val="bottom"/>
          </w:tcPr>
          <w:p>
            <w:pPr>
              <w:spacing w:after="0"/>
              <w:rPr>
                <w:sz w:val="11"/>
                <w:szCs w:val="11"/>
                <w:color w:val="auto"/>
              </w:rPr>
            </w:pPr>
          </w:p>
        </w:tc>
        <w:tc>
          <w:tcPr>
            <w:tcW w:w="1040" w:type="dxa"/>
            <w:vAlign w:val="bottom"/>
            <w:gridSpan w:val="2"/>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r>
      <w:tr>
        <w:trPr>
          <w:trHeight w:val="135"/>
        </w:trPr>
        <w:tc>
          <w:tcPr>
            <w:tcW w:w="43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0"/>
                <w:szCs w:val="10"/>
                <w:color w:val="auto"/>
              </w:rPr>
              <w:t>Proceeds to us, before expenses</w:t>
            </w:r>
            <w:r>
              <w:rPr>
                <w:rFonts w:ascii="Times New Roman" w:cs="Times New Roman" w:eastAsia="Times New Roman" w:hAnsi="Times New Roman"/>
                <w:sz w:val="13"/>
                <w:szCs w:val="13"/>
                <w:color w:val="auto"/>
                <w:vertAlign w:val="superscript"/>
              </w:rPr>
              <w:t>(2)</w:t>
            </w:r>
          </w:p>
        </w:tc>
        <w:tc>
          <w:tcPr>
            <w:tcW w:w="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2240" w:type="dxa"/>
            <w:vAlign w:val="bottom"/>
            <w:gridSpan w:val="4"/>
            <w:shd w:val="clear" w:color="auto" w:fill="CCEEFF"/>
          </w:tcPr>
          <w:p>
            <w:pPr>
              <w:jc w:val="right"/>
              <w:ind w:right="236"/>
              <w:spacing w:after="0"/>
              <w:rPr>
                <w:sz w:val="20"/>
                <w:szCs w:val="20"/>
                <w:color w:val="auto"/>
              </w:rPr>
            </w:pPr>
            <w:r>
              <w:rPr>
                <w:rFonts w:ascii="Times New Roman" w:cs="Times New Roman" w:eastAsia="Times New Roman" w:hAnsi="Times New Roman"/>
                <w:sz w:val="10"/>
                <w:szCs w:val="10"/>
                <w:color w:val="auto"/>
              </w:rPr>
              <w:t>$</w:t>
            </w:r>
          </w:p>
        </w:tc>
        <w:tc>
          <w:tcPr>
            <w:tcW w:w="27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r>
    </w:tbl>
    <w:p>
      <w:pPr>
        <w:spacing w:after="0" w:line="53"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(1)We have agreed to pay the Placement Agent a cash fee equal to 5.5% of the gross proceeds raised in this offering. We have also agreed to reimburse the Placement Agent for certain of its offering-related expenses, including legal fees and other out-of-pocket expenses in the amount of up to $150,000, and for its clearing expenses in the amount of up to $15,950.</w:t>
      </w:r>
    </w:p>
    <w:p>
      <w:pPr>
        <w:spacing w:after="0" w:line="41" w:lineRule="exact"/>
        <w:rPr>
          <w:sz w:val="20"/>
          <w:szCs w:val="20"/>
          <w:color w:val="auto"/>
        </w:rPr>
      </w:pPr>
    </w:p>
    <w:p>
      <w:pPr>
        <w:ind w:left="480" w:right="300"/>
        <w:spacing w:after="0" w:line="255" w:lineRule="auto"/>
        <w:rPr>
          <w:sz w:val="20"/>
          <w:szCs w:val="20"/>
          <w:color w:val="auto"/>
        </w:rPr>
      </w:pPr>
      <w:r>
        <w:rPr>
          <w:rFonts w:ascii="Times New Roman" w:cs="Times New Roman" w:eastAsia="Times New Roman" w:hAnsi="Times New Roman"/>
          <w:sz w:val="10"/>
          <w:szCs w:val="10"/>
          <w:color w:val="auto"/>
        </w:rPr>
        <w:t>(2)Because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Tail</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In the event that any investors that were contacted by the placement agent or were introduced to us by the placement agent during the term of our engagement agreement with the placement agent provide any capital to us in a public or private offering 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other</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36" w:name="page137"/>
    <w:bookmarkEnd w:id="136"/>
    <w:p>
      <w:pPr>
        <w:ind w:right="20"/>
        <w:spacing w:after="0" w:line="259" w:lineRule="auto"/>
        <w:rPr>
          <w:sz w:val="20"/>
          <w:szCs w:val="20"/>
          <w:color w:val="auto"/>
        </w:rPr>
      </w:pPr>
      <w:r>
        <w:rPr>
          <w:rFonts w:ascii="Times New Roman" w:cs="Times New Roman" w:eastAsia="Times New Roman" w:hAnsi="Times New Roman"/>
          <w:sz w:val="10"/>
          <w:szCs w:val="10"/>
          <w:color w:val="auto"/>
        </w:rPr>
        <w:t>financing or capital-raising transaction of any kind (each, a “</w:t>
      </w:r>
      <w:r>
        <w:rPr>
          <w:rFonts w:ascii="Times New Roman" w:cs="Times New Roman" w:eastAsia="Times New Roman" w:hAnsi="Times New Roman"/>
          <w:sz w:val="10"/>
          <w:szCs w:val="10"/>
          <w:b w:val="1"/>
          <w:bCs w:val="1"/>
          <w:i w:val="1"/>
          <w:iCs w:val="1"/>
          <w:color w:val="auto"/>
        </w:rPr>
        <w:t>Tail Financing</w:t>
      </w:r>
      <w:r>
        <w:rPr>
          <w:rFonts w:ascii="Times New Roman" w:cs="Times New Roman" w:eastAsia="Times New Roman" w:hAnsi="Times New Roman"/>
          <w:sz w:val="10"/>
          <w:szCs w:val="10"/>
          <w:color w:val="auto"/>
        </w:rPr>
        <w:t>”) within 12 months following the termination or expiration of our engagement agreement with the placement agent, we shall pay the placement agent the cash compensation provided above on the gross proceeds raised in such Tail Financing from such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Determination of Offering Price</w:t>
      </w:r>
    </w:p>
    <w:p>
      <w:pPr>
        <w:spacing w:after="0" w:line="112" w:lineRule="exact"/>
        <w:rPr>
          <w:sz w:val="20"/>
          <w:szCs w:val="20"/>
          <w:color w:val="auto"/>
        </w:rPr>
      </w:pPr>
    </w:p>
    <w:p>
      <w:pPr>
        <w:ind w:right="80" w:firstLine="705"/>
        <w:spacing w:after="0" w:line="241" w:lineRule="auto"/>
        <w:rPr>
          <w:sz w:val="20"/>
          <w:szCs w:val="20"/>
          <w:color w:val="auto"/>
        </w:rPr>
      </w:pPr>
      <w:r>
        <w:rPr>
          <w:rFonts w:ascii="Times New Roman" w:cs="Times New Roman" w:eastAsia="Times New Roman" w:hAnsi="Times New Roman"/>
          <w:sz w:val="10"/>
          <w:szCs w:val="10"/>
          <w:color w:val="auto"/>
        </w:rPr>
        <w:t>The combined offering price per share and Offering Warrant and the combined offering price per Pre -Funded Warrant and Offering Warrant we are offering and the exercise prices and other terms of the Pre-Funded Warrants and Offering Warrants were negotiated between us and the investors, in consultation with the placement agent based on the trading of our Ordinary Shares prior to this offering, among other things. Other factors considered in determining the offering prices of the securities we are offering and the exercise prices and other terms of the Pre-Funded Warrants and Offering Warrants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Lock-up Agreements</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9"/>
          <w:szCs w:val="9"/>
          <w:color w:val="auto"/>
        </w:rPr>
        <w:t>We and each of our officers and directors have agreed with the Placement Agent to be subject to a lock-up period of 45 days following the date of this prospectus. This means that, during the applicable lock-up period, we and such persons may not offer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for sale, contract to sell, or sell any shares of our Ordinary Shares or any securities convertible into, or exercisable or exchangeable for, shares of our Ordinary Shares, subject to certain customary exceptions. The Placement Agent may, in its sole discretion and without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notice, waive the terms of any of these lock-up agreements. In addition, we have agreed to not effect variable rate financings for a</w:t>
      </w:r>
    </w:p>
    <w:p>
      <w:pPr>
        <w:spacing w:after="0" w:line="234" w:lineRule="auto"/>
        <w:rPr>
          <w:sz w:val="20"/>
          <w:szCs w:val="20"/>
          <w:color w:val="auto"/>
        </w:rPr>
      </w:pPr>
      <w:r>
        <w:rPr>
          <w:rFonts w:ascii="Times New Roman" w:cs="Times New Roman" w:eastAsia="Times New Roman" w:hAnsi="Times New Roman"/>
          <w:sz w:val="10"/>
          <w:szCs w:val="10"/>
          <w:color w:val="auto"/>
        </w:rPr>
        <w:t>period of six months following the closing of the offering, subject to certain exceptions. The Placement Agent may waive this</w:t>
      </w:r>
    </w:p>
    <w:p>
      <w:pPr>
        <w:spacing w:after="0"/>
        <w:rPr>
          <w:sz w:val="20"/>
          <w:szCs w:val="20"/>
          <w:color w:val="auto"/>
        </w:rPr>
      </w:pPr>
      <w:r>
        <w:rPr>
          <w:rFonts w:ascii="Times New Roman" w:cs="Times New Roman" w:eastAsia="Times New Roman" w:hAnsi="Times New Roman"/>
          <w:sz w:val="10"/>
          <w:szCs w:val="10"/>
          <w:color w:val="auto"/>
        </w:rPr>
        <w:t>prohibition in its sole discretion and without notice.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Indemnification</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We have agreed to indemnify the placement agent against certain liabilities, including certain liabilities arising under the Securities Act, and to contribute to payments that the placement agent may be required to make for these liabilities.</w:t>
      </w:r>
    </w:p>
    <w:p>
      <w:pPr>
        <w:spacing w:after="0" w:line="110" w:lineRule="exact"/>
        <w:rPr>
          <w:sz w:val="20"/>
          <w:szCs w:val="20"/>
          <w:color w:val="auto"/>
        </w:rPr>
      </w:pPr>
    </w:p>
    <w:p>
      <w:pPr>
        <w:ind w:firstLine="705"/>
        <w:spacing w:after="0" w:line="245" w:lineRule="auto"/>
        <w:rPr>
          <w:sz w:val="20"/>
          <w:szCs w:val="20"/>
          <w:color w:val="auto"/>
        </w:rPr>
      </w:pPr>
      <w:r>
        <w:rPr>
          <w:rFonts w:ascii="Times New Roman" w:cs="Times New Roman" w:eastAsia="Times New Roman" w:hAnsi="Times New Roman"/>
          <w:sz w:val="10"/>
          <w:szCs w:val="10"/>
          <w:color w:val="auto"/>
        </w:rPr>
        <w:t>In addition, we will indemnify the purchasers who enter into the securities purchase agreement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Regulation M</w:t>
      </w:r>
    </w:p>
    <w:p>
      <w:pPr>
        <w:spacing w:after="0" w:line="112" w:lineRule="exact"/>
        <w:rPr>
          <w:sz w:val="20"/>
          <w:szCs w:val="20"/>
          <w:color w:val="auto"/>
        </w:rPr>
      </w:pPr>
    </w:p>
    <w:p>
      <w:pPr>
        <w:ind w:right="40" w:firstLine="705"/>
        <w:spacing w:after="0" w:line="241" w:lineRule="auto"/>
        <w:rPr>
          <w:sz w:val="20"/>
          <w:szCs w:val="20"/>
          <w:color w:val="auto"/>
        </w:rPr>
      </w:pPr>
      <w:r>
        <w:rPr>
          <w:rFonts w:ascii="Times New Roman" w:cs="Times New Roman" w:eastAsia="Times New Roman" w:hAnsi="Times New Roman"/>
          <w:sz w:val="10"/>
          <w:szCs w:val="10"/>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Other Relationships</w:t>
      </w:r>
    </w:p>
    <w:p>
      <w:pPr>
        <w:spacing w:after="0" w:line="112" w:lineRule="exact"/>
        <w:rPr>
          <w:sz w:val="20"/>
          <w:szCs w:val="20"/>
          <w:color w:val="auto"/>
        </w:rPr>
      </w:pPr>
    </w:p>
    <w:p>
      <w:pPr>
        <w:ind w:right="120" w:firstLine="705"/>
        <w:spacing w:after="0" w:line="255" w:lineRule="auto"/>
        <w:rPr>
          <w:sz w:val="20"/>
          <w:szCs w:val="20"/>
          <w:color w:val="auto"/>
        </w:rPr>
      </w:pPr>
      <w:r>
        <w:rPr>
          <w:rFonts w:ascii="Times New Roman" w:cs="Times New Roman" w:eastAsia="Times New Roman" w:hAnsi="Times New Roman"/>
          <w:sz w:val="10"/>
          <w:szCs w:val="10"/>
          <w:color w:val="auto"/>
        </w:rPr>
        <w:t>The Placement Agent and its affiliates may in the future engage in investment banking transactions and other commercial dealings in the ordinary course of business with us or our affiliates. The placement agent may in the future receive customary fees and commissions for these transactions. However, except as disclosed in this prospectus, we have no present arrangements with the Placement Agent for any further services.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Electronic Distribution</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A prospectus in electronic format may be made available on a website maintained by the placement agent and the placement agent may distribute prospectuses electronically. Other than the prospectus in electronic format, the information on these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websites is not</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137" w:name="page138"/>
    <w:bookmarkEnd w:id="137"/>
    <w:p>
      <w:pPr>
        <w:ind w:right="1960"/>
        <w:spacing w:after="0" w:line="438" w:lineRule="auto"/>
        <w:rPr>
          <w:sz w:val="20"/>
          <w:szCs w:val="20"/>
          <w:color w:val="auto"/>
        </w:rPr>
      </w:pPr>
      <w:r>
        <w:rPr>
          <w:rFonts w:ascii="Times New Roman" w:cs="Times New Roman" w:eastAsia="Times New Roman" w:hAnsi="Times New Roman"/>
          <w:sz w:val="10"/>
          <w:szCs w:val="10"/>
          <w:color w:val="auto"/>
        </w:rPr>
        <w:t xml:space="preserve">part of this prospectus or the registration statement of which this prospectus forms a part, has not been approved and/or endorsed by us or the placement agent and should not be relied upon by investors. </w:t>
      </w:r>
      <w:r>
        <w:rPr>
          <w:rFonts w:ascii="Times New Roman" w:cs="Times New Roman" w:eastAsia="Times New Roman" w:hAnsi="Times New Roman"/>
          <w:sz w:val="10"/>
          <w:szCs w:val="10"/>
          <w:b w:val="1"/>
          <w:bCs w:val="1"/>
          <w:color w:val="auto"/>
        </w:rPr>
        <w:t>Listing</w:t>
      </w:r>
    </w:p>
    <w:p>
      <w:pPr>
        <w:ind w:left="700"/>
        <w:spacing w:after="0"/>
        <w:rPr>
          <w:sz w:val="20"/>
          <w:szCs w:val="20"/>
          <w:color w:val="auto"/>
        </w:rPr>
      </w:pPr>
      <w:r>
        <w:rPr>
          <w:rFonts w:ascii="Times New Roman" w:cs="Times New Roman" w:eastAsia="Times New Roman" w:hAnsi="Times New Roman"/>
          <w:sz w:val="10"/>
          <w:szCs w:val="10"/>
          <w:color w:val="auto"/>
        </w:rPr>
        <w:t>Our Ordinary Shares and Public Warrants are listed on the Nasdaq Stock Market under the symbol “RZLV” and “RZLVW”, respectively.</w:t>
      </w:r>
    </w:p>
    <w:p>
      <w:pPr>
        <w:spacing w:after="0" w:line="3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0"/>
          <w:szCs w:val="1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1035" w:right="1440" w:bottom="1440" w:gutter="0" w:footer="0" w:header="0"/>
        </w:sectPr>
      </w:pPr>
    </w:p>
    <w:bookmarkStart w:id="138" w:name="page139"/>
    <w:bookmarkEnd w:id="138"/>
    <w:tbl>
      <w:tblPr>
        <w:tblLayout w:type="fixed"/>
        <w:tblInd w:w="480" w:type="dxa"/>
        <w:tblCellMar>
          <w:top w:w="0" w:type="dxa"/>
          <w:left w:w="0" w:type="dxa"/>
          <w:bottom w:w="0" w:type="dxa"/>
          <w:right w:w="0" w:type="dxa"/>
        </w:tblCellMar>
      </w:tblPr>
      <w:tr>
        <w:trPr>
          <w:trHeight w:val="127"/>
        </w:trPr>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20" w:type="dxa"/>
            <w:vAlign w:val="bottom"/>
          </w:tcPr>
          <w:p>
            <w:pPr>
              <w:ind w:left="1860"/>
              <w:spacing w:after="0"/>
              <w:rPr>
                <w:sz w:val="20"/>
                <w:szCs w:val="20"/>
                <w:color w:val="auto"/>
              </w:rPr>
            </w:pPr>
            <w:r>
              <w:rPr>
                <w:rFonts w:ascii="Times New Roman" w:cs="Times New Roman" w:eastAsia="Times New Roman" w:hAnsi="Times New Roman"/>
                <w:sz w:val="10"/>
                <w:szCs w:val="10"/>
                <w:b w:val="1"/>
                <w:bCs w:val="1"/>
                <w:color w:val="auto"/>
              </w:rPr>
              <w:t>EXPENSES RELATED TO THIS OFFERING</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0"/>
        </w:trPr>
        <w:tc>
          <w:tcPr>
            <w:tcW w:w="640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The following table sets forth the fees and expenses payable by us in connection with the sale and distribution of the securities being registered hereby.</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92"/>
        </w:trPr>
        <w:tc>
          <w:tcPr>
            <w:tcW w:w="1640" w:type="dxa"/>
            <w:vAlign w:val="bottom"/>
          </w:tcPr>
          <w:p>
            <w:pPr>
              <w:spacing w:after="0"/>
              <w:rPr>
                <w:sz w:val="8"/>
                <w:szCs w:val="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Expenses</w:t>
            </w:r>
          </w:p>
        </w:tc>
        <w:tc>
          <w:tcPr>
            <w:tcW w:w="4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jc w:val="right"/>
              <w:ind w:right="413"/>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08"/>
        </w:trPr>
        <w:tc>
          <w:tcPr>
            <w:tcW w:w="1640" w:type="dxa"/>
            <w:vAlign w:val="bottom"/>
          </w:tcPr>
          <w:p>
            <w:pPr>
              <w:spacing w:after="0"/>
              <w:rPr>
                <w:sz w:val="9"/>
                <w:szCs w:val="9"/>
                <w:color w:val="auto"/>
              </w:rPr>
            </w:pPr>
          </w:p>
        </w:tc>
        <w:tc>
          <w:tcPr>
            <w:tcW w:w="4760" w:type="dxa"/>
            <w:vAlign w:val="bottom"/>
            <w:gridSpan w:val="2"/>
            <w:shd w:val="clear" w:color="auto" w:fill="CFF0FC"/>
          </w:tcPr>
          <w:p>
            <w:pPr>
              <w:spacing w:after="0" w:line="108" w:lineRule="exact"/>
              <w:rPr>
                <w:sz w:val="20"/>
                <w:szCs w:val="20"/>
                <w:color w:val="auto"/>
              </w:rPr>
            </w:pPr>
            <w:r>
              <w:rPr>
                <w:rFonts w:ascii="Times New Roman" w:cs="Times New Roman" w:eastAsia="Times New Roman" w:hAnsi="Times New Roman"/>
                <w:sz w:val="10"/>
                <w:szCs w:val="10"/>
                <w:color w:val="auto"/>
              </w:rPr>
              <w:t>SEC registration fee</w:t>
            </w:r>
          </w:p>
        </w:tc>
        <w:tc>
          <w:tcPr>
            <w:tcW w:w="720" w:type="dxa"/>
            <w:vAlign w:val="bottom"/>
            <w:shd w:val="clear" w:color="auto" w:fill="CFF0FC"/>
          </w:tcPr>
          <w:p>
            <w:pPr>
              <w:jc w:val="right"/>
              <w:ind w:right="91"/>
              <w:spacing w:after="0" w:line="108"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jc w:val="right"/>
              <w:ind w:right="73"/>
              <w:spacing w:after="0" w:line="108" w:lineRule="exact"/>
              <w:rPr>
                <w:sz w:val="20"/>
                <w:szCs w:val="20"/>
                <w:color w:val="auto"/>
              </w:rPr>
            </w:pPr>
            <w:r>
              <w:rPr>
                <w:rFonts w:ascii="Times New Roman" w:cs="Times New Roman" w:eastAsia="Times New Roman" w:hAnsi="Times New Roman"/>
                <w:sz w:val="10"/>
                <w:szCs w:val="10"/>
                <w:color w:val="auto"/>
              </w:rPr>
              <w:t>7,655.00</w:t>
            </w:r>
          </w:p>
        </w:tc>
      </w:tr>
      <w:tr>
        <w:trPr>
          <w:trHeight w:val="106"/>
        </w:trPr>
        <w:tc>
          <w:tcPr>
            <w:tcW w:w="1640" w:type="dxa"/>
            <w:vAlign w:val="bottom"/>
          </w:tcPr>
          <w:p>
            <w:pPr>
              <w:spacing w:after="0"/>
              <w:rPr>
                <w:sz w:val="9"/>
                <w:szCs w:val="9"/>
                <w:color w:val="auto"/>
              </w:rPr>
            </w:pPr>
          </w:p>
        </w:tc>
        <w:tc>
          <w:tcPr>
            <w:tcW w:w="47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Legal fees and expenses Accounting fees and expenses</w:t>
            </w: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7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Transfer agent fees and expenses Miscellaneous expenses</w:t>
            </w:r>
          </w:p>
        </w:tc>
        <w:tc>
          <w:tcPr>
            <w:tcW w:w="720" w:type="dxa"/>
            <w:vAlign w:val="bottom"/>
          </w:tcPr>
          <w:p>
            <w:pPr>
              <w:spacing w:after="0"/>
              <w:rPr>
                <w:sz w:val="10"/>
                <w:szCs w:val="10"/>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350,000</w:t>
            </w:r>
          </w:p>
        </w:tc>
      </w:tr>
      <w:tr>
        <w:trPr>
          <w:trHeight w:val="113"/>
        </w:trPr>
        <w:tc>
          <w:tcPr>
            <w:tcW w:w="1640" w:type="dxa"/>
            <w:vAlign w:val="bottom"/>
          </w:tcPr>
          <w:p>
            <w:pPr>
              <w:spacing w:after="0"/>
              <w:rPr>
                <w:sz w:val="9"/>
                <w:szCs w:val="9"/>
                <w:color w:val="auto"/>
              </w:rPr>
            </w:pPr>
          </w:p>
        </w:tc>
        <w:tc>
          <w:tcPr>
            <w:tcW w:w="47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w:t>
            </w:r>
          </w:p>
        </w:tc>
        <w:tc>
          <w:tcPr>
            <w:tcW w:w="720" w:type="dxa"/>
            <w:vAlign w:val="bottom"/>
            <w:shd w:val="clear" w:color="auto" w:fill="CFF0FC"/>
          </w:tcPr>
          <w:p>
            <w:pPr>
              <w:spacing w:after="0"/>
              <w:rPr>
                <w:sz w:val="9"/>
                <w:szCs w:val="9"/>
                <w:color w:val="auto"/>
              </w:rPr>
            </w:pPr>
          </w:p>
        </w:tc>
        <w:tc>
          <w:tcPr>
            <w:tcW w:w="90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357,655</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These fees are calculated based on the securities offered and the number of issuances and accordingly cannot be defined at this time.</w:t>
      </w:r>
    </w:p>
    <w:p>
      <w:pPr>
        <w:spacing w:after="0" w:line="9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0"/>
          <w:szCs w:val="10"/>
          <w:b w:val="1"/>
          <w:bCs w:val="1"/>
          <w:color w:val="auto"/>
        </w:rPr>
        <w:t>LEGAL MATTERS</w:t>
      </w:r>
    </w:p>
    <w:p>
      <w:pPr>
        <w:spacing w:after="0" w:line="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DLA Piper LLP (US), New York, New York, and Taylor Wessing LLP, have passed upon the validity of the securities of Rezolve AI Limited offered by this prospectus and certain other legal matters related to this prospectus.</w:t>
      </w:r>
    </w:p>
    <w:p>
      <w:pPr>
        <w:spacing w:after="0" w:line="9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0"/>
          <w:szCs w:val="10"/>
          <w:b w:val="1"/>
          <w:bCs w:val="1"/>
          <w:color w:val="auto"/>
        </w:rPr>
        <w:t>EXPERTS</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financial statements of Armada as of September 30, 2023 and 2022 and for each of the two years in the period ended September 30, 2023, included in this registration statement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ENFORCEABILITY OF CIVIL LIABILITY</w:t>
      </w:r>
    </w:p>
    <w:p>
      <w:pPr>
        <w:spacing w:after="0" w:line="97"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01"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WHERE YOU CAN FIND MORE INFORMATION</w:t>
      </w:r>
    </w:p>
    <w:p>
      <w:pPr>
        <w:spacing w:after="0" w:line="97"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01" w:lineRule="exact"/>
        <w:rPr>
          <w:sz w:val="20"/>
          <w:szCs w:val="20"/>
          <w:color w:val="auto"/>
        </w:rPr>
      </w:pPr>
    </w:p>
    <w:p>
      <w:pPr>
        <w:ind w:right="400" w:firstLine="480"/>
        <w:spacing w:after="0" w:line="245" w:lineRule="auto"/>
        <w:rPr>
          <w:sz w:val="20"/>
          <w:szCs w:val="20"/>
          <w:color w:val="auto"/>
        </w:rPr>
      </w:pPr>
      <w:r>
        <w:rPr>
          <w:rFonts w:ascii="Times New Roman" w:cs="Times New Roman" w:eastAsia="Times New Roman" w:hAnsi="Times New Roman"/>
          <w:sz w:val="10"/>
          <w:szCs w:val="10"/>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31" w:right="60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0"/>
          <w:szCs w:val="10"/>
          <w:b w:val="1"/>
          <w:bCs w:val="1"/>
          <w:color w:val="auto"/>
        </w:rPr>
        <w:t>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INDEX TO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interim condensed carve-out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six months ended June 30, 2024 and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560" w:type="dxa"/>
            <w:vAlign w:val="bottom"/>
            <w:gridSpan w:val="22"/>
          </w:tcPr>
          <w:p>
            <w:pPr>
              <w:spacing w:after="0"/>
              <w:rPr>
                <w:sz w:val="20"/>
                <w:szCs w:val="20"/>
                <w:color w:val="auto"/>
              </w:rPr>
            </w:pPr>
            <w:r>
              <w:rPr>
                <w:rFonts w:ascii="Times New Roman" w:cs="Times New Roman" w:eastAsia="Times New Roman" w:hAnsi="Times New Roman"/>
                <w:sz w:val="10"/>
                <w:szCs w:val="10"/>
                <w:color w:val="auto"/>
              </w:rPr>
              <w:t>Condensed Interim Carve-out Consolidated Financial Statements (Unaudited)</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540" w:type="dxa"/>
            <w:vAlign w:val="bottom"/>
            <w:tcBorders>
              <w:bottom w:val="single" w:sz="8" w:color="0000FF"/>
            </w:tcBorders>
            <w:gridSpan w:val="17"/>
          </w:tcPr>
          <w:p>
            <w:pPr>
              <w:spacing w:after="0" w:line="104" w:lineRule="exact"/>
              <w:rPr>
                <w:rFonts w:ascii="Times New Roman" w:cs="Times New Roman" w:eastAsia="Times New Roman" w:hAnsi="Times New Roman"/>
                <w:sz w:val="10"/>
                <w:szCs w:val="10"/>
                <w:color w:val="0000FF"/>
                <w:w w:val="97"/>
              </w:rPr>
            </w:pPr>
            <w:hyperlink w:anchor="page142">
              <w:r>
                <w:rPr>
                  <w:rFonts w:ascii="Times New Roman" w:cs="Times New Roman" w:eastAsia="Times New Roman" w:hAnsi="Times New Roman"/>
                  <w:sz w:val="10"/>
                  <w:szCs w:val="10"/>
                  <w:color w:val="0000FF"/>
                  <w:w w:val="97"/>
                </w:rPr>
                <w:t>Condensed interim Carve-out Consolidated Balance Sheets as of June 30, 2024 (Unaudited) and December 31, 2023</w:t>
              </w:r>
            </w:hyperlink>
          </w:p>
        </w:tc>
        <w:tc>
          <w:tcPr>
            <w:tcW w:w="4020" w:type="dxa"/>
            <w:vAlign w:val="bottom"/>
            <w:gridSpan w:val="5"/>
          </w:tcPr>
          <w:p>
            <w:pPr>
              <w:spacing w:after="0"/>
              <w:rPr>
                <w:sz w:val="9"/>
                <w:szCs w:val="9"/>
                <w:color w:val="auto"/>
              </w:rPr>
            </w:pPr>
          </w:p>
        </w:tc>
        <w:tc>
          <w:tcPr>
            <w:tcW w:w="2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F-3</w:t>
            </w:r>
          </w:p>
        </w:tc>
        <w:tc>
          <w:tcPr>
            <w:tcW w:w="0" w:type="dxa"/>
            <w:vAlign w:val="bottom"/>
          </w:tcPr>
          <w:p>
            <w:pPr>
              <w:spacing w:after="0"/>
              <w:rPr>
                <w:sz w:val="1"/>
                <w:szCs w:val="1"/>
                <w:color w:val="auto"/>
              </w:rPr>
            </w:pPr>
          </w:p>
        </w:tc>
      </w:tr>
      <w:tr>
        <w:trPr>
          <w:trHeight w:val="93"/>
        </w:trPr>
        <w:tc>
          <w:tcPr>
            <w:tcW w:w="5140" w:type="dxa"/>
            <w:vAlign w:val="bottom"/>
            <w:tcBorders>
              <w:bottom w:val="single" w:sz="8" w:color="0000FF"/>
            </w:tcBorders>
            <w:gridSpan w:val="19"/>
          </w:tcPr>
          <w:p>
            <w:pPr>
              <w:spacing w:after="0" w:line="93" w:lineRule="exact"/>
              <w:rPr>
                <w:rFonts w:ascii="Times New Roman" w:cs="Times New Roman" w:eastAsia="Times New Roman" w:hAnsi="Times New Roman"/>
                <w:sz w:val="10"/>
                <w:szCs w:val="10"/>
                <w:color w:val="0000FF"/>
                <w:w w:val="97"/>
              </w:rPr>
            </w:pPr>
            <w:hyperlink w:anchor="page144">
              <w:r>
                <w:rPr>
                  <w:rFonts w:ascii="Times New Roman" w:cs="Times New Roman" w:eastAsia="Times New Roman" w:hAnsi="Times New Roman"/>
                  <w:sz w:val="10"/>
                  <w:szCs w:val="10"/>
                  <w:color w:val="0000FF"/>
                  <w:w w:val="97"/>
                </w:rPr>
                <w:t>Condensed interim Carve-out Consolidated Statements of Operations for the six months ended June 30, 2024 and 2023 (Unaudited)</w:t>
              </w:r>
            </w:hyperlink>
          </w:p>
        </w:tc>
        <w:tc>
          <w:tcPr>
            <w:tcW w:w="3420" w:type="dxa"/>
            <w:vAlign w:val="bottom"/>
            <w:gridSpan w:val="3"/>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F-5</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5">
              <w:r>
                <w:rPr>
                  <w:rFonts w:ascii="Times New Roman" w:cs="Times New Roman" w:eastAsia="Times New Roman" w:hAnsi="Times New Roman"/>
                  <w:sz w:val="10"/>
                  <w:szCs w:val="10"/>
                  <w:color w:val="0000FF"/>
                </w:rPr>
                <w:t>Condensed interim Carve-out Consolidated Statements of Comprehensive Loss (Unaudited)</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F-7</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6">
              <w:r>
                <w:rPr>
                  <w:rFonts w:ascii="Times New Roman" w:cs="Times New Roman" w:eastAsia="Times New Roman" w:hAnsi="Times New Roman"/>
                  <w:sz w:val="10"/>
                  <w:szCs w:val="10"/>
                  <w:color w:val="0000FF"/>
                </w:rPr>
                <w:t>Condensed interim Carve-out Consolidated Statements of Changes in Stockholders’ deficit for the six and the six months ended June 30, 2024 and 2023 (Unaudited)</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120" w:type="dxa"/>
            <w:vAlign w:val="bottom"/>
            <w:tcBorders>
              <w:top w:val="single" w:sz="8" w:color="0000FF"/>
              <w:bottom w:val="single" w:sz="8" w:color="0000FF"/>
            </w:tcBorders>
            <w:gridSpan w:val="18"/>
          </w:tcPr>
          <w:p>
            <w:pPr>
              <w:spacing w:after="0" w:line="93" w:lineRule="exact"/>
              <w:rPr>
                <w:rFonts w:ascii="Times New Roman" w:cs="Times New Roman" w:eastAsia="Times New Roman" w:hAnsi="Times New Roman"/>
                <w:sz w:val="10"/>
                <w:szCs w:val="10"/>
                <w:color w:val="0000FF"/>
                <w:w w:val="97"/>
              </w:rPr>
            </w:pPr>
            <w:hyperlink w:anchor="page147">
              <w:r>
                <w:rPr>
                  <w:rFonts w:ascii="Times New Roman" w:cs="Times New Roman" w:eastAsia="Times New Roman" w:hAnsi="Times New Roman"/>
                  <w:sz w:val="10"/>
                  <w:szCs w:val="10"/>
                  <w:color w:val="0000FF"/>
                  <w:w w:val="97"/>
                </w:rPr>
                <w:t>Condensed interim Carve-out Consolidated Statements of Cash Flows for the six and the six months ended June 30, 2024 and 2023</w:t>
              </w:r>
            </w:hyperlink>
          </w:p>
        </w:tc>
        <w:tc>
          <w:tcPr>
            <w:tcW w:w="1300" w:type="dxa"/>
            <w:vAlign w:val="bottom"/>
            <w:tcBorders>
              <w:top w:val="single" w:sz="8" w:color="0000FF"/>
            </w:tcBorders>
            <w:gridSpan w:val="3"/>
          </w:tcPr>
          <w:p>
            <w:pPr>
              <w:spacing w:after="0"/>
              <w:rPr>
                <w:sz w:val="8"/>
                <w:szCs w:val="8"/>
                <w:color w:val="auto"/>
              </w:rPr>
            </w:pPr>
          </w:p>
        </w:tc>
        <w:tc>
          <w:tcPr>
            <w:tcW w:w="2140" w:type="dxa"/>
            <w:vAlign w:val="bottom"/>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48">
              <w:r>
                <w:rPr>
                  <w:rFonts w:ascii="Times New Roman" w:cs="Times New Roman" w:eastAsia="Times New Roman" w:hAnsi="Times New Roman"/>
                  <w:sz w:val="10"/>
                  <w:szCs w:val="10"/>
                  <w:color w:val="0000FF"/>
                </w:rPr>
                <w:t>Notes to the Condensed interim Carve-out Consolidated Financial Statements June 30, 2024 (Unaudited)</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F-9</w:t>
            </w:r>
          </w:p>
        </w:tc>
        <w:tc>
          <w:tcPr>
            <w:tcW w:w="0" w:type="dxa"/>
            <w:vAlign w:val="bottom"/>
          </w:tcPr>
          <w:p>
            <w:pPr>
              <w:spacing w:after="0"/>
              <w:rPr>
                <w:sz w:val="1"/>
                <w:szCs w:val="1"/>
                <w:color w:val="auto"/>
              </w:rPr>
            </w:pPr>
          </w:p>
        </w:tc>
      </w:tr>
      <w:tr>
        <w:trPr>
          <w:trHeight w:val="333"/>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Carve-out Consolidated Financial Statements</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gridSpan w:val="9"/>
          </w:tcPr>
          <w:p>
            <w:pPr>
              <w:jc w:val="center"/>
              <w:ind w:right="1860"/>
              <w:spacing w:after="0"/>
              <w:rPr>
                <w:sz w:val="20"/>
                <w:szCs w:val="20"/>
                <w:color w:val="auto"/>
              </w:rPr>
            </w:pPr>
            <w:r>
              <w:rPr>
                <w:rFonts w:ascii="Times New Roman" w:cs="Times New Roman" w:eastAsia="Times New Roman" w:hAnsi="Times New Roman"/>
                <w:sz w:val="10"/>
                <w:szCs w:val="10"/>
                <w:color w:val="auto"/>
                <w:w w:val="97"/>
              </w:rPr>
              <w:t>As of and for the years ended December 31, 2023 (Restated) and 2022</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166">
              <w:r>
                <w:rPr>
                  <w:rFonts w:ascii="Times New Roman" w:cs="Times New Roman" w:eastAsia="Times New Roman" w:hAnsi="Times New Roman"/>
                  <w:sz w:val="10"/>
                  <w:szCs w:val="10"/>
                  <w:color w:val="0000FF"/>
                </w:rPr>
                <w:t>Independent Auditor’s Report</w:t>
              </w:r>
            </w:hyperlink>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F-27</w:t>
            </w:r>
          </w:p>
        </w:tc>
        <w:tc>
          <w:tcPr>
            <w:tcW w:w="0" w:type="dxa"/>
            <w:vAlign w:val="bottom"/>
          </w:tcPr>
          <w:p>
            <w:pPr>
              <w:spacing w:after="0"/>
              <w:rPr>
                <w:sz w:val="1"/>
                <w:szCs w:val="1"/>
                <w:color w:val="auto"/>
              </w:rPr>
            </w:pPr>
          </w:p>
        </w:tc>
      </w:tr>
      <w:tr>
        <w:trPr>
          <w:trHeight w:val="20"/>
        </w:trPr>
        <w:tc>
          <w:tcPr>
            <w:tcW w:w="1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8560" w:type="dxa"/>
            <w:vAlign w:val="bottom"/>
            <w:gridSpan w:val="22"/>
          </w:tcPr>
          <w:p>
            <w:pPr>
              <w:spacing w:after="0" w:line="101" w:lineRule="exact"/>
              <w:rPr>
                <w:sz w:val="20"/>
                <w:szCs w:val="20"/>
                <w:color w:val="auto"/>
              </w:rPr>
            </w:pPr>
            <w:r>
              <w:rPr>
                <w:rFonts w:ascii="Times New Roman" w:cs="Times New Roman" w:eastAsia="Times New Roman" w:hAnsi="Times New Roman"/>
                <w:sz w:val="10"/>
                <w:szCs w:val="10"/>
                <w:color w:val="auto"/>
              </w:rPr>
              <w:t>Carve-out Consolidated Financial Statements</w:t>
            </w: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8560" w:type="dxa"/>
            <w:vAlign w:val="bottom"/>
            <w:gridSpan w:val="22"/>
          </w:tcPr>
          <w:p>
            <w:pPr>
              <w:spacing w:after="0" w:line="104" w:lineRule="exact"/>
              <w:rPr>
                <w:rFonts w:ascii="Times New Roman" w:cs="Times New Roman" w:eastAsia="Times New Roman" w:hAnsi="Times New Roman"/>
                <w:sz w:val="10"/>
                <w:szCs w:val="10"/>
                <w:color w:val="0000FF"/>
              </w:rPr>
            </w:pPr>
            <w:hyperlink w:anchor="page167">
              <w:r>
                <w:rPr>
                  <w:rFonts w:ascii="Times New Roman" w:cs="Times New Roman" w:eastAsia="Times New Roman" w:hAnsi="Times New Roman"/>
                  <w:sz w:val="10"/>
                  <w:szCs w:val="10"/>
                  <w:color w:val="0000FF"/>
                </w:rPr>
                <w:t xml:space="preserve">Carve-out Consolidated Balance Sheets </w:t>
              </w:r>
            </w:hyperlink>
            <w:r>
              <w:rPr>
                <w:rFonts w:ascii="Times New Roman" w:cs="Times New Roman" w:eastAsia="Times New Roman" w:hAnsi="Times New Roman"/>
                <w:sz w:val="10"/>
                <w:szCs w:val="10"/>
                <w:color w:val="000000"/>
              </w:rPr>
              <w:t>(Restated)</w:t>
            </w:r>
          </w:p>
        </w:tc>
        <w:tc>
          <w:tcPr>
            <w:tcW w:w="20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F-28</w:t>
            </w:r>
          </w:p>
        </w:tc>
        <w:tc>
          <w:tcPr>
            <w:tcW w:w="0" w:type="dxa"/>
            <w:vAlign w:val="bottom"/>
          </w:tcPr>
          <w:p>
            <w:pPr>
              <w:spacing w:after="0"/>
              <w:rPr>
                <w:sz w:val="1"/>
                <w:szCs w:val="1"/>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F-29</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8">
              <w:r>
                <w:rPr>
                  <w:rFonts w:ascii="Times New Roman" w:cs="Times New Roman" w:eastAsia="Times New Roman" w:hAnsi="Times New Roman"/>
                  <w:sz w:val="10"/>
                  <w:szCs w:val="10"/>
                  <w:color w:val="0000FF"/>
                </w:rPr>
                <w:t xml:space="preserve">Carve-out Consolidated Statements of Operations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F-30</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69">
              <w:r>
                <w:rPr>
                  <w:rFonts w:ascii="Times New Roman" w:cs="Times New Roman" w:eastAsia="Times New Roman" w:hAnsi="Times New Roman"/>
                  <w:sz w:val="10"/>
                  <w:szCs w:val="10"/>
                  <w:color w:val="0000FF"/>
                </w:rPr>
                <w:t xml:space="preserve">Carve-out Consolidated Statements of Comprehensive Loss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F-31</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70">
              <w:r>
                <w:rPr>
                  <w:rFonts w:ascii="Times New Roman" w:cs="Times New Roman" w:eastAsia="Times New Roman" w:hAnsi="Times New Roman"/>
                  <w:sz w:val="10"/>
                  <w:szCs w:val="10"/>
                  <w:color w:val="0000FF"/>
                </w:rPr>
                <w:t xml:space="preserve">Carve-out Consolidated Statements of Changes in Shareholders’ Deficit </w:t>
              </w:r>
            </w:hyperlink>
            <w:r>
              <w:rPr>
                <w:rFonts w:ascii="Times New Roman" w:cs="Times New Roman" w:eastAsia="Times New Roman" w:hAnsi="Times New Roman"/>
                <w:sz w:val="10"/>
                <w:szCs w:val="10"/>
                <w:color w:val="000000"/>
              </w:rPr>
              <w:t>(Restated)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800" w:type="dxa"/>
            <w:vAlign w:val="bottom"/>
            <w:tcBorders>
              <w:top w:val="single" w:sz="8" w:color="0000FF"/>
            </w:tcBorders>
            <w:gridSpan w:val="8"/>
          </w:tcPr>
          <w:p>
            <w:pPr>
              <w:spacing w:after="0" w:line="93" w:lineRule="exact"/>
              <w:rPr>
                <w:rFonts w:ascii="Times New Roman" w:cs="Times New Roman" w:eastAsia="Times New Roman" w:hAnsi="Times New Roman"/>
                <w:sz w:val="10"/>
                <w:szCs w:val="10"/>
                <w:color w:val="0000FF"/>
              </w:rPr>
            </w:pPr>
            <w:hyperlink w:anchor="page171">
              <w:r>
                <w:rPr>
                  <w:rFonts w:ascii="Times New Roman" w:cs="Times New Roman" w:eastAsia="Times New Roman" w:hAnsi="Times New Roman"/>
                  <w:sz w:val="10"/>
                  <w:szCs w:val="10"/>
                  <w:color w:val="0000FF"/>
                </w:rPr>
                <w:t xml:space="preserve">Carve-out Consolidated Statements of Cash Flows </w:t>
              </w:r>
            </w:hyperlink>
            <w:r>
              <w:rPr>
                <w:rFonts w:ascii="Times New Roman" w:cs="Times New Roman" w:eastAsia="Times New Roman" w:hAnsi="Times New Roman"/>
                <w:sz w:val="10"/>
                <w:szCs w:val="10"/>
                <w:color w:val="000000"/>
              </w:rPr>
              <w:t>(Restated)</w:t>
            </w:r>
          </w:p>
        </w:tc>
        <w:tc>
          <w:tcPr>
            <w:tcW w:w="5760" w:type="dxa"/>
            <w:vAlign w:val="bottom"/>
            <w:gridSpan w:val="14"/>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F-32</w:t>
            </w:r>
          </w:p>
        </w:tc>
        <w:tc>
          <w:tcPr>
            <w:tcW w:w="0" w:type="dxa"/>
            <w:vAlign w:val="bottom"/>
          </w:tcPr>
          <w:p>
            <w:pPr>
              <w:spacing w:after="0"/>
              <w:rPr>
                <w:sz w:val="1"/>
                <w:szCs w:val="1"/>
                <w:color w:val="auto"/>
              </w:rPr>
            </w:pPr>
          </w:p>
        </w:tc>
      </w:tr>
      <w:tr>
        <w:trPr>
          <w:trHeight w:val="20"/>
        </w:trPr>
        <w:tc>
          <w:tcPr>
            <w:tcW w:w="19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F-33</w:t>
            </w:r>
          </w:p>
        </w:tc>
        <w:tc>
          <w:tcPr>
            <w:tcW w:w="0" w:type="dxa"/>
            <w:vAlign w:val="bottom"/>
          </w:tcPr>
          <w:p>
            <w:pPr>
              <w:spacing w:after="0" w:line="20" w:lineRule="exact"/>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172">
              <w:r>
                <w:rPr>
                  <w:rFonts w:ascii="Times New Roman" w:cs="Times New Roman" w:eastAsia="Times New Roman" w:hAnsi="Times New Roman"/>
                  <w:sz w:val="10"/>
                  <w:szCs w:val="10"/>
                  <w:color w:val="0000FF"/>
                </w:rPr>
                <w:t>Notes to the Carve-out Consolidated Financial Statements</w:t>
              </w:r>
            </w:hyperlink>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1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20" w:type="dxa"/>
            <w:vAlign w:val="bottom"/>
            <w:gridSpan w:val="5"/>
          </w:tcPr>
          <w:p>
            <w:pPr>
              <w:jc w:val="center"/>
              <w:ind w:right="2500"/>
              <w:spacing w:after="0"/>
              <w:rPr>
                <w:sz w:val="20"/>
                <w:szCs w:val="20"/>
                <w:color w:val="auto"/>
              </w:rPr>
            </w:pPr>
            <w:r>
              <w:rPr>
                <w:rFonts w:ascii="Times New Roman" w:cs="Times New Roman" w:eastAsia="Times New Roman" w:hAnsi="Times New Roman"/>
                <w:sz w:val="10"/>
                <w:szCs w:val="10"/>
                <w:b w:val="1"/>
                <w:bCs w:val="1"/>
                <w:color w:val="auto"/>
                <w:w w:val="97"/>
              </w:rPr>
              <w:t>ARMADA ACQUISITION CORP. I</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6"/>
              </w:rPr>
              <w:t>For the Three and Nine Month Periods Ended June 30, 2024</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3240" w:type="dxa"/>
            <w:vAlign w:val="bottom"/>
            <w:tcBorders>
              <w:bottom w:val="single" w:sz="8" w:color="0000FF"/>
            </w:tcBorders>
            <w:gridSpan w:val="9"/>
          </w:tcPr>
          <w:p>
            <w:pPr>
              <w:spacing w:after="0"/>
              <w:rPr>
                <w:rFonts w:ascii="Times New Roman" w:cs="Times New Roman" w:eastAsia="Times New Roman" w:hAnsi="Times New Roman"/>
                <w:sz w:val="10"/>
                <w:szCs w:val="10"/>
                <w:color w:val="0000FF"/>
                <w:w w:val="97"/>
              </w:rPr>
            </w:pPr>
            <w:hyperlink w:anchor="page200">
              <w:r>
                <w:rPr>
                  <w:rFonts w:ascii="Times New Roman" w:cs="Times New Roman" w:eastAsia="Times New Roman" w:hAnsi="Times New Roman"/>
                  <w:sz w:val="10"/>
                  <w:szCs w:val="10"/>
                  <w:color w:val="0000FF"/>
                  <w:w w:val="97"/>
                </w:rPr>
                <w:t>Unaudited Condensed Balance Sheets as of June 30, 2024 and September 30, 2023</w:t>
              </w:r>
            </w:hyperlink>
          </w:p>
        </w:tc>
        <w:tc>
          <w:tcPr>
            <w:tcW w:w="5320" w:type="dxa"/>
            <w:vAlign w:val="bottom"/>
            <w:gridSpan w:val="13"/>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F-61</w:t>
            </w:r>
          </w:p>
        </w:tc>
        <w:tc>
          <w:tcPr>
            <w:tcW w:w="0" w:type="dxa"/>
            <w:vAlign w:val="bottom"/>
          </w:tcPr>
          <w:p>
            <w:pPr>
              <w:spacing w:after="0"/>
              <w:rPr>
                <w:sz w:val="1"/>
                <w:szCs w:val="1"/>
                <w:color w:val="auto"/>
              </w:rPr>
            </w:pPr>
          </w:p>
        </w:tc>
      </w:tr>
      <w:tr>
        <w:trPr>
          <w:trHeight w:val="93"/>
        </w:trPr>
        <w:tc>
          <w:tcPr>
            <w:tcW w:w="4260" w:type="dxa"/>
            <w:vAlign w:val="bottom"/>
            <w:tcBorders>
              <w:bottom w:val="single" w:sz="8" w:color="0000FF"/>
            </w:tcBorders>
            <w:gridSpan w:val="15"/>
          </w:tcPr>
          <w:p>
            <w:pPr>
              <w:spacing w:after="0" w:line="93" w:lineRule="exact"/>
              <w:rPr>
                <w:rFonts w:ascii="Times New Roman" w:cs="Times New Roman" w:eastAsia="Times New Roman" w:hAnsi="Times New Roman"/>
                <w:sz w:val="10"/>
                <w:szCs w:val="10"/>
                <w:color w:val="0000FF"/>
                <w:w w:val="96"/>
              </w:rPr>
            </w:pPr>
            <w:hyperlink w:anchor="page201">
              <w:r>
                <w:rPr>
                  <w:rFonts w:ascii="Times New Roman" w:cs="Times New Roman" w:eastAsia="Times New Roman" w:hAnsi="Times New Roman"/>
                  <w:sz w:val="10"/>
                  <w:szCs w:val="10"/>
                  <w:color w:val="0000FF"/>
                  <w:w w:val="96"/>
                </w:rPr>
                <w:t>Unaudited Condensed Statements of Operations for the three and nine months-ended June 30, 2024 and 2023</w:t>
              </w:r>
            </w:hyperlink>
          </w:p>
        </w:tc>
        <w:tc>
          <w:tcPr>
            <w:tcW w:w="4300" w:type="dxa"/>
            <w:vAlign w:val="bottom"/>
            <w:gridSpan w:val="7"/>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F-62</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202">
              <w:r>
                <w:rPr>
                  <w:rFonts w:ascii="Times New Roman" w:cs="Times New Roman" w:eastAsia="Times New Roman" w:hAnsi="Times New Roman"/>
                  <w:sz w:val="10"/>
                  <w:szCs w:val="10"/>
                  <w:color w:val="0000FF"/>
                </w:rPr>
                <w:t>Unaudited Condensed Statements of Changes in Stockholders’ Deficit for the three and nine months-ended June 30, 2024 and 2023</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F-63</w:t>
            </w:r>
          </w:p>
        </w:tc>
        <w:tc>
          <w:tcPr>
            <w:tcW w:w="0" w:type="dxa"/>
            <w:vAlign w:val="bottom"/>
          </w:tcPr>
          <w:p>
            <w:pPr>
              <w:spacing w:after="0"/>
              <w:rPr>
                <w:sz w:val="1"/>
                <w:szCs w:val="1"/>
                <w:color w:val="auto"/>
              </w:rPr>
            </w:pPr>
          </w:p>
        </w:tc>
      </w:tr>
      <w:tr>
        <w:trPr>
          <w:trHeight w:val="93"/>
        </w:trPr>
        <w:tc>
          <w:tcPr>
            <w:tcW w:w="3900" w:type="dxa"/>
            <w:vAlign w:val="bottom"/>
            <w:tcBorders>
              <w:top w:val="single" w:sz="8" w:color="0000FF"/>
              <w:bottom w:val="single" w:sz="8" w:color="0000FF"/>
            </w:tcBorders>
            <w:gridSpan w:val="12"/>
          </w:tcPr>
          <w:p>
            <w:pPr>
              <w:spacing w:after="0" w:line="93" w:lineRule="exact"/>
              <w:rPr>
                <w:rFonts w:ascii="Times New Roman" w:cs="Times New Roman" w:eastAsia="Times New Roman" w:hAnsi="Times New Roman"/>
                <w:sz w:val="10"/>
                <w:szCs w:val="10"/>
                <w:color w:val="0000FF"/>
                <w:w w:val="96"/>
              </w:rPr>
            </w:pPr>
            <w:hyperlink w:anchor="page203">
              <w:r>
                <w:rPr>
                  <w:rFonts w:ascii="Times New Roman" w:cs="Times New Roman" w:eastAsia="Times New Roman" w:hAnsi="Times New Roman"/>
                  <w:sz w:val="10"/>
                  <w:szCs w:val="10"/>
                  <w:color w:val="0000FF"/>
                  <w:w w:val="96"/>
                </w:rPr>
                <w:t>Unaudited Condensed Statements of Cash Flows for the nine months ended June 30, 2024 and 2023</w:t>
              </w:r>
            </w:hyperlink>
          </w:p>
        </w:tc>
        <w:tc>
          <w:tcPr>
            <w:tcW w:w="1220" w:type="dxa"/>
            <w:vAlign w:val="bottom"/>
            <w:tcBorders>
              <w:top w:val="single" w:sz="8" w:color="0000FF"/>
            </w:tcBorders>
            <w:gridSpan w:val="6"/>
          </w:tcPr>
          <w:p>
            <w:pPr>
              <w:spacing w:after="0"/>
              <w:rPr>
                <w:sz w:val="8"/>
                <w:szCs w:val="8"/>
                <w:color w:val="auto"/>
              </w:rPr>
            </w:pPr>
          </w:p>
        </w:tc>
        <w:tc>
          <w:tcPr>
            <w:tcW w:w="3440" w:type="dxa"/>
            <w:vAlign w:val="bottom"/>
            <w:gridSpan w:val="4"/>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F-64</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204">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F-65</w:t>
            </w:r>
          </w:p>
        </w:tc>
        <w:tc>
          <w:tcPr>
            <w:tcW w:w="0" w:type="dxa"/>
            <w:vAlign w:val="bottom"/>
          </w:tcPr>
          <w:p>
            <w:pPr>
              <w:spacing w:after="0"/>
              <w:rPr>
                <w:sz w:val="1"/>
                <w:szCs w:val="1"/>
                <w:color w:val="auto"/>
              </w:rPr>
            </w:pPr>
          </w:p>
        </w:tc>
      </w:tr>
      <w:tr>
        <w:trPr>
          <w:trHeight w:val="221"/>
        </w:trPr>
        <w:tc>
          <w:tcPr>
            <w:tcW w:w="116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gridSpan w:val="6"/>
          </w:tcPr>
          <w:p>
            <w:pPr>
              <w:jc w:val="center"/>
              <w:ind w:right="2220"/>
              <w:spacing w:after="0"/>
              <w:rPr>
                <w:sz w:val="20"/>
                <w:szCs w:val="20"/>
                <w:color w:val="auto"/>
              </w:rPr>
            </w:pPr>
            <w:r>
              <w:rPr>
                <w:rFonts w:ascii="Times New Roman" w:cs="Times New Roman" w:eastAsia="Times New Roman" w:hAnsi="Times New Roman"/>
                <w:sz w:val="10"/>
                <w:szCs w:val="10"/>
                <w:b w:val="1"/>
                <w:bCs w:val="1"/>
                <w:color w:val="auto"/>
                <w:w w:val="97"/>
              </w:rPr>
              <w:t>Unaudited Condensed Financial Statements</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80" w:type="dxa"/>
            <w:vAlign w:val="bottom"/>
            <w:gridSpan w:val="8"/>
          </w:tcPr>
          <w:p>
            <w:pPr>
              <w:jc w:val="center"/>
              <w:ind w:right="2020"/>
              <w:spacing w:after="0"/>
              <w:rPr>
                <w:sz w:val="20"/>
                <w:szCs w:val="20"/>
                <w:color w:val="auto"/>
              </w:rPr>
            </w:pPr>
            <w:r>
              <w:rPr>
                <w:rFonts w:ascii="Times New Roman" w:cs="Times New Roman" w:eastAsia="Times New Roman" w:hAnsi="Times New Roman"/>
                <w:sz w:val="10"/>
                <w:szCs w:val="10"/>
                <w:color w:val="auto"/>
                <w:w w:val="97"/>
              </w:rPr>
              <w:t>For the Three and Six Month Periods Ended March 31, 2024</w:t>
            </w: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560" w:type="dxa"/>
            <w:vAlign w:val="bottom"/>
            <w:gridSpan w:val="22"/>
          </w:tcPr>
          <w:p>
            <w:pPr>
              <w:spacing w:after="0"/>
              <w:rPr>
                <w:rFonts w:ascii="Times New Roman" w:cs="Times New Roman" w:eastAsia="Times New Roman" w:hAnsi="Times New Roman"/>
                <w:sz w:val="10"/>
                <w:szCs w:val="10"/>
                <w:color w:val="0000FF"/>
              </w:rPr>
            </w:pPr>
            <w:hyperlink w:anchor="page224">
              <w:r>
                <w:rPr>
                  <w:rFonts w:ascii="Times New Roman" w:cs="Times New Roman" w:eastAsia="Times New Roman" w:hAnsi="Times New Roman"/>
                  <w:sz w:val="10"/>
                  <w:szCs w:val="10"/>
                  <w:color w:val="0000FF"/>
                </w:rPr>
                <w:t>Unaudited Condensed Balance Sheets as of March 31, 2024 and September 30, 202</w:t>
              </w:r>
            </w:hyperlink>
            <w:r>
              <w:rPr>
                <w:rFonts w:ascii="Times New Roman" w:cs="Times New Roman" w:eastAsia="Times New Roman" w:hAnsi="Times New Roman"/>
                <w:sz w:val="10"/>
                <w:szCs w:val="10"/>
                <w:color w:val="000000"/>
              </w:rPr>
              <w:t>3</w:t>
            </w:r>
          </w:p>
        </w:tc>
        <w:tc>
          <w:tcPr>
            <w:tcW w:w="2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F-85</w:t>
            </w:r>
          </w:p>
        </w:tc>
        <w:tc>
          <w:tcPr>
            <w:tcW w:w="0" w:type="dxa"/>
            <w:vAlign w:val="bottom"/>
          </w:tcPr>
          <w:p>
            <w:pPr>
              <w:spacing w:after="0"/>
              <w:rPr>
                <w:sz w:val="1"/>
                <w:szCs w:val="1"/>
                <w:color w:val="auto"/>
              </w:rPr>
            </w:pPr>
          </w:p>
        </w:tc>
      </w:tr>
      <w:tr>
        <w:trPr>
          <w:trHeight w:val="20"/>
        </w:trPr>
        <w:tc>
          <w:tcPr>
            <w:tcW w:w="3260" w:type="dxa"/>
            <w:vAlign w:val="bottom"/>
            <w:gridSpan w:val="10"/>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60" w:type="dxa"/>
            <w:vAlign w:val="bottom"/>
            <w:vMerge w:val="restart"/>
          </w:tcPr>
          <w:p>
            <w:pPr>
              <w:jc w:val="right"/>
              <w:spacing w:after="0" w:line="113" w:lineRule="exact"/>
              <w:rPr>
                <w:sz w:val="20"/>
                <w:szCs w:val="20"/>
                <w:color w:val="auto"/>
              </w:rPr>
            </w:pPr>
            <w:r>
              <w:rPr>
                <w:rFonts w:ascii="Times New Roman" w:cs="Times New Roman" w:eastAsia="Times New Roman" w:hAnsi="Times New Roman"/>
                <w:sz w:val="10"/>
                <w:szCs w:val="10"/>
                <w:color w:val="auto"/>
              </w:rPr>
              <w:t>F-86</w:t>
            </w:r>
          </w:p>
        </w:tc>
        <w:tc>
          <w:tcPr>
            <w:tcW w:w="0" w:type="dxa"/>
            <w:vAlign w:val="bottom"/>
          </w:tcPr>
          <w:p>
            <w:pPr>
              <w:spacing w:after="0" w:line="20" w:lineRule="exact"/>
              <w:rPr>
                <w:sz w:val="1"/>
                <w:szCs w:val="1"/>
                <w:color w:val="auto"/>
              </w:rPr>
            </w:pPr>
          </w:p>
        </w:tc>
      </w:tr>
      <w:tr>
        <w:trPr>
          <w:trHeight w:val="93"/>
        </w:trPr>
        <w:tc>
          <w:tcPr>
            <w:tcW w:w="4280" w:type="dxa"/>
            <w:vAlign w:val="bottom"/>
            <w:tcBorders>
              <w:bottom w:val="single" w:sz="8" w:color="0000FF"/>
            </w:tcBorders>
            <w:gridSpan w:val="16"/>
          </w:tcPr>
          <w:p>
            <w:pPr>
              <w:spacing w:after="0" w:line="93" w:lineRule="exact"/>
              <w:rPr>
                <w:rFonts w:ascii="Times New Roman" w:cs="Times New Roman" w:eastAsia="Times New Roman" w:hAnsi="Times New Roman"/>
                <w:sz w:val="10"/>
                <w:szCs w:val="10"/>
                <w:color w:val="0000FF"/>
                <w:w w:val="96"/>
              </w:rPr>
            </w:pPr>
            <w:hyperlink w:anchor="page225">
              <w:r>
                <w:rPr>
                  <w:rFonts w:ascii="Times New Roman" w:cs="Times New Roman" w:eastAsia="Times New Roman" w:hAnsi="Times New Roman"/>
                  <w:sz w:val="10"/>
                  <w:szCs w:val="10"/>
                  <w:color w:val="0000FF"/>
                  <w:w w:val="96"/>
                </w:rPr>
                <w:t>Unaudited Condensed Statements of Operations for the three and six months-ended March 31, 2024 and 2023</w:t>
              </w:r>
            </w:hyperlink>
          </w:p>
        </w:tc>
        <w:tc>
          <w:tcPr>
            <w:tcW w:w="4280" w:type="dxa"/>
            <w:vAlign w:val="bottom"/>
            <w:gridSpan w:val="6"/>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160" w:type="dxa"/>
            <w:vAlign w:val="bottom"/>
            <w:tcBorders>
              <w:bottom w:val="single" w:sz="8" w:color="0000FF"/>
            </w:tcBorders>
            <w:gridSpan w:val="20"/>
          </w:tcPr>
          <w:p>
            <w:pPr>
              <w:spacing w:after="0" w:line="93" w:lineRule="exact"/>
              <w:rPr>
                <w:rFonts w:ascii="Times New Roman" w:cs="Times New Roman" w:eastAsia="Times New Roman" w:hAnsi="Times New Roman"/>
                <w:sz w:val="10"/>
                <w:szCs w:val="10"/>
                <w:color w:val="0000FF"/>
                <w:w w:val="97"/>
              </w:rPr>
            </w:pPr>
            <w:hyperlink w:anchor="page226">
              <w:r>
                <w:rPr>
                  <w:rFonts w:ascii="Times New Roman" w:cs="Times New Roman" w:eastAsia="Times New Roman" w:hAnsi="Times New Roman"/>
                  <w:sz w:val="10"/>
                  <w:szCs w:val="10"/>
                  <w:color w:val="0000FF"/>
                  <w:w w:val="97"/>
                </w:rPr>
                <w:t>Unaudited Condensed Statements of Changes in Stockholders’ Deficit for the three and six months-ended March 31, 2024 and 2023</w:t>
              </w:r>
            </w:hyperlink>
          </w:p>
        </w:tc>
        <w:tc>
          <w:tcPr>
            <w:tcW w:w="3400" w:type="dxa"/>
            <w:vAlign w:val="bottom"/>
            <w:gridSpan w:val="2"/>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F-87</w:t>
            </w:r>
          </w:p>
        </w:tc>
        <w:tc>
          <w:tcPr>
            <w:tcW w:w="0" w:type="dxa"/>
            <w:vAlign w:val="bottom"/>
          </w:tcPr>
          <w:p>
            <w:pPr>
              <w:spacing w:after="0"/>
              <w:rPr>
                <w:sz w:val="1"/>
                <w:szCs w:val="1"/>
                <w:color w:val="auto"/>
              </w:rPr>
            </w:pPr>
          </w:p>
        </w:tc>
      </w:tr>
      <w:tr>
        <w:trPr>
          <w:trHeight w:val="93"/>
        </w:trPr>
        <w:tc>
          <w:tcPr>
            <w:tcW w:w="3920" w:type="dxa"/>
            <w:vAlign w:val="bottom"/>
            <w:tcBorders>
              <w:bottom w:val="single" w:sz="8" w:color="0000FF"/>
            </w:tcBorders>
            <w:gridSpan w:val="13"/>
          </w:tcPr>
          <w:p>
            <w:pPr>
              <w:spacing w:after="0" w:line="93" w:lineRule="exact"/>
              <w:rPr>
                <w:rFonts w:ascii="Times New Roman" w:cs="Times New Roman" w:eastAsia="Times New Roman" w:hAnsi="Times New Roman"/>
                <w:sz w:val="10"/>
                <w:szCs w:val="10"/>
                <w:color w:val="0000FF"/>
                <w:w w:val="96"/>
              </w:rPr>
            </w:pPr>
            <w:hyperlink w:anchor="page227">
              <w:r>
                <w:rPr>
                  <w:rFonts w:ascii="Times New Roman" w:cs="Times New Roman" w:eastAsia="Times New Roman" w:hAnsi="Times New Roman"/>
                  <w:sz w:val="10"/>
                  <w:szCs w:val="10"/>
                  <w:color w:val="0000FF"/>
                  <w:w w:val="96"/>
                </w:rPr>
                <w:t>Unaudited Condensed Statements of Cash Flows for the six months ended March 31, 2024 and 2023</w:t>
              </w:r>
            </w:hyperlink>
          </w:p>
        </w:tc>
        <w:tc>
          <w:tcPr>
            <w:tcW w:w="4640" w:type="dxa"/>
            <w:vAlign w:val="bottom"/>
            <w:gridSpan w:val="9"/>
          </w:tcPr>
          <w:p>
            <w:pPr>
              <w:spacing w:after="0"/>
              <w:rPr>
                <w:sz w:val="8"/>
                <w:szCs w:val="8"/>
                <w:color w:val="auto"/>
              </w:rPr>
            </w:pPr>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F-88</w:t>
            </w:r>
          </w:p>
        </w:tc>
        <w:tc>
          <w:tcPr>
            <w:tcW w:w="0" w:type="dxa"/>
            <w:vAlign w:val="bottom"/>
          </w:tcPr>
          <w:p>
            <w:pPr>
              <w:spacing w:after="0"/>
              <w:rPr>
                <w:sz w:val="1"/>
                <w:szCs w:val="1"/>
                <w:color w:val="auto"/>
              </w:rPr>
            </w:pPr>
          </w:p>
        </w:tc>
      </w:tr>
      <w:tr>
        <w:trPr>
          <w:trHeight w:val="93"/>
        </w:trPr>
        <w:tc>
          <w:tcPr>
            <w:tcW w:w="8560" w:type="dxa"/>
            <w:vAlign w:val="bottom"/>
            <w:gridSpan w:val="22"/>
          </w:tcPr>
          <w:p>
            <w:pPr>
              <w:spacing w:after="0" w:line="93" w:lineRule="exact"/>
              <w:rPr>
                <w:rFonts w:ascii="Times New Roman" w:cs="Times New Roman" w:eastAsia="Times New Roman" w:hAnsi="Times New Roman"/>
                <w:sz w:val="10"/>
                <w:szCs w:val="10"/>
                <w:color w:val="0000FF"/>
              </w:rPr>
            </w:pPr>
            <w:hyperlink w:anchor="page228">
              <w:r>
                <w:rPr>
                  <w:rFonts w:ascii="Times New Roman" w:cs="Times New Roman" w:eastAsia="Times New Roman" w:hAnsi="Times New Roman"/>
                  <w:sz w:val="10"/>
                  <w:szCs w:val="10"/>
                  <w:color w:val="0000FF"/>
                </w:rPr>
                <w:t>Notes to Unaudited Condensed Financial Statements</w:t>
              </w:r>
            </w:hyperlink>
          </w:p>
        </w:tc>
        <w:tc>
          <w:tcPr>
            <w:tcW w:w="20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color w:val="auto"/>
              </w:rPr>
              <w:t>F-89</w:t>
            </w:r>
          </w:p>
        </w:tc>
        <w:tc>
          <w:tcPr>
            <w:tcW w:w="0" w:type="dxa"/>
            <w:vAlign w:val="bottom"/>
          </w:tcPr>
          <w:p>
            <w:pPr>
              <w:spacing w:after="0"/>
              <w:rPr>
                <w:sz w:val="1"/>
                <w:szCs w:val="1"/>
                <w:color w:val="auto"/>
              </w:rPr>
            </w:pPr>
          </w:p>
        </w:tc>
      </w:tr>
      <w:tr>
        <w:trPr>
          <w:trHeight w:val="345"/>
        </w:trPr>
        <w:tc>
          <w:tcPr>
            <w:tcW w:w="1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2"/>
          </w:tcPr>
          <w:p>
            <w:pPr>
              <w:jc w:val="center"/>
              <w:ind w:right="3100"/>
              <w:spacing w:after="0"/>
              <w:rPr>
                <w:sz w:val="20"/>
                <w:szCs w:val="20"/>
                <w:color w:val="auto"/>
              </w:rPr>
            </w:pPr>
            <w:r>
              <w:rPr>
                <w:rFonts w:ascii="Times New Roman" w:cs="Times New Roman" w:eastAsia="Times New Roman" w:hAnsi="Times New Roman"/>
                <w:sz w:val="10"/>
                <w:szCs w:val="10"/>
                <w:color w:val="auto"/>
              </w:rPr>
              <w:t>F-1</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1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20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-3266440</wp:posOffset>
            </wp:positionV>
            <wp:extent cx="14605" cy="50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-2980690</wp:posOffset>
            </wp:positionV>
            <wp:extent cx="14605" cy="50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 cy="5080"/>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-2252345</wp:posOffset>
            </wp:positionV>
            <wp:extent cx="14605" cy="50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05" cy="5080"/>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Three Month Periods Ended 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40" w:type="dxa"/>
            <w:vAlign w:val="bottom"/>
            <w:tcBorders>
              <w:bottom w:val="single" w:sz="8" w:color="0000FF"/>
            </w:tcBorders>
            <w:gridSpan w:val="8"/>
          </w:tcPr>
          <w:p>
            <w:pPr>
              <w:spacing w:after="0"/>
              <w:rPr>
                <w:rFonts w:ascii="Times New Roman" w:cs="Times New Roman" w:eastAsia="Times New Roman" w:hAnsi="Times New Roman"/>
                <w:sz w:val="10"/>
                <w:szCs w:val="10"/>
                <w:color w:val="0000FF"/>
                <w:w w:val="97"/>
              </w:rPr>
            </w:pPr>
            <w:hyperlink w:anchor="page245">
              <w:r>
                <w:rPr>
                  <w:rFonts w:ascii="Times New Roman" w:cs="Times New Roman" w:eastAsia="Times New Roman" w:hAnsi="Times New Roman"/>
                  <w:sz w:val="10"/>
                  <w:szCs w:val="10"/>
                  <w:color w:val="0000FF"/>
                  <w:w w:val="97"/>
                </w:rPr>
                <w:t>Condensed Balance Sheets as of December 31, 2023 (Unaudited) and September 30, 2023</w:t>
              </w:r>
            </w:hyperlink>
          </w:p>
        </w:tc>
        <w:tc>
          <w:tcPr>
            <w:tcW w:w="4800" w:type="dxa"/>
            <w:vAlign w:val="bottom"/>
            <w:gridSpan w:val="4"/>
          </w:tcPr>
          <w:p>
            <w:pPr>
              <w:spacing w:after="0"/>
              <w:rPr>
                <w:sz w:val="10"/>
                <w:szCs w:val="10"/>
                <w:color w:val="auto"/>
              </w:rPr>
            </w:pP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F-106</w:t>
            </w:r>
          </w:p>
        </w:tc>
        <w:tc>
          <w:tcPr>
            <w:tcW w:w="0" w:type="dxa"/>
            <w:vAlign w:val="bottom"/>
          </w:tcPr>
          <w:p>
            <w:pPr>
              <w:spacing w:after="0"/>
              <w:rPr>
                <w:sz w:val="1"/>
                <w:szCs w:val="1"/>
                <w:color w:val="auto"/>
              </w:rPr>
            </w:pPr>
          </w:p>
        </w:tc>
      </w:tr>
      <w:tr>
        <w:trPr>
          <w:trHeight w:val="93"/>
        </w:trPr>
        <w:tc>
          <w:tcPr>
            <w:tcW w:w="418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6"/>
              </w:rPr>
            </w:pPr>
            <w:hyperlink w:anchor="page246">
              <w:r>
                <w:rPr>
                  <w:rFonts w:ascii="Times New Roman" w:cs="Times New Roman" w:eastAsia="Times New Roman" w:hAnsi="Times New Roman"/>
                  <w:sz w:val="10"/>
                  <w:szCs w:val="10"/>
                  <w:color w:val="0000FF"/>
                  <w:w w:val="96"/>
                </w:rPr>
                <w:t>Condensed Statements of Operations for the three months ended December 31, 2023 and 2022 (Unaudited)</w:t>
              </w:r>
            </w:hyperlink>
          </w:p>
        </w:tc>
        <w:tc>
          <w:tcPr>
            <w:tcW w:w="4160" w:type="dxa"/>
            <w:vAlign w:val="bottom"/>
            <w:gridSpan w:val="3"/>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F-107</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47">
              <w:r>
                <w:rPr>
                  <w:rFonts w:ascii="Times New Roman" w:cs="Times New Roman" w:eastAsia="Times New Roman" w:hAnsi="Times New Roman"/>
                  <w:sz w:val="10"/>
                  <w:szCs w:val="10"/>
                  <w:color w:val="0000FF"/>
                </w:rPr>
                <w:t>Condensed Statements of Changes in Stockholders’ Deficit for the three months ended December 31, 2023 and 2022 (Unaudited)</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F-108</w:t>
            </w:r>
          </w:p>
        </w:tc>
        <w:tc>
          <w:tcPr>
            <w:tcW w:w="0" w:type="dxa"/>
            <w:vAlign w:val="bottom"/>
          </w:tcPr>
          <w:p>
            <w:pPr>
              <w:spacing w:after="0"/>
              <w:rPr>
                <w:sz w:val="1"/>
                <w:szCs w:val="1"/>
                <w:color w:val="auto"/>
              </w:rPr>
            </w:pPr>
          </w:p>
        </w:tc>
      </w:tr>
      <w:tr>
        <w:trPr>
          <w:trHeight w:val="93"/>
        </w:trPr>
        <w:tc>
          <w:tcPr>
            <w:tcW w:w="4220" w:type="dxa"/>
            <w:vAlign w:val="bottom"/>
            <w:tcBorders>
              <w:top w:val="single" w:sz="8" w:color="0000FF"/>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w:anchor="page248">
              <w:r>
                <w:rPr>
                  <w:rFonts w:ascii="Times New Roman" w:cs="Times New Roman" w:eastAsia="Times New Roman" w:hAnsi="Times New Roman"/>
                  <w:sz w:val="10"/>
                  <w:szCs w:val="10"/>
                  <w:color w:val="0000FF"/>
                  <w:w w:val="97"/>
                </w:rPr>
                <w:t>Condensed Statements of Cash Flows for the three months ended December 31, 2023 and 2022 (Unaudited)</w:t>
              </w:r>
            </w:hyperlink>
          </w:p>
        </w:tc>
        <w:tc>
          <w:tcPr>
            <w:tcW w:w="820" w:type="dxa"/>
            <w:vAlign w:val="bottom"/>
            <w:tcBorders>
              <w:top w:val="single" w:sz="8" w:color="0000FF"/>
            </w:tcBorders>
          </w:tcPr>
          <w:p>
            <w:pPr>
              <w:spacing w:after="0"/>
              <w:rPr>
                <w:sz w:val="8"/>
                <w:szCs w:val="8"/>
                <w:color w:val="auto"/>
              </w:rPr>
            </w:pPr>
          </w:p>
        </w:tc>
        <w:tc>
          <w:tcPr>
            <w:tcW w:w="3300" w:type="dxa"/>
            <w:vAlign w:val="bottom"/>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F-109</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49">
              <w:r>
                <w:rPr>
                  <w:rFonts w:ascii="Times New Roman" w:cs="Times New Roman" w:eastAsia="Times New Roman" w:hAnsi="Times New Roman"/>
                  <w:sz w:val="10"/>
                  <w:szCs w:val="10"/>
                  <w:color w:val="0000FF"/>
                </w:rPr>
                <w:t>Notes to Unaudited Condensed Financial Statements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F-110</w:t>
            </w:r>
          </w:p>
        </w:tc>
        <w:tc>
          <w:tcPr>
            <w:tcW w:w="0" w:type="dxa"/>
            <w:vAlign w:val="bottom"/>
          </w:tcPr>
          <w:p>
            <w:pPr>
              <w:spacing w:after="0"/>
              <w:rPr>
                <w:sz w:val="1"/>
                <w:szCs w:val="1"/>
                <w:color w:val="auto"/>
              </w:rPr>
            </w:pPr>
          </w:p>
        </w:tc>
      </w:tr>
      <w:tr>
        <w:trPr>
          <w:trHeight w:val="221"/>
        </w:trPr>
        <w:tc>
          <w:tcPr>
            <w:tcW w:w="60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120" w:type="dxa"/>
            <w:vAlign w:val="bottom"/>
            <w:gridSpan w:val="2"/>
          </w:tcPr>
          <w:p>
            <w:pPr>
              <w:jc w:val="center"/>
              <w:ind w:right="1911"/>
              <w:spacing w:after="0"/>
              <w:rPr>
                <w:sz w:val="20"/>
                <w:szCs w:val="20"/>
                <w:color w:val="auto"/>
              </w:rPr>
            </w:pPr>
            <w:r>
              <w:rPr>
                <w:rFonts w:ascii="Times New Roman" w:cs="Times New Roman" w:eastAsia="Times New Roman" w:hAnsi="Times New Roman"/>
                <w:sz w:val="10"/>
                <w:szCs w:val="10"/>
                <w:b w:val="1"/>
                <w:bCs w:val="1"/>
                <w:color w:val="auto"/>
                <w:w w:val="98"/>
              </w:rPr>
              <w:t>Financial Statements</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120" w:type="dxa"/>
            <w:vAlign w:val="bottom"/>
            <w:gridSpan w:val="2"/>
          </w:tcPr>
          <w:p>
            <w:pPr>
              <w:jc w:val="center"/>
              <w:ind w:right="1911"/>
              <w:spacing w:after="0"/>
              <w:rPr>
                <w:sz w:val="20"/>
                <w:szCs w:val="20"/>
                <w:color w:val="auto"/>
              </w:rPr>
            </w:pPr>
            <w:r>
              <w:rPr>
                <w:rFonts w:ascii="Times New Roman" w:cs="Times New Roman" w:eastAsia="Times New Roman" w:hAnsi="Times New Roman"/>
                <w:sz w:val="10"/>
                <w:szCs w:val="10"/>
                <w:color w:val="auto"/>
                <w:w w:val="97"/>
              </w:rPr>
              <w:t>For the years ended September 30, 2023 and 2022</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340" w:type="dxa"/>
            <w:vAlign w:val="bottom"/>
            <w:gridSpan w:val="12"/>
          </w:tcPr>
          <w:p>
            <w:pPr>
              <w:spacing w:after="0"/>
              <w:rPr>
                <w:rFonts w:ascii="Times New Roman" w:cs="Times New Roman" w:eastAsia="Times New Roman" w:hAnsi="Times New Roman"/>
                <w:sz w:val="10"/>
                <w:szCs w:val="10"/>
                <w:color w:val="0000FF"/>
              </w:rPr>
            </w:pPr>
            <w:hyperlink w:anchor="page266">
              <w:r>
                <w:rPr>
                  <w:rFonts w:ascii="Times New Roman" w:cs="Times New Roman" w:eastAsia="Times New Roman" w:hAnsi="Times New Roman"/>
                  <w:sz w:val="10"/>
                  <w:szCs w:val="10"/>
                  <w:color w:val="0000FF"/>
                </w:rPr>
                <w:t xml:space="preserve">Report of Independent Registered Public Accounting Firm </w:t>
              </w:r>
            </w:hyperlink>
            <w:r>
              <w:rPr>
                <w:rFonts w:ascii="Times New Roman" w:cs="Times New Roman" w:eastAsia="Times New Roman" w:hAnsi="Times New Roman"/>
                <w:sz w:val="10"/>
                <w:szCs w:val="10"/>
                <w:color w:val="000000"/>
              </w:rPr>
              <w:t>(PCAOB</w:t>
            </w:r>
            <w:r>
              <w:rPr>
                <w:rFonts w:ascii="Times New Roman" w:cs="Times New Roman" w:eastAsia="Times New Roman" w:hAnsi="Times New Roman"/>
                <w:sz w:val="10"/>
                <w:szCs w:val="10"/>
                <w:color w:val="0000FF"/>
              </w:rPr>
              <w:t xml:space="preserve"> </w:t>
            </w:r>
            <w:r>
              <w:rPr>
                <w:rFonts w:ascii="Times New Roman" w:cs="Times New Roman" w:eastAsia="Times New Roman" w:hAnsi="Times New Roman"/>
                <w:sz w:val="10"/>
                <w:szCs w:val="10"/>
                <w:color w:val="000000"/>
              </w:rPr>
              <w:t>ID#688)</w:t>
            </w:r>
          </w:p>
        </w:tc>
        <w:tc>
          <w:tcPr>
            <w:tcW w:w="2280" w:type="dxa"/>
            <w:vAlign w:val="bottom"/>
          </w:tcPr>
          <w:p>
            <w:pPr>
              <w:ind w:left="2040"/>
              <w:spacing w:after="0"/>
              <w:rPr>
                <w:sz w:val="20"/>
                <w:szCs w:val="20"/>
                <w:color w:val="auto"/>
              </w:rPr>
            </w:pPr>
            <w:r>
              <w:rPr>
                <w:rFonts w:ascii="Times New Roman" w:cs="Times New Roman" w:eastAsia="Times New Roman" w:hAnsi="Times New Roman"/>
                <w:sz w:val="10"/>
                <w:szCs w:val="10"/>
                <w:color w:val="auto"/>
                <w:w w:val="91"/>
              </w:rPr>
              <w:t>F-127</w:t>
            </w:r>
          </w:p>
        </w:tc>
        <w:tc>
          <w:tcPr>
            <w:tcW w:w="0" w:type="dxa"/>
            <w:vAlign w:val="bottom"/>
          </w:tcPr>
          <w:p>
            <w:pPr>
              <w:spacing w:after="0"/>
              <w:rPr>
                <w:sz w:val="1"/>
                <w:szCs w:val="1"/>
                <w:color w:val="auto"/>
              </w:rPr>
            </w:pPr>
          </w:p>
        </w:tc>
      </w:tr>
      <w:tr>
        <w:trPr>
          <w:trHeight w:val="93"/>
        </w:trPr>
        <w:tc>
          <w:tcPr>
            <w:tcW w:w="600" w:type="dxa"/>
            <w:vAlign w:val="bottom"/>
            <w:tcBorders>
              <w:top w:val="single" w:sz="8" w:color="0000FF"/>
              <w:bottom w:val="single" w:sz="8" w:color="0000FF"/>
            </w:tcBorders>
          </w:tcPr>
          <w:p>
            <w:pPr>
              <w:spacing w:after="0" w:line="93" w:lineRule="exact"/>
              <w:rPr>
                <w:rFonts w:ascii="Times New Roman" w:cs="Times New Roman" w:eastAsia="Times New Roman" w:hAnsi="Times New Roman"/>
                <w:sz w:val="10"/>
                <w:szCs w:val="10"/>
                <w:color w:val="0000FF"/>
                <w:w w:val="95"/>
              </w:rPr>
            </w:pPr>
            <w:hyperlink w:anchor="page267">
              <w:r>
                <w:rPr>
                  <w:rFonts w:ascii="Times New Roman" w:cs="Times New Roman" w:eastAsia="Times New Roman" w:hAnsi="Times New Roman"/>
                  <w:sz w:val="10"/>
                  <w:szCs w:val="10"/>
                  <w:color w:val="0000FF"/>
                  <w:w w:val="95"/>
                </w:rPr>
                <w:t>Balance Sheets</w:t>
              </w:r>
            </w:hyperlink>
          </w:p>
        </w:tc>
        <w:tc>
          <w:tcPr>
            <w:tcW w:w="1680" w:type="dxa"/>
            <w:vAlign w:val="bottom"/>
            <w:tcBorders>
              <w:top w:val="single" w:sz="8" w:color="0000FF"/>
            </w:tcBorders>
            <w:gridSpan w:val="6"/>
          </w:tcPr>
          <w:p>
            <w:pPr>
              <w:spacing w:after="0"/>
              <w:rPr>
                <w:sz w:val="8"/>
                <w:szCs w:val="8"/>
                <w:color w:val="auto"/>
              </w:rPr>
            </w:pPr>
          </w:p>
        </w:tc>
        <w:tc>
          <w:tcPr>
            <w:tcW w:w="6060" w:type="dxa"/>
            <w:vAlign w:val="bottom"/>
            <w:gridSpan w:val="5"/>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F-128</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8">
              <w:r>
                <w:rPr>
                  <w:rFonts w:ascii="Times New Roman" w:cs="Times New Roman" w:eastAsia="Times New Roman" w:hAnsi="Times New Roman"/>
                  <w:sz w:val="10"/>
                  <w:szCs w:val="10"/>
                  <w:color w:val="0000FF"/>
                </w:rPr>
                <w:t>Statements of Operations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F-129</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140" w:type="dxa"/>
            <w:vAlign w:val="bottom"/>
            <w:gridSpan w:val="6"/>
          </w:tcPr>
          <w:p>
            <w:pPr>
              <w:spacing w:after="0" w:line="20" w:lineRule="exact"/>
              <w:rPr>
                <w:sz w:val="1"/>
                <w:szCs w:val="1"/>
                <w:color w:val="auto"/>
              </w:rPr>
            </w:pPr>
          </w:p>
        </w:tc>
        <w:tc>
          <w:tcPr>
            <w:tcW w:w="2280" w:type="dxa"/>
            <w:vAlign w:val="bottom"/>
            <w:vMerge w:val="restart"/>
          </w:tcPr>
          <w:p>
            <w:pPr>
              <w:ind w:left="2040"/>
              <w:spacing w:after="0" w:line="113" w:lineRule="exact"/>
              <w:rPr>
                <w:sz w:val="20"/>
                <w:szCs w:val="20"/>
                <w:color w:val="auto"/>
              </w:rPr>
            </w:pPr>
            <w:r>
              <w:rPr>
                <w:rFonts w:ascii="Times New Roman" w:cs="Times New Roman" w:eastAsia="Times New Roman" w:hAnsi="Times New Roman"/>
                <w:sz w:val="10"/>
                <w:szCs w:val="10"/>
                <w:color w:val="auto"/>
                <w:w w:val="91"/>
              </w:rPr>
              <w:t>F-130</w:t>
            </w:r>
          </w:p>
        </w:tc>
        <w:tc>
          <w:tcPr>
            <w:tcW w:w="0" w:type="dxa"/>
            <w:vAlign w:val="bottom"/>
          </w:tcPr>
          <w:p>
            <w:pPr>
              <w:spacing w:after="0" w:line="20" w:lineRule="exact"/>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69">
              <w:r>
                <w:rPr>
                  <w:rFonts w:ascii="Times New Roman" w:cs="Times New Roman" w:eastAsia="Times New Roman" w:hAnsi="Times New Roman"/>
                  <w:sz w:val="10"/>
                  <w:szCs w:val="10"/>
                  <w:color w:val="0000FF"/>
                </w:rPr>
                <w:t>Statements of Changes in Stockholders’ Equity (Deficit)</w:t>
              </w:r>
            </w:hyperlink>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20" w:type="dxa"/>
            <w:vAlign w:val="bottom"/>
            <w:tcBorders>
              <w:top w:val="single" w:sz="8" w:color="0000FF"/>
              <w:bottom w:val="single" w:sz="8" w:color="0000FF"/>
            </w:tcBorders>
            <w:gridSpan w:val="3"/>
          </w:tcPr>
          <w:p>
            <w:pPr>
              <w:spacing w:after="0" w:line="93" w:lineRule="exact"/>
              <w:rPr>
                <w:rFonts w:ascii="Times New Roman" w:cs="Times New Roman" w:eastAsia="Times New Roman" w:hAnsi="Times New Roman"/>
                <w:sz w:val="10"/>
                <w:szCs w:val="10"/>
                <w:color w:val="0000FF"/>
                <w:w w:val="95"/>
              </w:rPr>
            </w:pPr>
            <w:hyperlink w:anchor="page270">
              <w:r>
                <w:rPr>
                  <w:rFonts w:ascii="Times New Roman" w:cs="Times New Roman" w:eastAsia="Times New Roman" w:hAnsi="Times New Roman"/>
                  <w:sz w:val="10"/>
                  <w:szCs w:val="10"/>
                  <w:color w:val="0000FF"/>
                  <w:w w:val="95"/>
                </w:rPr>
                <w:t>Statements of Cash Flows</w:t>
              </w:r>
            </w:hyperlink>
          </w:p>
        </w:tc>
        <w:tc>
          <w:tcPr>
            <w:tcW w:w="1180" w:type="dxa"/>
            <w:vAlign w:val="bottom"/>
            <w:tcBorders>
              <w:top w:val="single" w:sz="8" w:color="0000FF"/>
            </w:tcBorders>
            <w:gridSpan w:val="3"/>
          </w:tcPr>
          <w:p>
            <w:pPr>
              <w:spacing w:after="0"/>
              <w:rPr>
                <w:sz w:val="8"/>
                <w:szCs w:val="8"/>
                <w:color w:val="auto"/>
              </w:rPr>
            </w:pPr>
          </w:p>
        </w:tc>
        <w:tc>
          <w:tcPr>
            <w:tcW w:w="6140" w:type="dxa"/>
            <w:vAlign w:val="bottom"/>
            <w:gridSpan w:val="6"/>
          </w:tcPr>
          <w:p>
            <w:pPr>
              <w:spacing w:after="0"/>
              <w:rPr>
                <w:sz w:val="8"/>
                <w:szCs w:val="8"/>
                <w:color w:val="auto"/>
              </w:rPr>
            </w:pPr>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F-131</w:t>
            </w:r>
          </w:p>
        </w:tc>
        <w:tc>
          <w:tcPr>
            <w:tcW w:w="0" w:type="dxa"/>
            <w:vAlign w:val="bottom"/>
          </w:tcPr>
          <w:p>
            <w:pPr>
              <w:spacing w:after="0"/>
              <w:rPr>
                <w:sz w:val="1"/>
                <w:szCs w:val="1"/>
                <w:color w:val="auto"/>
              </w:rPr>
            </w:pPr>
          </w:p>
        </w:tc>
      </w:tr>
      <w:tr>
        <w:trPr>
          <w:trHeight w:val="93"/>
        </w:trPr>
        <w:tc>
          <w:tcPr>
            <w:tcW w:w="8340" w:type="dxa"/>
            <w:vAlign w:val="bottom"/>
            <w:gridSpan w:val="12"/>
          </w:tcPr>
          <w:p>
            <w:pPr>
              <w:spacing w:after="0" w:line="93" w:lineRule="exact"/>
              <w:rPr>
                <w:rFonts w:ascii="Times New Roman" w:cs="Times New Roman" w:eastAsia="Times New Roman" w:hAnsi="Times New Roman"/>
                <w:sz w:val="10"/>
                <w:szCs w:val="10"/>
                <w:color w:val="0000FF"/>
              </w:rPr>
            </w:pPr>
            <w:hyperlink w:anchor="page271">
              <w:r>
                <w:rPr>
                  <w:rFonts w:ascii="Times New Roman" w:cs="Times New Roman" w:eastAsia="Times New Roman" w:hAnsi="Times New Roman"/>
                  <w:sz w:val="10"/>
                  <w:szCs w:val="10"/>
                  <w:color w:val="0000FF"/>
                </w:rPr>
                <w:t>Notes to Financial Statements</w:t>
              </w:r>
            </w:hyperlink>
          </w:p>
        </w:tc>
        <w:tc>
          <w:tcPr>
            <w:tcW w:w="2280" w:type="dxa"/>
            <w:vAlign w:val="bottom"/>
          </w:tcPr>
          <w:p>
            <w:pPr>
              <w:ind w:left="2040"/>
              <w:spacing w:after="0" w:line="93" w:lineRule="exact"/>
              <w:rPr>
                <w:sz w:val="20"/>
                <w:szCs w:val="20"/>
                <w:color w:val="auto"/>
              </w:rPr>
            </w:pPr>
            <w:r>
              <w:rPr>
                <w:rFonts w:ascii="Times New Roman" w:cs="Times New Roman" w:eastAsia="Times New Roman" w:hAnsi="Times New Roman"/>
                <w:sz w:val="10"/>
                <w:szCs w:val="10"/>
                <w:color w:val="auto"/>
                <w:w w:val="91"/>
              </w:rPr>
              <w:t>F-132</w:t>
            </w:r>
          </w:p>
        </w:tc>
        <w:tc>
          <w:tcPr>
            <w:tcW w:w="0" w:type="dxa"/>
            <w:vAlign w:val="bottom"/>
          </w:tcPr>
          <w:p>
            <w:pPr>
              <w:spacing w:after="0"/>
              <w:rPr>
                <w:sz w:val="1"/>
                <w:szCs w:val="1"/>
                <w:color w:val="auto"/>
              </w:rPr>
            </w:pPr>
          </w:p>
        </w:tc>
      </w:tr>
      <w:tr>
        <w:trPr>
          <w:trHeight w:val="346"/>
        </w:trPr>
        <w:tc>
          <w:tcPr>
            <w:tcW w:w="6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jc w:val="center"/>
              <w:ind w:right="2711"/>
              <w:spacing w:after="0"/>
              <w:rPr>
                <w:sz w:val="20"/>
                <w:szCs w:val="20"/>
                <w:color w:val="auto"/>
              </w:rPr>
            </w:pPr>
            <w:r>
              <w:rPr>
                <w:rFonts w:ascii="Times New Roman" w:cs="Times New Roman" w:eastAsia="Times New Roman" w:hAnsi="Times New Roman"/>
                <w:sz w:val="10"/>
                <w:szCs w:val="10"/>
                <w:color w:val="auto"/>
              </w:rPr>
              <w:t>F-2</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0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3300" w:type="dxa"/>
            <w:vAlign w:val="bottom"/>
            <w:tcBorders>
              <w:bottom w:val="single" w:sz="8" w:color="EEEEEE"/>
            </w:tcBorders>
          </w:tcPr>
          <w:p>
            <w:pPr>
              <w:spacing w:after="0"/>
              <w:rPr>
                <w:sz w:val="24"/>
                <w:szCs w:val="24"/>
                <w:color w:val="auto"/>
              </w:rPr>
            </w:pPr>
          </w:p>
        </w:tc>
        <w:tc>
          <w:tcPr>
            <w:tcW w:w="22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3" w:right="6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600" w:type="dxa"/>
            <w:vAlign w:val="bottom"/>
          </w:tcPr>
          <w:p>
            <w:pPr>
              <w:spacing w:after="0"/>
              <w:rPr>
                <w:sz w:val="8"/>
                <w:szCs w:val="8"/>
                <w:color w:val="auto"/>
              </w:rPr>
            </w:pPr>
          </w:p>
        </w:tc>
        <w:tc>
          <w:tcPr>
            <w:tcW w:w="1320" w:type="dxa"/>
            <w:vAlign w:val="bottom"/>
          </w:tcPr>
          <w:p>
            <w:pPr>
              <w:jc w:val="center"/>
              <w:ind w:left="51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8"/>
        </w:trPr>
        <w:tc>
          <w:tcPr>
            <w:tcW w:w="6600" w:type="dxa"/>
            <w:vAlign w:val="bottom"/>
          </w:tcPr>
          <w:p>
            <w:pPr>
              <w:spacing w:after="0"/>
              <w:rPr>
                <w:sz w:val="9"/>
                <w:szCs w:val="9"/>
                <w:color w:val="auto"/>
              </w:rPr>
            </w:pPr>
          </w:p>
        </w:tc>
        <w:tc>
          <w:tcPr>
            <w:tcW w:w="1320" w:type="dxa"/>
            <w:vAlign w:val="bottom"/>
          </w:tcPr>
          <w:p>
            <w:pPr>
              <w:jc w:val="center"/>
              <w:ind w:left="539"/>
              <w:spacing w:after="0"/>
              <w:rPr>
                <w:sz w:val="20"/>
                <w:szCs w:val="20"/>
                <w:color w:val="auto"/>
              </w:rPr>
            </w:pPr>
            <w:r>
              <w:rPr>
                <w:rFonts w:ascii="Times New Roman" w:cs="Times New Roman" w:eastAsia="Times New Roman" w:hAnsi="Times New Roman"/>
                <w:sz w:val="8"/>
                <w:szCs w:val="8"/>
                <w:b w:val="1"/>
                <w:bCs w:val="1"/>
                <w:i w:val="1"/>
                <w:iCs w:val="1"/>
                <w:color w:val="auto"/>
              </w:rPr>
              <w:t>(Unaudited)</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1"/>
        </w:trPr>
        <w:tc>
          <w:tcPr>
            <w:tcW w:w="7920" w:type="dxa"/>
            <w:vAlign w:val="bottom"/>
            <w:gridSpan w:val="2"/>
          </w:tcPr>
          <w:p>
            <w:pPr>
              <w:jc w:val="center"/>
              <w:ind w:left="711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jc w:val="right"/>
              <w:ind w:right="832"/>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60,298</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11,434</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12,534</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430,691</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299,013</w:t>
            </w: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502,423</w:t>
            </w: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321,988</w:t>
            </w: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61,542</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79,593</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Intangible assets, net</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3,396,489</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2,134,903</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3,458,031</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2,214,496</w:t>
            </w:r>
          </w:p>
        </w:tc>
        <w:tc>
          <w:tcPr>
            <w:tcW w:w="100" w:type="dxa"/>
            <w:vAlign w:val="bottom"/>
          </w:tcPr>
          <w:p>
            <w:pPr>
              <w:spacing w:after="0"/>
              <w:rPr>
                <w:sz w:val="9"/>
                <w:szCs w:val="9"/>
                <w:color w:val="auto"/>
              </w:rPr>
            </w:pPr>
          </w:p>
        </w:tc>
      </w:tr>
      <w:tr>
        <w:trPr>
          <w:trHeight w:val="113"/>
        </w:trPr>
        <w:tc>
          <w:tcPr>
            <w:tcW w:w="660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32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3,960,454</w:t>
            </w:r>
          </w:p>
        </w:tc>
        <w:tc>
          <w:tcPr>
            <w:tcW w:w="220" w:type="dxa"/>
            <w:vAlign w:val="bottom"/>
            <w:tcBorders>
              <w:bottom w:val="single" w:sz="8" w:color="CFF0FC"/>
            </w:tcBorders>
            <w:shd w:val="clear" w:color="auto" w:fill="CFF0FC"/>
          </w:tcPr>
          <w:p>
            <w:pPr>
              <w:spacing w:after="0"/>
              <w:rPr>
                <w:sz w:val="9"/>
                <w:szCs w:val="9"/>
                <w:color w:val="auto"/>
              </w:rPr>
            </w:pPr>
          </w:p>
        </w:tc>
        <w:tc>
          <w:tcPr>
            <w:tcW w:w="18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100" w:type="dxa"/>
            <w:vAlign w:val="bottom"/>
            <w:tcBorders>
              <w:bottom w:val="single" w:sz="8" w:color="CFF0FC"/>
            </w:tcBorders>
            <w:shd w:val="clear" w:color="auto" w:fill="CFF0FC"/>
          </w:tcPr>
          <w:p>
            <w:pPr>
              <w:spacing w:after="0"/>
              <w:rPr>
                <w:sz w:val="9"/>
                <w:szCs w:val="9"/>
                <w:color w:val="auto"/>
              </w:rPr>
            </w:pPr>
          </w:p>
        </w:tc>
      </w:tr>
      <w:tr>
        <w:trPr>
          <w:trHeight w:val="108"/>
        </w:trPr>
        <w:tc>
          <w:tcPr>
            <w:tcW w:w="792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Stockholders’ deficit</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4,055,537</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4,569,703</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1,093,471</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777,576</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4,708,590</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4,492,790</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10,236,655</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132,269</w:t>
            </w: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860,778</w:t>
            </w: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1,383,298</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Promissory loan note</w:t>
            </w: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437,956</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Convertible debt (current)</w:t>
            </w:r>
          </w:p>
        </w:tc>
        <w:tc>
          <w:tcPr>
            <w:tcW w:w="7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22,776,285</w:t>
            </w:r>
          </w:p>
        </w:tc>
        <w:tc>
          <w:tcPr>
            <w:tcW w:w="220" w:type="dxa"/>
            <w:vAlign w:val="bottom"/>
            <w:shd w:val="clear" w:color="auto" w:fill="CFF0FC"/>
          </w:tcPr>
          <w:p>
            <w:pPr>
              <w:spacing w:after="0"/>
              <w:rPr>
                <w:sz w:val="9"/>
                <w:szCs w:val="9"/>
                <w:color w:val="auto"/>
              </w:rPr>
            </w:pPr>
          </w:p>
        </w:tc>
        <w:tc>
          <w:tcPr>
            <w:tcW w:w="1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shd w:val="clear" w:color="auto" w:fill="CFF0FC"/>
          </w:tcPr>
          <w:p>
            <w:pPr>
              <w:spacing w:after="0"/>
              <w:rPr>
                <w:sz w:val="9"/>
                <w:szCs w:val="9"/>
                <w:color w:val="auto"/>
              </w:rPr>
            </w:pP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920" w:type="dxa"/>
            <w:vAlign w:val="bottom"/>
            <w:gridSpan w:val="2"/>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 xml:space="preserve">Convertible debt </w:t>
            </w:r>
            <w:r>
              <w:rPr>
                <w:rFonts w:ascii="Times New Roman" w:cs="Times New Roman" w:eastAsia="Times New Roman" w:hAnsi="Times New Roman"/>
                <w:sz w:val="10"/>
                <w:szCs w:val="10"/>
                <w:i w:val="1"/>
                <w:iCs w:val="1"/>
                <w:color w:val="auto"/>
              </w:rPr>
              <w:t>(includes related party balances of $6,291,581)</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38,737,594</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0"/>
                <w:szCs w:val="10"/>
                <w:color w:val="auto"/>
              </w:rPr>
              <w:t xml:space="preserve">Convertible promissory notes </w:t>
            </w:r>
            <w:r>
              <w:rPr>
                <w:rFonts w:ascii="Times New Roman" w:cs="Times New Roman" w:eastAsia="Times New Roman" w:hAnsi="Times New Roman"/>
                <w:sz w:val="10"/>
                <w:szCs w:val="10"/>
                <w:i w:val="1"/>
                <w:iCs w:val="1"/>
                <w:color w:val="auto"/>
              </w:rPr>
              <w:t>(includes related party balances of $1,565,007)</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5,395,702</w:t>
            </w:r>
          </w:p>
        </w:tc>
        <w:tc>
          <w:tcPr>
            <w:tcW w:w="220" w:type="dxa"/>
            <w:vAlign w:val="bottom"/>
          </w:tcPr>
          <w:p>
            <w:pPr>
              <w:spacing w:after="0"/>
              <w:rPr>
                <w:sz w:val="9"/>
                <w:szCs w:val="9"/>
                <w:color w:val="auto"/>
              </w:rPr>
            </w:pPr>
          </w:p>
        </w:tc>
        <w:tc>
          <w:tcPr>
            <w:tcW w:w="192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9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44,133,296</w:t>
            </w:r>
          </w:p>
        </w:tc>
        <w:tc>
          <w:tcPr>
            <w:tcW w:w="220" w:type="dxa"/>
            <w:vAlign w:val="bottom"/>
            <w:shd w:val="clear" w:color="auto" w:fill="CFF0FC"/>
          </w:tcPr>
          <w:p>
            <w:pPr>
              <w:spacing w:after="0"/>
              <w:rPr>
                <w:sz w:val="9"/>
                <w:szCs w:val="9"/>
                <w:color w:val="auto"/>
              </w:rPr>
            </w:pP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113"/>
        </w:trPr>
        <w:tc>
          <w:tcPr>
            <w:tcW w:w="79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66,909,581</w:t>
            </w:r>
          </w:p>
        </w:tc>
        <w:tc>
          <w:tcPr>
            <w:tcW w:w="220" w:type="dxa"/>
            <w:vAlign w:val="bottom"/>
          </w:tcPr>
          <w:p>
            <w:pPr>
              <w:spacing w:after="0"/>
              <w:rPr>
                <w:sz w:val="9"/>
                <w:szCs w:val="9"/>
                <w:color w:val="auto"/>
              </w:rPr>
            </w:pPr>
          </w:p>
        </w:tc>
        <w:tc>
          <w:tcPr>
            <w:tcW w:w="1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100" w:type="dxa"/>
            <w:vAlign w:val="bottom"/>
          </w:tcPr>
          <w:p>
            <w:pPr>
              <w:spacing w:after="0"/>
              <w:rPr>
                <w:sz w:val="9"/>
                <w:szCs w:val="9"/>
                <w:color w:val="auto"/>
              </w:rPr>
            </w:pPr>
          </w:p>
        </w:tc>
      </w:tr>
      <w:tr>
        <w:trPr>
          <w:trHeight w:val="113"/>
        </w:trPr>
        <w:tc>
          <w:tcPr>
            <w:tcW w:w="66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w:t>
            </w:r>
          </w:p>
        </w:tc>
        <w:tc>
          <w:tcPr>
            <w:tcW w:w="132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20"/>
        </w:trPr>
        <w:tc>
          <w:tcPr>
            <w:tcW w:w="66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40" w:type="dxa"/>
            <w:vAlign w:val="bottom"/>
          </w:tcPr>
          <w:p>
            <w:pPr>
              <w:spacing w:after="0"/>
              <w:rPr>
                <w:sz w:val="8"/>
                <w:szCs w:val="8"/>
                <w:color w:val="auto"/>
              </w:rPr>
            </w:pPr>
          </w:p>
        </w:tc>
        <w:tc>
          <w:tcPr>
            <w:tcW w:w="1600" w:type="dxa"/>
            <w:vAlign w:val="bottom"/>
          </w:tcPr>
          <w:p>
            <w:pPr>
              <w:jc w:val="right"/>
              <w:ind w:right="5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20" w:type="dxa"/>
            <w:vAlign w:val="bottom"/>
          </w:tcPr>
          <w:p>
            <w:pPr>
              <w:spacing w:after="0"/>
              <w:rPr>
                <w:sz w:val="8"/>
                <w:szCs w:val="8"/>
                <w:color w:val="auto"/>
              </w:rPr>
            </w:pPr>
          </w:p>
        </w:tc>
      </w:tr>
      <w:tr>
        <w:trPr>
          <w:trHeight w:val="98"/>
        </w:trPr>
        <w:tc>
          <w:tcPr>
            <w:tcW w:w="7120" w:type="dxa"/>
            <w:vAlign w:val="bottom"/>
          </w:tcPr>
          <w:p>
            <w:pPr>
              <w:spacing w:after="0"/>
              <w:rPr>
                <w:sz w:val="8"/>
                <w:szCs w:val="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2024</w:t>
            </w:r>
          </w:p>
        </w:tc>
        <w:tc>
          <w:tcPr>
            <w:tcW w:w="1840" w:type="dxa"/>
            <w:vAlign w:val="bottom"/>
            <w:gridSpan w:val="2"/>
          </w:tcPr>
          <w:p>
            <w:pPr>
              <w:jc w:val="right"/>
              <w:ind w:right="674"/>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Pr>
          <w:p>
            <w:pPr>
              <w:spacing w:after="0"/>
              <w:rPr>
                <w:sz w:val="8"/>
                <w:szCs w:val="8"/>
                <w:color w:val="auto"/>
              </w:rPr>
            </w:pPr>
          </w:p>
        </w:tc>
      </w:tr>
      <w:tr>
        <w:trPr>
          <w:trHeight w:val="106"/>
        </w:trPr>
        <w:tc>
          <w:tcPr>
            <w:tcW w:w="7120" w:type="dxa"/>
            <w:vAlign w:val="bottom"/>
          </w:tcPr>
          <w:p>
            <w:pPr>
              <w:spacing w:after="0"/>
              <w:rPr>
                <w:sz w:val="9"/>
                <w:szCs w:val="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1840" w:type="dxa"/>
            <w:vAlign w:val="bottom"/>
            <w:gridSpan w:val="2"/>
          </w:tcPr>
          <w:p>
            <w:pPr>
              <w:jc w:val="right"/>
              <w:ind w:right="734"/>
              <w:spacing w:after="0"/>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9"/>
                <w:szCs w:val="9"/>
                <w:color w:val="auto"/>
              </w:rPr>
            </w:pPr>
          </w:p>
        </w:tc>
      </w:tr>
      <w:tr>
        <w:trPr>
          <w:trHeight w:val="100"/>
        </w:trPr>
        <w:tc>
          <w:tcPr>
            <w:tcW w:w="712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Shareholders’ deficit</w:t>
            </w:r>
          </w:p>
        </w:tc>
        <w:tc>
          <w:tcPr>
            <w:tcW w:w="1540" w:type="dxa"/>
            <w:vAlign w:val="bottom"/>
            <w:tcBorders>
              <w:top w:val="single" w:sz="8" w:color="auto"/>
            </w:tcBorders>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06"/>
        </w:trPr>
        <w:tc>
          <w:tcPr>
            <w:tcW w:w="7120" w:type="dxa"/>
            <w:vAlign w:val="bottom"/>
          </w:tcPr>
          <w:p>
            <w:pPr>
              <w:ind w:left="120"/>
              <w:spacing w:after="0" w:line="106" w:lineRule="exact"/>
              <w:rPr>
                <w:sz w:val="20"/>
                <w:szCs w:val="20"/>
                <w:color w:val="auto"/>
              </w:rPr>
            </w:pPr>
            <w:r>
              <w:rPr>
                <w:rFonts w:ascii="Times New Roman" w:cs="Times New Roman" w:eastAsia="Times New Roman" w:hAnsi="Times New Roman"/>
                <w:sz w:val="10"/>
                <w:szCs w:val="10"/>
                <w:color w:val="auto"/>
              </w:rPr>
              <w:t>Common stock, £0.0001 nominal value 932,997,081 issued and outstanding as</w:t>
            </w: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9"/>
        </w:trPr>
        <w:tc>
          <w:tcPr>
            <w:tcW w:w="7120" w:type="dxa"/>
            <w:vAlign w:val="bottom"/>
          </w:tcPr>
          <w:p>
            <w:pPr>
              <w:ind w:left="200"/>
              <w:spacing w:after="0"/>
              <w:rPr>
                <w:sz w:val="20"/>
                <w:szCs w:val="20"/>
                <w:color w:val="auto"/>
              </w:rPr>
            </w:pPr>
            <w:r>
              <w:rPr>
                <w:rFonts w:ascii="Times New Roman" w:cs="Times New Roman" w:eastAsia="Times New Roman" w:hAnsi="Times New Roman"/>
                <w:sz w:val="10"/>
                <w:szCs w:val="10"/>
                <w:color w:val="auto"/>
              </w:rPr>
              <w:t>of June 30, 2024 932,969,424 issued and outstanding as of December 31,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120" w:type="dxa"/>
            <w:vAlign w:val="bottom"/>
          </w:tcPr>
          <w:p>
            <w:pPr>
              <w:spacing w:after="0"/>
              <w:rPr>
                <w:sz w:val="10"/>
                <w:szCs w:val="10"/>
                <w:color w:val="auto"/>
              </w:rPr>
            </w:pPr>
          </w:p>
        </w:tc>
      </w:tr>
      <w:tr>
        <w:trPr>
          <w:trHeight w:val="113"/>
        </w:trPr>
        <w:tc>
          <w:tcPr>
            <w:tcW w:w="712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Series stock series A, £0.0001 nominal value</w:t>
            </w: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8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20" w:type="dxa"/>
            <w:vAlign w:val="bottom"/>
            <w:shd w:val="clear" w:color="auto" w:fill="CFF0FC"/>
          </w:tcPr>
          <w:p>
            <w:pPr>
              <w:spacing w:after="0"/>
              <w:rPr>
                <w:sz w:val="9"/>
                <w:szCs w:val="9"/>
                <w:color w:val="auto"/>
              </w:rPr>
            </w:pPr>
          </w:p>
        </w:tc>
      </w:tr>
      <w:tr>
        <w:trPr>
          <w:trHeight w:val="113"/>
        </w:trPr>
        <w:tc>
          <w:tcPr>
            <w:tcW w:w="712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176,274,941</w:t>
            </w:r>
          </w:p>
        </w:tc>
        <w:tc>
          <w:tcPr>
            <w:tcW w:w="1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172,204,832</w:t>
            </w:r>
          </w:p>
        </w:tc>
        <w:tc>
          <w:tcPr>
            <w:tcW w:w="120" w:type="dxa"/>
            <w:vAlign w:val="bottom"/>
          </w:tcPr>
          <w:p>
            <w:pPr>
              <w:spacing w:after="0"/>
              <w:rPr>
                <w:sz w:val="9"/>
                <w:szCs w:val="9"/>
                <w:color w:val="auto"/>
              </w:rPr>
            </w:pPr>
          </w:p>
        </w:tc>
      </w:tr>
      <w:tr>
        <w:trPr>
          <w:trHeight w:val="113"/>
        </w:trPr>
        <w:tc>
          <w:tcPr>
            <w:tcW w:w="712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Stock subscription receivable</w:t>
            </w: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(178,720)</w:t>
            </w:r>
          </w:p>
        </w:tc>
        <w:tc>
          <w:tcPr>
            <w:tcW w:w="18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(178,720)</w:t>
            </w:r>
          </w:p>
        </w:tc>
        <w:tc>
          <w:tcPr>
            <w:tcW w:w="120" w:type="dxa"/>
            <w:vAlign w:val="bottom"/>
            <w:shd w:val="clear" w:color="auto" w:fill="CFF0FC"/>
          </w:tcPr>
          <w:p>
            <w:pPr>
              <w:spacing w:after="0"/>
              <w:rPr>
                <w:sz w:val="9"/>
                <w:szCs w:val="9"/>
                <w:color w:val="auto"/>
              </w:rPr>
            </w:pPr>
          </w:p>
        </w:tc>
      </w:tr>
      <w:tr>
        <w:trPr>
          <w:trHeight w:val="113"/>
        </w:trPr>
        <w:tc>
          <w:tcPr>
            <w:tcW w:w="712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5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(239,133,876)</w:t>
            </w:r>
          </w:p>
        </w:tc>
        <w:tc>
          <w:tcPr>
            <w:tcW w:w="18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(226,291,430)</w:t>
            </w:r>
          </w:p>
        </w:tc>
        <w:tc>
          <w:tcPr>
            <w:tcW w:w="120" w:type="dxa"/>
            <w:vAlign w:val="bottom"/>
          </w:tcPr>
          <w:p>
            <w:pPr>
              <w:spacing w:after="0"/>
              <w:rPr>
                <w:sz w:val="9"/>
                <w:szCs w:val="9"/>
                <w:color w:val="auto"/>
              </w:rPr>
            </w:pPr>
          </w:p>
        </w:tc>
      </w:tr>
      <w:tr>
        <w:trPr>
          <w:trHeight w:val="113"/>
        </w:trPr>
        <w:tc>
          <w:tcPr>
            <w:tcW w:w="7120" w:type="dxa"/>
            <w:vAlign w:val="bottom"/>
            <w:tcBorders>
              <w:bottom w:val="single" w:sz="8" w:color="CFF0FC"/>
            </w:tcBorders>
            <w:shd w:val="clear" w:color="auto" w:fill="CFF0FC"/>
          </w:tcPr>
          <w:p>
            <w:pPr>
              <w:ind w:left="240"/>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15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(42,653)</w:t>
            </w:r>
          </w:p>
        </w:tc>
        <w:tc>
          <w:tcPr>
            <w:tcW w:w="240" w:type="dxa"/>
            <w:vAlign w:val="bottom"/>
            <w:tcBorders>
              <w:bottom w:val="single" w:sz="8" w:color="CFF0FC"/>
            </w:tcBorders>
            <w:shd w:val="clear" w:color="auto" w:fill="CFF0FC"/>
          </w:tcPr>
          <w:p>
            <w:pPr>
              <w:spacing w:after="0"/>
              <w:rPr>
                <w:sz w:val="9"/>
                <w:szCs w:val="9"/>
                <w:color w:val="auto"/>
              </w:rPr>
            </w:pPr>
          </w:p>
        </w:tc>
        <w:tc>
          <w:tcPr>
            <w:tcW w:w="16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(150,744)</w:t>
            </w:r>
          </w:p>
        </w:tc>
        <w:tc>
          <w:tcPr>
            <w:tcW w:w="120" w:type="dxa"/>
            <w:vAlign w:val="bottom"/>
            <w:tcBorders>
              <w:bottom w:val="single" w:sz="8" w:color="CFF0FC"/>
            </w:tcBorders>
            <w:shd w:val="clear" w:color="auto" w:fill="CFF0FC"/>
          </w:tcPr>
          <w:p>
            <w:pPr>
              <w:spacing w:after="0"/>
              <w:rPr>
                <w:sz w:val="9"/>
                <w:szCs w:val="9"/>
                <w:color w:val="auto"/>
              </w:rPr>
            </w:pPr>
          </w:p>
        </w:tc>
      </w:tr>
      <w:tr>
        <w:trPr>
          <w:trHeight w:val="100"/>
        </w:trPr>
        <w:tc>
          <w:tcPr>
            <w:tcW w:w="712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54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(62,949,127)</w:t>
            </w:r>
          </w:p>
        </w:tc>
        <w:tc>
          <w:tcPr>
            <w:tcW w:w="18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(54,284,884)</w:t>
            </w:r>
          </w:p>
        </w:tc>
        <w:tc>
          <w:tcPr>
            <w:tcW w:w="120" w:type="dxa"/>
            <w:vAlign w:val="bottom"/>
          </w:tcPr>
          <w:p>
            <w:pPr>
              <w:spacing w:after="0"/>
              <w:rPr>
                <w:sz w:val="8"/>
                <w:szCs w:val="8"/>
                <w:color w:val="auto"/>
              </w:rPr>
            </w:pPr>
          </w:p>
        </w:tc>
      </w:tr>
      <w:tr>
        <w:trPr>
          <w:trHeight w:val="103"/>
        </w:trPr>
        <w:tc>
          <w:tcPr>
            <w:tcW w:w="7120" w:type="dxa"/>
            <w:vAlign w:val="bottom"/>
            <w:tcBorders>
              <w:bottom w:val="single" w:sz="8" w:color="CFF0FC"/>
            </w:tcBorders>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liabilities and stockholders’ deficit</w:t>
            </w:r>
          </w:p>
        </w:tc>
        <w:tc>
          <w:tcPr>
            <w:tcW w:w="154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3,960,454</w:t>
            </w:r>
          </w:p>
        </w:tc>
        <w:tc>
          <w:tcPr>
            <w:tcW w:w="240" w:type="dxa"/>
            <w:vAlign w:val="bottom"/>
            <w:tcBorders>
              <w:bottom w:val="single" w:sz="8" w:color="CFF0FC"/>
            </w:tcBorders>
            <w:shd w:val="clear" w:color="auto" w:fill="CFF0FC"/>
          </w:tcPr>
          <w:p>
            <w:pPr>
              <w:spacing w:after="0"/>
              <w:rPr>
                <w:sz w:val="8"/>
                <w:szCs w:val="8"/>
                <w:color w:val="auto"/>
              </w:rPr>
            </w:pPr>
          </w:p>
        </w:tc>
        <w:tc>
          <w:tcPr>
            <w:tcW w:w="160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2,536,484</w:t>
            </w:r>
          </w:p>
        </w:tc>
        <w:tc>
          <w:tcPr>
            <w:tcW w:w="120" w:type="dxa"/>
            <w:vAlign w:val="bottom"/>
            <w:tcBorders>
              <w:bottom w:val="single" w:sz="8" w:color="CFF0FC"/>
            </w:tcBorders>
            <w:shd w:val="clear" w:color="auto" w:fill="CFF0FC"/>
          </w:tcPr>
          <w:p>
            <w:pPr>
              <w:spacing w:after="0"/>
              <w:rPr>
                <w:sz w:val="8"/>
                <w:szCs w:val="8"/>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Operations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5340" w:type="dxa"/>
            <w:vAlign w:val="bottom"/>
          </w:tcPr>
          <w:p>
            <w:pPr>
              <w:spacing w:after="0"/>
              <w:rPr>
                <w:sz w:val="8"/>
                <w:szCs w:val="8"/>
                <w:color w:val="auto"/>
              </w:rPr>
            </w:pPr>
          </w:p>
        </w:tc>
        <w:tc>
          <w:tcPr>
            <w:tcW w:w="3740" w:type="dxa"/>
            <w:vAlign w:val="bottom"/>
          </w:tcPr>
          <w:p>
            <w:pPr>
              <w:jc w:val="center"/>
              <w:ind w:left="139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5340" w:type="dxa"/>
            <w:vAlign w:val="bottom"/>
          </w:tcPr>
          <w:p>
            <w:pPr>
              <w:spacing w:after="0"/>
              <w:rPr>
                <w:sz w:val="8"/>
                <w:szCs w:val="8"/>
                <w:color w:val="auto"/>
              </w:rPr>
            </w:pPr>
          </w:p>
        </w:tc>
        <w:tc>
          <w:tcPr>
            <w:tcW w:w="3740" w:type="dxa"/>
            <w:vAlign w:val="bottom"/>
          </w:tcPr>
          <w:p>
            <w:pPr>
              <w:jc w:val="center"/>
              <w:ind w:left="137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jc w:val="center"/>
              <w:ind w:right="193"/>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06"/>
        </w:trPr>
        <w:tc>
          <w:tcPr>
            <w:tcW w:w="5340" w:type="dxa"/>
            <w:vAlign w:val="bottom"/>
          </w:tcPr>
          <w:p>
            <w:pPr>
              <w:spacing w:after="0"/>
              <w:rPr>
                <w:sz w:val="9"/>
                <w:szCs w:val="9"/>
                <w:color w:val="auto"/>
              </w:rPr>
            </w:pPr>
          </w:p>
        </w:tc>
        <w:tc>
          <w:tcPr>
            <w:tcW w:w="3740" w:type="dxa"/>
            <w:vAlign w:val="bottom"/>
          </w:tcPr>
          <w:p>
            <w:pPr>
              <w:jc w:val="center"/>
              <w:ind w:left="137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540" w:type="dxa"/>
            <w:vAlign w:val="bottom"/>
          </w:tcPr>
          <w:p>
            <w:pPr>
              <w:jc w:val="center"/>
              <w:ind w:right="21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b w:val="1"/>
                <w:bCs w:val="1"/>
                <w:color w:val="auto"/>
              </w:rPr>
              <w:t>53,399</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46,764</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53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16,177</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16,111</w:t>
            </w:r>
          </w:p>
        </w:tc>
      </w:tr>
      <w:tr>
        <w:trPr>
          <w:trHeight w:val="104"/>
        </w:trPr>
        <w:tc>
          <w:tcPr>
            <w:tcW w:w="5340" w:type="dxa"/>
            <w:vAlign w:val="bottom"/>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(includes related party transactions of</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21"/>
        </w:trPr>
        <w:tc>
          <w:tcPr>
            <w:tcW w:w="5340" w:type="dxa"/>
            <w:vAlign w:val="bottom"/>
          </w:tcPr>
          <w:p>
            <w:pPr>
              <w:ind w:left="200"/>
              <w:spacing w:after="0"/>
              <w:rPr>
                <w:sz w:val="20"/>
                <w:szCs w:val="20"/>
                <w:color w:val="auto"/>
              </w:rPr>
            </w:pPr>
            <w:r>
              <w:rPr>
                <w:rFonts w:ascii="Times New Roman" w:cs="Times New Roman" w:eastAsia="Times New Roman" w:hAnsi="Times New Roman"/>
                <w:sz w:val="10"/>
                <w:szCs w:val="10"/>
                <w:i w:val="1"/>
                <w:iCs w:val="1"/>
                <w:color w:val="auto"/>
              </w:rPr>
              <w:t>1,370,214 and 1,361,168, refer to Note 8)</w:t>
            </w:r>
          </w:p>
        </w:tc>
        <w:tc>
          <w:tcPr>
            <w:tcW w:w="37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1,431,430</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4,710,174</w:t>
            </w:r>
          </w:p>
        </w:tc>
      </w:tr>
      <w:tr>
        <w:trPr>
          <w:trHeight w:val="104"/>
        </w:trPr>
        <w:tc>
          <w:tcPr>
            <w:tcW w:w="5340" w:type="dxa"/>
            <w:vAlign w:val="bottom"/>
            <w:shd w:val="clear" w:color="auto" w:fill="CFF0FC"/>
          </w:tcPr>
          <w:p>
            <w:pPr>
              <w:ind w:left="120"/>
              <w:spacing w:after="0" w:line="104"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(includes related party transactions of</w:t>
            </w:r>
          </w:p>
        </w:tc>
        <w:tc>
          <w:tcPr>
            <w:tcW w:w="37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21"/>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0"/>
                <w:szCs w:val="10"/>
                <w:i w:val="1"/>
                <w:iCs w:val="1"/>
                <w:color w:val="auto"/>
              </w:rPr>
              <w:t>5,754,682 and 1,733,938, refer to Note 8)</w:t>
            </w:r>
          </w:p>
        </w:tc>
        <w:tc>
          <w:tcPr>
            <w:tcW w:w="3740" w:type="dxa"/>
            <w:vAlign w:val="bottom"/>
            <w:shd w:val="clear" w:color="auto" w:fill="CFF0FC"/>
          </w:tcPr>
          <w:p>
            <w:pPr>
              <w:jc w:val="right"/>
              <w:ind w:right="312"/>
              <w:spacing w:after="0"/>
              <w:rPr>
                <w:sz w:val="20"/>
                <w:szCs w:val="20"/>
                <w:color w:val="auto"/>
              </w:rPr>
            </w:pPr>
            <w:r>
              <w:rPr>
                <w:rFonts w:ascii="Times New Roman" w:cs="Times New Roman" w:eastAsia="Times New Roman" w:hAnsi="Times New Roman"/>
                <w:sz w:val="10"/>
                <w:szCs w:val="10"/>
                <w:color w:val="auto"/>
              </w:rPr>
              <w:t>8,066,209</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0"/>
                <w:szCs w:val="10"/>
                <w:color w:val="auto"/>
              </w:rPr>
              <w:t>8,743,377</w:t>
            </w:r>
          </w:p>
        </w:tc>
      </w:tr>
      <w:tr>
        <w:trPr>
          <w:trHeight w:val="113"/>
        </w:trPr>
        <w:tc>
          <w:tcPr>
            <w:tcW w:w="53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Other Operating costs and expenses</w:t>
            </w:r>
          </w:p>
        </w:tc>
        <w:tc>
          <w:tcPr>
            <w:tcW w:w="3740" w:type="dxa"/>
            <w:vAlign w:val="bottom"/>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84,500</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785,000</w:t>
            </w:r>
          </w:p>
        </w:tc>
      </w:tr>
      <w:tr>
        <w:trPr>
          <w:trHeight w:val="113"/>
        </w:trPr>
        <w:tc>
          <w:tcPr>
            <w:tcW w:w="53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3740" w:type="dxa"/>
            <w:vAlign w:val="bottom"/>
            <w:shd w:val="clear" w:color="auto" w:fill="CFF0FC"/>
          </w:tcPr>
          <w:p>
            <w:pPr>
              <w:jc w:val="right"/>
              <w:ind w:right="312"/>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3740" w:type="dxa"/>
            <w:vAlign w:val="bottom"/>
          </w:tcPr>
          <w:p>
            <w:pPr>
              <w:jc w:val="right"/>
              <w:ind w:right="312"/>
              <w:spacing w:after="0" w:line="113" w:lineRule="exact"/>
              <w:rPr>
                <w:sz w:val="20"/>
                <w:szCs w:val="20"/>
                <w:color w:val="auto"/>
              </w:rPr>
            </w:pPr>
            <w:r>
              <w:rPr>
                <w:rFonts w:ascii="Times New Roman" w:cs="Times New Roman" w:eastAsia="Times New Roman" w:hAnsi="Times New Roman"/>
                <w:sz w:val="10"/>
                <w:szCs w:val="10"/>
                <w:b w:val="1"/>
                <w:bCs w:val="1"/>
                <w:color w:val="auto"/>
              </w:rPr>
              <w:t>9,719,157</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14,376,233</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(9,665,758)</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(14,329,469)</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 / income</w:t>
            </w:r>
          </w:p>
        </w:tc>
        <w:tc>
          <w:tcPr>
            <w:tcW w:w="37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expense, net</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(107,816)</w:t>
            </w:r>
          </w:p>
        </w:tc>
        <w:tc>
          <w:tcPr>
            <w:tcW w:w="15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171,751</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(3,116,818)</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(2,883,195)</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(12,782,576)</w:t>
            </w:r>
          </w:p>
        </w:tc>
        <w:tc>
          <w:tcPr>
            <w:tcW w:w="154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(17,212,664)</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(59,870)</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(63,408)</w:t>
            </w:r>
          </w:p>
        </w:tc>
      </w:tr>
      <w:tr>
        <w:trPr>
          <w:trHeight w:val="113"/>
        </w:trPr>
        <w:tc>
          <w:tcPr>
            <w:tcW w:w="53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3740" w:type="dxa"/>
            <w:vAlign w:val="bottom"/>
          </w:tcPr>
          <w:p>
            <w:pPr>
              <w:jc w:val="right"/>
              <w:ind w:right="272"/>
              <w:spacing w:after="0" w:line="113" w:lineRule="exact"/>
              <w:rPr>
                <w:sz w:val="20"/>
                <w:szCs w:val="20"/>
                <w:color w:val="auto"/>
              </w:rPr>
            </w:pPr>
            <w:r>
              <w:rPr>
                <w:rFonts w:ascii="Times New Roman" w:cs="Times New Roman" w:eastAsia="Times New Roman" w:hAnsi="Times New Roman"/>
                <w:sz w:val="10"/>
                <w:szCs w:val="10"/>
                <w:b w:val="1"/>
                <w:bCs w:val="1"/>
                <w:color w:val="auto"/>
              </w:rPr>
              <w:t>(12,842,446)</w:t>
            </w:r>
          </w:p>
        </w:tc>
        <w:tc>
          <w:tcPr>
            <w:tcW w:w="154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b w:val="1"/>
                <w:bCs w:val="1"/>
                <w:color w:val="auto"/>
              </w:rPr>
              <w:t>(17,276,072)</w:t>
            </w:r>
          </w:p>
        </w:tc>
      </w:tr>
      <w:tr>
        <w:trPr>
          <w:trHeight w:val="113"/>
        </w:trPr>
        <w:tc>
          <w:tcPr>
            <w:tcW w:w="5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3740" w:type="dxa"/>
            <w:vAlign w:val="bottom"/>
            <w:shd w:val="clear" w:color="auto" w:fill="CFF0FC"/>
          </w:tcPr>
          <w:p>
            <w:pPr>
              <w:jc w:val="right"/>
              <w:ind w:right="272"/>
              <w:spacing w:after="0" w:line="113" w:lineRule="exact"/>
              <w:rPr>
                <w:sz w:val="20"/>
                <w:szCs w:val="20"/>
                <w:color w:val="auto"/>
              </w:rPr>
            </w:pPr>
            <w:r>
              <w:rPr>
                <w:rFonts w:ascii="Times New Roman" w:cs="Times New Roman" w:eastAsia="Times New Roman" w:hAnsi="Times New Roman"/>
                <w:sz w:val="10"/>
                <w:szCs w:val="10"/>
                <w:color w:val="auto"/>
              </w:rPr>
              <w:t>(0.01)</w:t>
            </w:r>
          </w:p>
        </w:tc>
        <w:tc>
          <w:tcPr>
            <w:tcW w:w="15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(0.02)</w:t>
            </w:r>
          </w:p>
        </w:tc>
      </w:tr>
      <w:tr>
        <w:trPr>
          <w:trHeight w:val="125"/>
        </w:trPr>
        <w:tc>
          <w:tcPr>
            <w:tcW w:w="534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w:t>
            </w:r>
          </w:p>
        </w:tc>
        <w:tc>
          <w:tcPr>
            <w:tcW w:w="374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927,893,144</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922,013,028</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Comprehensive Loss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6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6940" w:type="dxa"/>
            <w:vAlign w:val="bottom"/>
          </w:tcPr>
          <w:p>
            <w:pPr>
              <w:spacing w:after="0"/>
              <w:rPr>
                <w:sz w:val="8"/>
                <w:szCs w:val="8"/>
                <w:color w:val="auto"/>
              </w:rPr>
            </w:pPr>
          </w:p>
        </w:tc>
        <w:tc>
          <w:tcPr>
            <w:tcW w:w="1120" w:type="dxa"/>
            <w:vAlign w:val="bottom"/>
          </w:tcPr>
          <w:p>
            <w:pPr>
              <w:jc w:val="center"/>
              <w:ind w:left="459"/>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8"/>
        </w:trPr>
        <w:tc>
          <w:tcPr>
            <w:tcW w:w="6940" w:type="dxa"/>
            <w:vAlign w:val="bottom"/>
          </w:tcPr>
          <w:p>
            <w:pPr>
              <w:spacing w:after="0"/>
              <w:rPr>
                <w:sz w:val="9"/>
                <w:szCs w:val="9"/>
                <w:color w:val="auto"/>
              </w:rPr>
            </w:pPr>
          </w:p>
        </w:tc>
        <w:tc>
          <w:tcPr>
            <w:tcW w:w="1120" w:type="dxa"/>
            <w:vAlign w:val="bottom"/>
          </w:tcPr>
          <w:p>
            <w:pPr>
              <w:jc w:val="center"/>
              <w:ind w:left="439"/>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1"/>
        </w:trPr>
        <w:tc>
          <w:tcPr>
            <w:tcW w:w="8060" w:type="dxa"/>
            <w:vAlign w:val="bottom"/>
            <w:gridSpan w:val="2"/>
          </w:tcPr>
          <w:p>
            <w:pPr>
              <w:jc w:val="center"/>
              <w:ind w:left="737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113"/>
        </w:trPr>
        <w:tc>
          <w:tcPr>
            <w:tcW w:w="80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780" w:type="dxa"/>
            <w:vAlign w:val="bottom"/>
            <w:gridSpan w:val="2"/>
            <w:shd w:val="clear" w:color="auto" w:fill="CFF0FC"/>
          </w:tcPr>
          <w:p>
            <w:pPr>
              <w:jc w:val="right"/>
              <w:ind w:right="260"/>
              <w:spacing w:after="0" w:line="113" w:lineRule="exact"/>
              <w:rPr>
                <w:sz w:val="20"/>
                <w:szCs w:val="20"/>
                <w:color w:val="auto"/>
              </w:rPr>
            </w:pPr>
            <w:r>
              <w:rPr>
                <w:rFonts w:ascii="Times New Roman" w:cs="Times New Roman" w:eastAsia="Times New Roman" w:hAnsi="Times New Roman"/>
                <w:sz w:val="10"/>
                <w:szCs w:val="10"/>
                <w:b w:val="1"/>
                <w:bCs w:val="1"/>
                <w:color w:val="auto"/>
                <w:w w:val="96"/>
              </w:rPr>
              <w:t>(12,842,446)</w:t>
            </w:r>
          </w:p>
        </w:tc>
        <w:tc>
          <w:tcPr>
            <w:tcW w:w="17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(17,276,072)</w:t>
            </w:r>
          </w:p>
        </w:tc>
      </w:tr>
      <w:tr>
        <w:trPr>
          <w:trHeight w:val="113"/>
        </w:trPr>
        <w:tc>
          <w:tcPr>
            <w:tcW w:w="80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3"/>
        </w:trPr>
        <w:tc>
          <w:tcPr>
            <w:tcW w:w="80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Foreign currency translation (loss)</w:t>
            </w:r>
          </w:p>
        </w:tc>
        <w:tc>
          <w:tcPr>
            <w:tcW w:w="78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108,091</w:t>
            </w:r>
          </w:p>
        </w:tc>
        <w:tc>
          <w:tcPr>
            <w:tcW w:w="17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2,901</w:t>
            </w:r>
          </w:p>
        </w:tc>
      </w:tr>
      <w:tr>
        <w:trPr>
          <w:trHeight w:val="113"/>
        </w:trPr>
        <w:tc>
          <w:tcPr>
            <w:tcW w:w="69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1120" w:type="dxa"/>
            <w:vAlign w:val="bottom"/>
          </w:tcPr>
          <w:p>
            <w:pPr>
              <w:spacing w:after="0"/>
              <w:rPr>
                <w:sz w:val="9"/>
                <w:szCs w:val="9"/>
                <w:color w:val="auto"/>
              </w:rPr>
            </w:pPr>
          </w:p>
        </w:tc>
        <w:tc>
          <w:tcPr>
            <w:tcW w:w="78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b w:val="1"/>
                <w:bCs w:val="1"/>
                <w:color w:val="auto"/>
                <w:w w:val="92"/>
              </w:rPr>
              <w:t>(12,734,355 )</w:t>
            </w:r>
          </w:p>
        </w:tc>
        <w:tc>
          <w:tcPr>
            <w:tcW w:w="17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(17,273,171 )</w:t>
            </w:r>
          </w:p>
        </w:tc>
      </w:tr>
      <w:tr>
        <w:trPr>
          <w:trHeight w:val="346"/>
        </w:trPr>
        <w:tc>
          <w:tcPr>
            <w:tcW w:w="6940" w:type="dxa"/>
            <w:vAlign w:val="bottom"/>
          </w:tcPr>
          <w:p>
            <w:pPr>
              <w:ind w:left="5240"/>
              <w:spacing w:after="0"/>
              <w:rPr>
                <w:sz w:val="20"/>
                <w:szCs w:val="20"/>
                <w:color w:val="auto"/>
              </w:rPr>
            </w:pPr>
            <w:r>
              <w:rPr>
                <w:rFonts w:ascii="Times New Roman" w:cs="Times New Roman" w:eastAsia="Times New Roman" w:hAnsi="Times New Roman"/>
                <w:sz w:val="10"/>
                <w:szCs w:val="10"/>
                <w:color w:val="auto"/>
              </w:rPr>
              <w:t>F-6</w:t>
            </w: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22"/>
        </w:trPr>
        <w:tc>
          <w:tcPr>
            <w:tcW w:w="69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6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Carve-out Consolidated Statements of Changes in Stockholders’ Deficit</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8"/>
              </w:rPr>
              <w:t>other</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1720" w:type="dxa"/>
            <w:vAlign w:val="bottom"/>
          </w:tcPr>
          <w:p>
            <w:pPr>
              <w:spacing w:after="0"/>
              <w:rPr>
                <w:sz w:val="8"/>
                <w:szCs w:val="8"/>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80" w:type="dxa"/>
            <w:vAlign w:val="bottom"/>
            <w:gridSpan w:val="3"/>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Series A Shares</w:t>
            </w:r>
          </w:p>
        </w:tc>
        <w:tc>
          <w:tcPr>
            <w:tcW w:w="220" w:type="dxa"/>
            <w:vAlign w:val="bottom"/>
          </w:tcPr>
          <w:p>
            <w:pPr>
              <w:spacing w:after="0"/>
              <w:rPr>
                <w:sz w:val="8"/>
                <w:szCs w:val="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Stock</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98"/>
        </w:trPr>
        <w:tc>
          <w:tcPr>
            <w:tcW w:w="1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95"/>
              <w:spacing w:after="0"/>
              <w:rPr>
                <w:sz w:val="20"/>
                <w:szCs w:val="20"/>
                <w:color w:val="auto"/>
              </w:rPr>
            </w:pPr>
            <w:r>
              <w:rPr>
                <w:rFonts w:ascii="Times New Roman" w:cs="Times New Roman" w:eastAsia="Times New Roman" w:hAnsi="Times New Roman"/>
                <w:sz w:val="8"/>
                <w:szCs w:val="8"/>
                <w:b w:val="1"/>
                <w:bCs w:val="1"/>
                <w:color w:val="auto"/>
              </w:rPr>
              <w:t>Amount</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8"/>
                <w:szCs w:val="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subscription</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w w:val="96"/>
              </w:rPr>
              <w:t>loss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06"/>
        </w:trPr>
        <w:tc>
          <w:tcPr>
            <w:tcW w:w="1720" w:type="dxa"/>
            <w:vAlign w:val="bottom"/>
          </w:tcPr>
          <w:p>
            <w:pPr>
              <w:spacing w:after="0"/>
              <w:rPr>
                <w:sz w:val="9"/>
                <w:szCs w:val="9"/>
                <w:color w:val="auto"/>
              </w:rPr>
            </w:pPr>
          </w:p>
        </w:tc>
        <w:tc>
          <w:tcPr>
            <w:tcW w:w="1060" w:type="dxa"/>
            <w:vAlign w:val="bottom"/>
            <w:gridSpan w:val="3"/>
          </w:tcPr>
          <w:p>
            <w:pPr>
              <w:ind w:left="2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60" w:type="dxa"/>
            <w:vAlign w:val="bottom"/>
          </w:tcPr>
          <w:p>
            <w:pPr>
              <w:jc w:val="right"/>
              <w:ind w:right="215"/>
              <w:spacing w:after="0"/>
              <w:rPr>
                <w:sz w:val="20"/>
                <w:szCs w:val="20"/>
                <w:color w:val="auto"/>
              </w:rPr>
            </w:pPr>
            <w:r>
              <w:rPr>
                <w:rFonts w:ascii="Times New Roman" w:cs="Times New Roman" w:eastAsia="Times New Roman" w:hAnsi="Times New Roman"/>
                <w:sz w:val="8"/>
                <w:szCs w:val="8"/>
                <w:b w:val="1"/>
                <w:bCs w:val="1"/>
                <w:color w:val="auto"/>
              </w:rPr>
              <w:t>$</w:t>
            </w:r>
          </w:p>
        </w:tc>
        <w:tc>
          <w:tcPr>
            <w:tcW w:w="240" w:type="dxa"/>
            <w:vAlign w:val="bottom"/>
          </w:tcPr>
          <w:p>
            <w:pPr>
              <w:spacing w:after="0"/>
              <w:rPr>
                <w:sz w:val="9"/>
                <w:szCs w:val="9"/>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8"/>
                <w:szCs w:val="8"/>
                <w:b w:val="1"/>
                <w:bCs w:val="1"/>
                <w:color w:val="auto"/>
              </w:rPr>
              <w:t>Shares</w:t>
            </w:r>
          </w:p>
        </w:tc>
        <w:tc>
          <w:tcPr>
            <w:tcW w:w="820" w:type="dxa"/>
            <w:vAlign w:val="bottom"/>
            <w:gridSpan w:val="2"/>
          </w:tcPr>
          <w:p>
            <w:pPr>
              <w:jc w:val="right"/>
              <w:ind w:right="233"/>
              <w:spacing w:after="0"/>
              <w:rPr>
                <w:sz w:val="20"/>
                <w:szCs w:val="20"/>
                <w:color w:val="auto"/>
              </w:rPr>
            </w:pPr>
            <w:r>
              <w:rPr>
                <w:rFonts w:ascii="Times New Roman" w:cs="Times New Roman" w:eastAsia="Times New Roman" w:hAnsi="Times New Roman"/>
                <w:sz w:val="8"/>
                <w:szCs w:val="8"/>
                <w:b w:val="1"/>
                <w:bCs w:val="1"/>
                <w:color w:val="auto"/>
              </w:rPr>
              <w:t>$</w:t>
            </w:r>
          </w:p>
        </w:tc>
        <w:tc>
          <w:tcPr>
            <w:tcW w:w="1120" w:type="dxa"/>
            <w:vAlign w:val="bottom"/>
            <w:gridSpan w:val="2"/>
          </w:tcPr>
          <w:p>
            <w:pPr>
              <w:jc w:val="center"/>
              <w:ind w:left="15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20" w:type="dxa"/>
            <w:vAlign w:val="bottom"/>
          </w:tcPr>
          <w:p>
            <w:pPr>
              <w:spacing w:after="0"/>
              <w:rPr>
                <w:sz w:val="9"/>
                <w:szCs w:val="9"/>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receivable</w:t>
            </w:r>
          </w:p>
        </w:tc>
        <w:tc>
          <w:tcPr>
            <w:tcW w:w="9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0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r>
      <w:tr>
        <w:trPr>
          <w:trHeight w:val="9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927,806,159</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126,677</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163,165,083</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(195,555,332 )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(81,179 )</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 xml:space="preserve">(32,519,603 </w:t>
            </w:r>
            <w:r>
              <w:rPr>
                <w:rFonts w:ascii="Times New Roman" w:cs="Times New Roman" w:eastAsia="Times New Roman" w:hAnsi="Times New Roman"/>
                <w:sz w:val="8"/>
                <w:szCs w:val="8"/>
                <w:color w:val="auto"/>
              </w:rPr>
              <w:t>)</w:t>
            </w: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Common stock issued to related</w:t>
            </w:r>
          </w:p>
        </w:tc>
        <w:tc>
          <w:tcPr>
            <w:tcW w:w="72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163,265</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20</w:t>
            </w:r>
          </w:p>
        </w:tc>
        <w:tc>
          <w:tcPr>
            <w:tcW w:w="2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199,954</w:t>
            </w:r>
          </w:p>
        </w:tc>
        <w:tc>
          <w:tcPr>
            <w:tcW w:w="220" w:type="dxa"/>
            <w:vAlign w:val="bottom"/>
          </w:tcPr>
          <w:p>
            <w:pPr>
              <w:spacing w:after="0"/>
              <w:rPr>
                <w:sz w:val="7"/>
                <w:szCs w:val="7"/>
                <w:color w:val="auto"/>
              </w:rPr>
            </w:pPr>
          </w:p>
        </w:tc>
        <w:tc>
          <w:tcPr>
            <w:tcW w:w="118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199,974</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Common stock issued from the</w:t>
            </w:r>
          </w:p>
        </w:tc>
        <w:tc>
          <w:tcPr>
            <w:tcW w:w="72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5,000,000</w:t>
            </w: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613</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gridSpan w:val="3"/>
            <w:shd w:val="clear" w:color="auto" w:fill="CFF0FC"/>
          </w:tcPr>
          <w:p>
            <w:pPr>
              <w:jc w:val="right"/>
              <w:ind w:right="200"/>
              <w:spacing w:after="0" w:line="91" w:lineRule="exact"/>
              <w:rPr>
                <w:sz w:val="20"/>
                <w:szCs w:val="20"/>
                <w:color w:val="auto"/>
              </w:rPr>
            </w:pPr>
            <w:r>
              <w:rPr>
                <w:rFonts w:ascii="Times New Roman" w:cs="Times New Roman" w:eastAsia="Times New Roman" w:hAnsi="Times New Roman"/>
                <w:sz w:val="8"/>
                <w:szCs w:val="8"/>
                <w:color w:val="auto"/>
              </w:rPr>
              <w:t>(613 )</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jc w:val="right"/>
              <w:ind w:right="140"/>
              <w:spacing w:after="0" w:line="91" w:lineRule="exact"/>
              <w:rPr>
                <w:sz w:val="20"/>
                <w:szCs w:val="20"/>
                <w:color w:val="auto"/>
              </w:rPr>
            </w:pPr>
            <w:r>
              <w:rPr>
                <w:rFonts w:ascii="Times New Roman" w:cs="Times New Roman" w:eastAsia="Times New Roman" w:hAnsi="Times New Roman"/>
                <w:sz w:val="10"/>
                <w:szCs w:val="10"/>
                <w:color w:val="auto"/>
              </w:rPr>
              <w:t>—</w:t>
            </w: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exercise of stock options</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Share-based compensation to</w:t>
            </w:r>
          </w:p>
        </w:tc>
        <w:tc>
          <w:tcPr>
            <w:tcW w:w="1060" w:type="dxa"/>
            <w:vAlign w:val="bottom"/>
            <w:gridSpan w:val="3"/>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58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115,190</w:t>
            </w:r>
          </w:p>
        </w:tc>
        <w:tc>
          <w:tcPr>
            <w:tcW w:w="220" w:type="dxa"/>
            <w:vAlign w:val="bottom"/>
          </w:tcPr>
          <w:p>
            <w:pPr>
              <w:spacing w:after="0"/>
              <w:rPr>
                <w:sz w:val="7"/>
                <w:szCs w:val="7"/>
                <w:color w:val="auto"/>
              </w:rPr>
            </w:pPr>
          </w:p>
        </w:tc>
        <w:tc>
          <w:tcPr>
            <w:tcW w:w="118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115,190</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Employee share-based</w:t>
            </w:r>
          </w:p>
        </w:tc>
        <w:tc>
          <w:tcPr>
            <w:tcW w:w="7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4,880,389</w:t>
            </w: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4,880,389</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1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(17,276,072 )</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(17,276,072 )</w:t>
            </w: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2,901</w:t>
            </w: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2,901</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0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2023</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168,360,003</w:t>
            </w:r>
          </w:p>
        </w:tc>
        <w:tc>
          <w:tcPr>
            <w:tcW w:w="220" w:type="dxa"/>
            <w:vAlign w:val="bottom"/>
          </w:tcPr>
          <w:p>
            <w:pPr>
              <w:spacing w:after="0"/>
              <w:rPr>
                <w:sz w:val="9"/>
                <w:szCs w:val="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(212,831,404 )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(78,278 )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(44,597,221 )</w:t>
            </w:r>
          </w:p>
        </w:tc>
      </w:tr>
      <w:tr>
        <w:trPr>
          <w:trHeight w:val="87"/>
        </w:trPr>
        <w:tc>
          <w:tcPr>
            <w:tcW w:w="1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8"/>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Balance as at January 1,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932,969,424</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127,310</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172,204,832</w:t>
            </w:r>
          </w:p>
        </w:tc>
        <w:tc>
          <w:tcPr>
            <w:tcW w:w="22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(226,291,430 )</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b w:val="1"/>
                <w:bCs w:val="1"/>
                <w:color w:val="auto"/>
              </w:rPr>
              <w:t>(150,744)</w:t>
            </w:r>
          </w:p>
        </w:tc>
        <w:tc>
          <w:tcPr>
            <w:tcW w:w="200" w:type="dxa"/>
            <w:vAlign w:val="bottom"/>
            <w:shd w:val="clear" w:color="auto" w:fill="CFF0FC"/>
          </w:tcPr>
          <w:p>
            <w:pPr>
              <w:spacing w:after="0"/>
              <w:rPr>
                <w:sz w:val="8"/>
                <w:szCs w:val="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(54,284,884 )</w:t>
            </w: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Common stock issued</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27,757</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25,143</w:t>
            </w:r>
          </w:p>
        </w:tc>
        <w:tc>
          <w:tcPr>
            <w:tcW w:w="220" w:type="dxa"/>
            <w:vAlign w:val="bottom"/>
          </w:tcPr>
          <w:p>
            <w:pPr>
              <w:spacing w:after="0"/>
              <w:rPr>
                <w:sz w:val="9"/>
                <w:szCs w:val="9"/>
                <w:color w:val="auto"/>
              </w:rPr>
            </w:pPr>
          </w:p>
        </w:tc>
        <w:tc>
          <w:tcPr>
            <w:tcW w:w="11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25,146</w:t>
            </w:r>
          </w:p>
        </w:tc>
        <w:tc>
          <w:tcPr>
            <w:tcW w:w="120" w:type="dxa"/>
            <w:vAlign w:val="bottom"/>
          </w:tcPr>
          <w:p>
            <w:pPr>
              <w:spacing w:after="0"/>
              <w:rPr>
                <w:sz w:val="9"/>
                <w:szCs w:val="9"/>
                <w:color w:val="auto"/>
              </w:rPr>
            </w:pPr>
          </w:p>
        </w:tc>
      </w:tr>
      <w:tr>
        <w:trPr>
          <w:trHeight w:val="113"/>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Warrants issued with loan</w:t>
            </w:r>
          </w:p>
        </w:tc>
        <w:tc>
          <w:tcPr>
            <w:tcW w:w="1060" w:type="dxa"/>
            <w:vAlign w:val="bottom"/>
            <w:gridSpan w:val="3"/>
            <w:shd w:val="clear" w:color="auto" w:fill="CFF0FC"/>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220" w:type="dxa"/>
            <w:vAlign w:val="bottom"/>
            <w:shd w:val="clear" w:color="auto" w:fill="CFF0FC"/>
          </w:tcPr>
          <w:p>
            <w:pPr>
              <w:spacing w:after="0"/>
              <w:rPr>
                <w:sz w:val="9"/>
                <w:szCs w:val="9"/>
                <w:color w:val="auto"/>
              </w:rPr>
            </w:pPr>
          </w:p>
        </w:tc>
        <w:tc>
          <w:tcPr>
            <w:tcW w:w="11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1,782</w:t>
            </w:r>
          </w:p>
        </w:tc>
        <w:tc>
          <w:tcPr>
            <w:tcW w:w="120" w:type="dxa"/>
            <w:vAlign w:val="bottom"/>
            <w:shd w:val="clear" w:color="auto" w:fill="CFF0FC"/>
          </w:tcPr>
          <w:p>
            <w:pPr>
              <w:spacing w:after="0"/>
              <w:rPr>
                <w:sz w:val="9"/>
                <w:szCs w:val="9"/>
                <w:color w:val="auto"/>
              </w:rPr>
            </w:pPr>
          </w:p>
        </w:tc>
      </w:tr>
      <w:tr>
        <w:trPr>
          <w:trHeight w:val="91"/>
        </w:trPr>
        <w:tc>
          <w:tcPr>
            <w:tcW w:w="172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Share-based compensation to</w:t>
            </w: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8"/>
                <w:szCs w:val="8"/>
                <w:color w:val="auto"/>
              </w:rPr>
              <w:t>2,190,482</w:t>
            </w: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right"/>
              <w:spacing w:after="0" w:line="91" w:lineRule="exact"/>
              <w:rPr>
                <w:sz w:val="20"/>
                <w:szCs w:val="20"/>
                <w:color w:val="auto"/>
              </w:rPr>
            </w:pPr>
            <w:r>
              <w:rPr>
                <w:rFonts w:ascii="Times New Roman" w:cs="Times New Roman" w:eastAsia="Times New Roman" w:hAnsi="Times New Roman"/>
                <w:sz w:val="8"/>
                <w:szCs w:val="8"/>
                <w:color w:val="auto"/>
              </w:rPr>
              <w:t>2,190,482</w:t>
            </w:r>
          </w:p>
        </w:tc>
        <w:tc>
          <w:tcPr>
            <w:tcW w:w="120" w:type="dxa"/>
            <w:vAlign w:val="bottom"/>
          </w:tcPr>
          <w:p>
            <w:pPr>
              <w:spacing w:after="0"/>
              <w:rPr>
                <w:sz w:val="7"/>
                <w:szCs w:val="7"/>
                <w:color w:val="auto"/>
              </w:rPr>
            </w:pPr>
          </w:p>
        </w:tc>
      </w:tr>
      <w:tr>
        <w:trPr>
          <w:trHeight w:val="104"/>
        </w:trPr>
        <w:tc>
          <w:tcPr>
            <w:tcW w:w="1720" w:type="dxa"/>
            <w:vAlign w:val="bottom"/>
          </w:tcPr>
          <w:p>
            <w:pPr>
              <w:ind w:left="60"/>
              <w:spacing w:after="0"/>
              <w:rPr>
                <w:sz w:val="20"/>
                <w:szCs w:val="20"/>
                <w:color w:val="auto"/>
              </w:rPr>
            </w:pPr>
            <w:r>
              <w:rPr>
                <w:rFonts w:ascii="Times New Roman" w:cs="Times New Roman" w:eastAsia="Times New Roman" w:hAnsi="Times New Roman"/>
                <w:sz w:val="8"/>
                <w:szCs w:val="8"/>
                <w:color w:val="auto"/>
              </w:rPr>
              <w:t>related parties</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Employee share-based</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1120" w:type="dxa"/>
            <w:vAlign w:val="bottom"/>
            <w:gridSpan w:val="2"/>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1,852,702</w:t>
            </w:r>
          </w:p>
        </w:tc>
        <w:tc>
          <w:tcPr>
            <w:tcW w:w="220" w:type="dxa"/>
            <w:vAlign w:val="bottom"/>
            <w:shd w:val="clear" w:color="auto" w:fill="CFF0FC"/>
          </w:tcPr>
          <w:p>
            <w:pPr>
              <w:spacing w:after="0"/>
              <w:rPr>
                <w:sz w:val="7"/>
                <w:szCs w:val="7"/>
                <w:color w:val="auto"/>
              </w:rPr>
            </w:pP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1,852,702</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13"/>
        </w:trPr>
        <w:tc>
          <w:tcPr>
            <w:tcW w:w="17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6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1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(12,842,446 )</w:t>
            </w:r>
          </w:p>
        </w:tc>
        <w:tc>
          <w:tcPr>
            <w:tcW w:w="11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(12,842,446 )</w:t>
            </w:r>
          </w:p>
        </w:tc>
      </w:tr>
      <w:tr>
        <w:trPr>
          <w:trHeight w:val="91"/>
        </w:trPr>
        <w:tc>
          <w:tcPr>
            <w:tcW w:w="17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Foreign currency translation</w:t>
            </w:r>
          </w:p>
        </w:tc>
        <w:tc>
          <w:tcPr>
            <w:tcW w:w="1060" w:type="dxa"/>
            <w:vAlign w:val="bottom"/>
            <w:gridSpan w:val="3"/>
            <w:shd w:val="clear" w:color="auto" w:fill="CFF0FC"/>
          </w:tcPr>
          <w:p>
            <w:pPr>
              <w:jc w:val="right"/>
              <w:ind w:right="340"/>
              <w:spacing w:after="0" w:line="91"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FF0FC"/>
          </w:tcPr>
          <w:p>
            <w:pPr>
              <w:spacing w:after="0"/>
              <w:rPr>
                <w:sz w:val="7"/>
                <w:szCs w:val="7"/>
                <w:color w:val="auto"/>
              </w:rPr>
            </w:pPr>
          </w:p>
        </w:tc>
        <w:tc>
          <w:tcPr>
            <w:tcW w:w="5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20"/>
              <w:spacing w:after="0" w:line="91"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gridSpan w:val="2"/>
            <w:shd w:val="clear" w:color="auto" w:fill="CFF0FC"/>
          </w:tcPr>
          <w:p>
            <w:pPr>
              <w:jc w:val="right"/>
              <w:ind w:right="240"/>
              <w:spacing w:after="0" w:line="91"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108,091</w:t>
            </w:r>
          </w:p>
        </w:tc>
        <w:tc>
          <w:tcPr>
            <w:tcW w:w="200" w:type="dxa"/>
            <w:vAlign w:val="bottom"/>
            <w:shd w:val="clear" w:color="auto" w:fill="CFF0FC"/>
          </w:tcPr>
          <w:p>
            <w:pPr>
              <w:spacing w:after="0"/>
              <w:rPr>
                <w:sz w:val="7"/>
                <w:szCs w:val="7"/>
                <w:color w:val="auto"/>
              </w:rPr>
            </w:pPr>
          </w:p>
        </w:tc>
        <w:tc>
          <w:tcPr>
            <w:tcW w:w="780" w:type="dxa"/>
            <w:vAlign w:val="bottom"/>
            <w:shd w:val="clear" w:color="auto" w:fill="CFF0FC"/>
          </w:tcPr>
          <w:p>
            <w:pPr>
              <w:jc w:val="right"/>
              <w:spacing w:after="0" w:line="91" w:lineRule="exact"/>
              <w:rPr>
                <w:sz w:val="20"/>
                <w:szCs w:val="20"/>
                <w:color w:val="auto"/>
              </w:rPr>
            </w:pPr>
            <w:r>
              <w:rPr>
                <w:rFonts w:ascii="Times New Roman" w:cs="Times New Roman" w:eastAsia="Times New Roman" w:hAnsi="Times New Roman"/>
                <w:sz w:val="8"/>
                <w:szCs w:val="8"/>
                <w:color w:val="auto"/>
              </w:rPr>
              <w:t>108,091</w:t>
            </w:r>
          </w:p>
        </w:tc>
        <w:tc>
          <w:tcPr>
            <w:tcW w:w="120" w:type="dxa"/>
            <w:vAlign w:val="bottom"/>
            <w:shd w:val="clear" w:color="auto" w:fill="CFF0FC"/>
          </w:tcPr>
          <w:p>
            <w:pPr>
              <w:spacing w:after="0"/>
              <w:rPr>
                <w:sz w:val="7"/>
                <w:szCs w:val="7"/>
                <w:color w:val="auto"/>
              </w:rPr>
            </w:pPr>
          </w:p>
        </w:tc>
      </w:tr>
      <w:tr>
        <w:trPr>
          <w:trHeight w:val="104"/>
        </w:trPr>
        <w:tc>
          <w:tcPr>
            <w:tcW w:w="1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gain</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98"/>
        </w:trPr>
        <w:tc>
          <w:tcPr>
            <w:tcW w:w="17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Balance as at June 30, 2024</w:t>
            </w:r>
          </w:p>
        </w:tc>
        <w:tc>
          <w:tcPr>
            <w:tcW w:w="7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932,997,181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127,313</w:t>
            </w:r>
          </w:p>
        </w:tc>
        <w:tc>
          <w:tcPr>
            <w:tcW w:w="24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28,039,517</w:t>
            </w:r>
          </w:p>
        </w:tc>
        <w:tc>
          <w:tcPr>
            <w:tcW w:w="24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3,868</w:t>
            </w:r>
          </w:p>
        </w:tc>
        <w:tc>
          <w:tcPr>
            <w:tcW w:w="220" w:type="dxa"/>
            <w:vAlign w:val="bottom"/>
          </w:tcPr>
          <w:p>
            <w:pPr>
              <w:spacing w:after="0"/>
              <w:rPr>
                <w:sz w:val="8"/>
                <w:szCs w:val="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176,274,941</w:t>
            </w:r>
          </w:p>
        </w:tc>
        <w:tc>
          <w:tcPr>
            <w:tcW w:w="220" w:type="dxa"/>
            <w:vAlign w:val="bottom"/>
          </w:tcPr>
          <w:p>
            <w:pPr>
              <w:spacing w:after="0"/>
              <w:rPr>
                <w:sz w:val="8"/>
                <w:szCs w:val="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(239,133,876 )</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(178,720 )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(42,653 )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b w:val="1"/>
                <w:bCs w:val="1"/>
                <w:color w:val="auto"/>
              </w:rPr>
              <w:t>(62,949,127 )</w:t>
            </w:r>
          </w:p>
        </w:tc>
      </w:tr>
      <w:tr>
        <w:trPr>
          <w:trHeight w:val="20"/>
        </w:trPr>
        <w:tc>
          <w:tcPr>
            <w:tcW w:w="1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Condensed Interim Consolidated Carve-out Statements of Cash Flows</w:t>
      </w:r>
    </w:p>
    <w:p>
      <w:pPr>
        <w:spacing w:after="0"/>
        <w:rPr>
          <w:sz w:val="20"/>
          <w:szCs w:val="20"/>
          <w:color w:val="auto"/>
        </w:rPr>
      </w:pPr>
      <w:r>
        <w:rPr>
          <w:rFonts w:ascii="Times New Roman" w:cs="Times New Roman" w:eastAsia="Times New Roman" w:hAnsi="Times New Roman"/>
          <w:sz w:val="10"/>
          <w:szCs w:val="10"/>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8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60" w:type="dxa"/>
            <w:vAlign w:val="bottom"/>
          </w:tcPr>
          <w:p>
            <w:pPr>
              <w:jc w:val="center"/>
              <w:ind w:right="212"/>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8180" w:type="dxa"/>
            <w:vAlign w:val="bottom"/>
          </w:tcPr>
          <w:p>
            <w:pPr>
              <w:jc w:val="center"/>
              <w:ind w:left="7512"/>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880" w:type="dxa"/>
            <w:vAlign w:val="bottom"/>
          </w:tcPr>
          <w:p>
            <w:pPr>
              <w:spacing w:after="0"/>
              <w:rPr>
                <w:sz w:val="8"/>
                <w:szCs w:val="8"/>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98"/>
        </w:trPr>
        <w:tc>
          <w:tcPr>
            <w:tcW w:w="8180" w:type="dxa"/>
            <w:vAlign w:val="bottom"/>
          </w:tcPr>
          <w:p>
            <w:pPr>
              <w:jc w:val="center"/>
              <w:ind w:left="7492"/>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80" w:type="dxa"/>
            <w:vAlign w:val="bottom"/>
          </w:tcPr>
          <w:p>
            <w:pPr>
              <w:spacing w:after="0"/>
              <w:rPr>
                <w:sz w:val="8"/>
                <w:szCs w:val="8"/>
                <w:color w:val="auto"/>
              </w:rPr>
            </w:pPr>
          </w:p>
        </w:tc>
        <w:tc>
          <w:tcPr>
            <w:tcW w:w="1560" w:type="dxa"/>
            <w:vAlign w:val="bottom"/>
          </w:tcPr>
          <w:p>
            <w:pPr>
              <w:jc w:val="center"/>
              <w:ind w:right="212"/>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06"/>
        </w:trPr>
        <w:tc>
          <w:tcPr>
            <w:tcW w:w="8180" w:type="dxa"/>
            <w:vAlign w:val="bottom"/>
          </w:tcPr>
          <w:p>
            <w:pPr>
              <w:jc w:val="center"/>
              <w:ind w:left="749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880" w:type="dxa"/>
            <w:vAlign w:val="bottom"/>
          </w:tcPr>
          <w:p>
            <w:pPr>
              <w:spacing w:after="0"/>
              <w:rPr>
                <w:sz w:val="9"/>
                <w:szCs w:val="9"/>
                <w:color w:val="auto"/>
              </w:rPr>
            </w:pPr>
          </w:p>
        </w:tc>
        <w:tc>
          <w:tcPr>
            <w:tcW w:w="1560" w:type="dxa"/>
            <w:vAlign w:val="bottom"/>
          </w:tcPr>
          <w:p>
            <w:pPr>
              <w:jc w:val="center"/>
              <w:ind w:right="192"/>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w w:val="92"/>
              </w:rPr>
              <w:t>(12,842,446 )</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(17,276,072 )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activities:</w:t>
            </w:r>
          </w:p>
        </w:tc>
        <w:tc>
          <w:tcPr>
            <w:tcW w:w="8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120,841</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121,571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loss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2,190,482</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1,291,429</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 employees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1,852,702</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3,588,960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 and other current assets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1,156,316</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3,009,002</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3,054,946</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accounts receivable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1,100</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534</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8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(131,679 )</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(695,026 )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Increase/(decrease) in accounts payable, accrued expenses and other payables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477,428</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(263,348 )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Increase/(Decrease) in other payables with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315,895</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(125,000 )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b w:val="1"/>
                <w:bCs w:val="1"/>
                <w:color w:val="auto"/>
              </w:rPr>
              <w:t xml:space="preserve">(4,898,451 </w:t>
            </w:r>
            <w:r>
              <w:rPr>
                <w:rFonts w:ascii="Times New Roman" w:cs="Times New Roman" w:eastAsia="Times New Roman" w:hAnsi="Times New Roman"/>
                <w:sz w:val="10"/>
                <w:szCs w:val="10"/>
                <w:color w:val="auto"/>
              </w:rPr>
              <w:t>)</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(8,818,307 )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(1,360,525 )</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(104,604 )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88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(3,850 )</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(8,060 )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88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b w:val="1"/>
                <w:bCs w:val="1"/>
                <w:color w:val="auto"/>
              </w:rPr>
              <w:t xml:space="preserve">(1,364,375 </w:t>
            </w:r>
            <w:r>
              <w:rPr>
                <w:rFonts w:ascii="Times New Roman" w:cs="Times New Roman" w:eastAsia="Times New Roman" w:hAnsi="Times New Roman"/>
                <w:sz w:val="10"/>
                <w:szCs w:val="10"/>
                <w:color w:val="auto"/>
              </w:rPr>
              <w:t>)</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(112,664 )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88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rights issuance</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1,350,000</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1,653,882</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Call up capital received from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222,306</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199,974</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Repayment of short term debt obligation from related parties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(250,000 )</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4,178,008</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400,000</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762,505</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convertible debt</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4,301,855</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2,627,543</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6,274,161</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9,171,912</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38,522</w:t>
            </w:r>
          </w:p>
        </w:tc>
        <w:tc>
          <w:tcPr>
            <w:tcW w:w="156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(159,230 )</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49,857</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81,711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39,380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period</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b w:val="1"/>
                <w:bCs w:val="1"/>
                <w:color w:val="auto"/>
              </w:rPr>
              <w:t>60,298</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b w:val="1"/>
                <w:bCs w:val="1"/>
                <w:color w:val="auto"/>
              </w:rPr>
              <w:t>121,091</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88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115,190</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paid for interest</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paid for taxes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8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880" w:type="dxa"/>
            <w:vAlign w:val="bottom"/>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6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3,000,000</w:t>
            </w:r>
          </w:p>
        </w:tc>
      </w:tr>
      <w:tr>
        <w:trPr>
          <w:trHeight w:val="113"/>
        </w:trPr>
        <w:tc>
          <w:tcPr>
            <w:tcW w:w="8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Conversion of expenses under advanced subscription agreements</w:t>
            </w:r>
          </w:p>
        </w:tc>
        <w:tc>
          <w:tcPr>
            <w:tcW w:w="880" w:type="dxa"/>
            <w:vAlign w:val="bottom"/>
            <w:shd w:val="clear" w:color="auto" w:fill="CFF0FC"/>
          </w:tcPr>
          <w:p>
            <w:pPr>
              <w:jc w:val="right"/>
              <w:ind w:right="351"/>
              <w:spacing w:after="0" w:line="113" w:lineRule="exact"/>
              <w:rPr>
                <w:sz w:val="20"/>
                <w:szCs w:val="20"/>
                <w:color w:val="auto"/>
              </w:rPr>
            </w:pPr>
            <w:r>
              <w:rPr>
                <w:rFonts w:ascii="Times New Roman" w:cs="Times New Roman" w:eastAsia="Times New Roman" w:hAnsi="Times New Roman"/>
                <w:sz w:val="10"/>
                <w:szCs w:val="10"/>
                <w:color w:val="auto"/>
              </w:rPr>
              <w:t>25,143</w:t>
            </w:r>
          </w:p>
        </w:tc>
        <w:tc>
          <w:tcPr>
            <w:tcW w:w="156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132,453</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condensed interim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18"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preparation and consolidation</w:t>
      </w:r>
    </w:p>
    <w:p>
      <w:pPr>
        <w:spacing w:after="0" w:line="60"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These condensed interim carve-out consolidated financial statements are for the six month period ended June 30, 2024 and are presented in United States Dollars ($) which is the functional currency of the parent company, Rezolve AI Limited. The accompanying unaudited condensed financial statements of the Company are presented in conformity with accounting principles generally accepted in the United States of America (“US GAAP”) and pursuant to the rules and regulations of the U.S. Securities and Exchange Commission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They have been prepared in accordance with Accounting Standards Codification (“ASC”)- 270 “Interim Reporting” and Article 10 of Regulation S-X for interim financial information. They do not include all of the information required in annual consolidated financial statements in accordance with accounting principles generally accepted in the United States of America (“US GAAP”). The accompanying unaudited condensed interim carve-out consolidated financial statements should be read in conjunction with the consolidated carve-out financial statements for the year ended December 31, 2023. However, selected explanatory notes are included to explain events and transactions that are significant to an understanding of the changes in the Company’s financial position and performance since the last annual financial statements. The interim results for the six months ended June 30, 2024 are not necessarily indicative of the results to be expected for the year ending December 31, 2024 or for any future interim periods.</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accounting policies used for the condensed interim consolidated carve-out financial statements for the six-month period ended June 30, 2024 are consistent with those used in the annual carve-out consolidated financial statements for the year ended December 31, 2023. There has been no material change to the Company’s significant accounting policies during the six months ended June 30, 2024.</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will legally not include Rezolve Shanghai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323215</wp:posOffset>
            </wp:positionV>
            <wp:extent cx="6778625" cy="349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9"/>
          <w:szCs w:val="9"/>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six months ending June 30, 2024 and 2023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does not have any VIEs to which we are the primary beneficiary.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significant intercompany accounts and transactions have been eliminated in the consolidated financial statements. A list of subsidiary entities and the groups holding as at June 30, 2024, and December 31, 2023, are as follows:</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106"/>
        </w:trPr>
        <w:tc>
          <w:tcPr>
            <w:tcW w:w="322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Country of incorporation</w:t>
            </w:r>
          </w:p>
        </w:tc>
        <w:tc>
          <w:tcPr>
            <w:tcW w:w="192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Group shareholding (%)</w:t>
            </w:r>
          </w:p>
        </w:tc>
      </w:tr>
      <w:tr>
        <w:trPr>
          <w:trHeight w:val="113"/>
        </w:trPr>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Mobile Commerce Inc.</w:t>
            </w:r>
          </w:p>
        </w:tc>
        <w:tc>
          <w:tcPr>
            <w:tcW w:w="2360" w:type="dxa"/>
            <w:vAlign w:val="bottom"/>
            <w:shd w:val="clear" w:color="auto" w:fill="CFF0FC"/>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5"/>
              </w:rPr>
              <w:t>April 20, 2016</w:t>
            </w:r>
          </w:p>
        </w:tc>
        <w:tc>
          <w:tcPr>
            <w:tcW w:w="208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6"/>
              </w:rPr>
              <w:t>United States of America</w:t>
            </w:r>
          </w:p>
        </w:tc>
        <w:tc>
          <w:tcPr>
            <w:tcW w:w="192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13"/>
        </w:trPr>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Technology S.L.</w:t>
            </w:r>
          </w:p>
        </w:tc>
        <w:tc>
          <w:tcPr>
            <w:tcW w:w="2360" w:type="dxa"/>
            <w:vAlign w:val="bottom"/>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6"/>
              </w:rPr>
              <w:t>August 25, 2020</w:t>
            </w:r>
          </w:p>
        </w:tc>
        <w:tc>
          <w:tcPr>
            <w:tcW w:w="208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6"/>
              </w:rPr>
              <w:t>Spain</w:t>
            </w:r>
          </w:p>
        </w:tc>
        <w:tc>
          <w:tcPr>
            <w:tcW w:w="1920" w:type="dxa"/>
            <w:vAlign w:val="bottom"/>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13"/>
        </w:trPr>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Taiwan Limited</w:t>
            </w:r>
          </w:p>
        </w:tc>
        <w:tc>
          <w:tcPr>
            <w:tcW w:w="2360" w:type="dxa"/>
            <w:vAlign w:val="bottom"/>
            <w:shd w:val="clear" w:color="auto" w:fill="CFF0FC"/>
          </w:tcPr>
          <w:p>
            <w:pPr>
              <w:jc w:val="center"/>
              <w:ind w:left="433"/>
              <w:spacing w:after="0" w:line="113" w:lineRule="exact"/>
              <w:rPr>
                <w:sz w:val="20"/>
                <w:szCs w:val="20"/>
                <w:color w:val="auto"/>
              </w:rPr>
            </w:pPr>
            <w:r>
              <w:rPr>
                <w:rFonts w:ascii="Times New Roman" w:cs="Times New Roman" w:eastAsia="Times New Roman" w:hAnsi="Times New Roman"/>
                <w:sz w:val="10"/>
                <w:szCs w:val="10"/>
                <w:color w:val="auto"/>
                <w:w w:val="96"/>
              </w:rPr>
              <w:t>November 9, 2000</w:t>
            </w:r>
          </w:p>
        </w:tc>
        <w:tc>
          <w:tcPr>
            <w:tcW w:w="208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3"/>
              </w:rPr>
              <w:t>Taiwan</w:t>
            </w:r>
          </w:p>
        </w:tc>
        <w:tc>
          <w:tcPr>
            <w:tcW w:w="1920" w:type="dxa"/>
            <w:vAlign w:val="bottom"/>
            <w:shd w:val="clear" w:color="auto" w:fill="CFF0FC"/>
          </w:tcPr>
          <w:p>
            <w:pPr>
              <w:jc w:val="center"/>
              <w:spacing w:after="0" w:line="113" w:lineRule="exact"/>
              <w:rPr>
                <w:sz w:val="20"/>
                <w:szCs w:val="20"/>
                <w:color w:val="auto"/>
              </w:rPr>
            </w:pPr>
            <w:r>
              <w:rPr>
                <w:rFonts w:ascii="Times New Roman" w:cs="Times New Roman" w:eastAsia="Times New Roman" w:hAnsi="Times New Roman"/>
                <w:sz w:val="10"/>
                <w:szCs w:val="10"/>
                <w:color w:val="auto"/>
                <w:w w:val="94"/>
              </w:rPr>
              <w:t>100%</w:t>
            </w:r>
          </w:p>
        </w:tc>
      </w:tr>
      <w:tr>
        <w:trPr>
          <w:trHeight w:val="125"/>
        </w:trPr>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360" w:type="dxa"/>
            <w:vAlign w:val="bottom"/>
          </w:tcPr>
          <w:p>
            <w:pPr>
              <w:jc w:val="center"/>
              <w:ind w:left="433"/>
              <w:spacing w:after="0"/>
              <w:rPr>
                <w:sz w:val="20"/>
                <w:szCs w:val="20"/>
                <w:color w:val="auto"/>
              </w:rPr>
            </w:pPr>
            <w:r>
              <w:rPr>
                <w:rFonts w:ascii="Times New Roman" w:cs="Times New Roman" w:eastAsia="Times New Roman" w:hAnsi="Times New Roman"/>
                <w:sz w:val="10"/>
                <w:szCs w:val="10"/>
                <w:color w:val="auto"/>
                <w:w w:val="94"/>
              </w:rPr>
              <w:t>March 20, 2021</w:t>
            </w:r>
          </w:p>
        </w:tc>
        <w:tc>
          <w:tcPr>
            <w:tcW w:w="20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India</w:t>
            </w:r>
          </w:p>
        </w:tc>
        <w:tc>
          <w:tcPr>
            <w:tcW w:w="19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100%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2.3.Use of estimates</w:t>
      </w:r>
    </w:p>
    <w:p>
      <w:pPr>
        <w:spacing w:after="0" w:line="60"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Management’s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2.4.Emerging Growth Company</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is an “emerging growth company,” as defined in Section 2(a) of the Securities Act of 1933, as amended, (the “Securities Act”), as modified by the Jumpstart our Business Startups Act of 2012, (the “JOBS Act”) .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w:t>
      </w:r>
    </w:p>
    <w:p>
      <w:pPr>
        <w:spacing w:after="0" w:line="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requirements that apply to non-emerging growth companies but any such election to opt out is irrevocable, provided that early adoption is permitted by the new or revised accounting standard. The Company has elected to not opt out of such extended transition period,</w:t>
      </w:r>
    </w:p>
    <w:p>
      <w:pPr>
        <w:spacing w:after="0" w:line="129"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2.5.Liquidity</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 In accordance with ASU No. 2014-15, Disclosure of Uncertainties about an Entity’s Ability to Continue as a Going concern (Subtopic 205-40), the Company has evaluated whether there are conditions and events, considered in the aggregate, that raise substantial doubt about its ability to continue as a going concern within one year after the date that the condensed consolidated financial statements are issued.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historically funded its operations with cash flow from debt and equity capital raises agreements from investors. The Company's principal uses of cash have been working capital and funding operations.</w:t>
      </w:r>
    </w:p>
    <w:p>
      <w:pPr>
        <w:spacing w:after="0" w:line="11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As of June 30, 2024, the Company had an accumulated deficit of $239.1 million. For the six months ended June 30, 2024, the Company incurred a net loss of $ 12.8 million and net cash used in operating activities was $4.9 million. Cash and cash equivalents totaled $0.06 million as of June 30, 2024. The Company has a working capital deficit of $18.8 million as at June 30, 2024. The Company continues to incur losses while it develops technological services and targets customers. Our sources of cash for these activities rely on debt and equity funding. The ability to raise funding proved challenging beginning in the year ended December 31, 2022 which coincided with the increase in interest rates. Interest rates have started to decrease, however the ability to raise funding continues to be constrained.</w:t>
      </w:r>
    </w:p>
    <w:p>
      <w:pPr>
        <w:spacing w:after="0" w:line="108" w:lineRule="exact"/>
        <w:rPr>
          <w:sz w:val="20"/>
          <w:szCs w:val="20"/>
          <w:color w:val="auto"/>
        </w:rPr>
      </w:pPr>
    </w:p>
    <w:p>
      <w:pPr>
        <w:ind w:right="60" w:firstLine="480"/>
        <w:spacing w:after="0" w:line="292" w:lineRule="auto"/>
        <w:rPr>
          <w:sz w:val="20"/>
          <w:szCs w:val="20"/>
          <w:color w:val="auto"/>
        </w:rPr>
      </w:pPr>
      <w:r>
        <w:rPr>
          <w:rFonts w:ascii="Times New Roman" w:cs="Times New Roman" w:eastAsia="Times New Roman" w:hAnsi="Times New Roman"/>
          <w:sz w:val="10"/>
          <w:szCs w:val="10"/>
          <w:color w:val="auto"/>
        </w:rPr>
        <w:t>In the six months ending June 30, 2024, the Company obtained two unsecured convertible loans (Note 5.4) as well as an unsecured promissory note (Note 5.5). Subsequent to the date of these condensed interim carve-out consolidated financial statements, the Company executed an amended to it’s senior secured convertible notes (5.3) whereby the maturity date was extended to August 14</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2027.</w:t>
      </w:r>
    </w:p>
    <w:p>
      <w:pPr>
        <w:spacing w:after="0" w:line="3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(Note 5.4), were considered. Consequently, it has been concluded that significant doubt exists regarding the entity’s ability to continue as a going concern.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2.6.Recently issued accounting pronouncements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December 2023, the Financial Accounting Standards Board (the FASB) issued Accounting Standards Update (ASU) No. 2023-09, Improvements to Income Tax Disclosures (ASU 2023-09),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108" w:lineRule="exact"/>
        <w:rPr>
          <w:sz w:val="20"/>
          <w:szCs w:val="20"/>
          <w:color w:val="auto"/>
        </w:rPr>
      </w:pPr>
    </w:p>
    <w:p>
      <w:pPr>
        <w:jc w:val="both"/>
        <w:ind w:right="140" w:firstLine="480"/>
        <w:spacing w:after="0" w:line="277" w:lineRule="auto"/>
        <w:rPr>
          <w:sz w:val="20"/>
          <w:szCs w:val="20"/>
          <w:color w:val="auto"/>
        </w:rPr>
      </w:pPr>
      <w:r>
        <w:rPr>
          <w:rFonts w:ascii="Times New Roman" w:cs="Times New Roman" w:eastAsia="Times New Roman" w:hAnsi="Times New Roman"/>
          <w:sz w:val="9"/>
          <w:szCs w:val="9"/>
          <w:color w:val="auto"/>
        </w:rPr>
        <w:t>In November 2023, the FASB issued ASU No. 2023-07, Improvements to Reportable Segment Disclosures (ASU 2023-07),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92"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October 2023, the Financial Accounting Standards Board (“FASB”) issued ASU 2023-06, “Disclosure Improvements: Codification Amendments in Response to the SEC’s Disclosure Update and Simplification Initiative” (“ASU 2023-06”). This ASU incorporates certain SEC disclosure requirements into the FASB Accounting Standards Codification (“ASC”). The amendments in the ASU are expected to clarify or improve disclosure and presentation requirements of a variety of ASC Topics, allow users to more easily compare entities subject to the SEC’s existing disclosures with those entities that were not previously subject to the requirements, and align the requirements in the ASC with the SEC’s regulations. The ASU has an unusual effective date and transition requirements since it is contingent on future SEC rule setting. If the SEC fails to enact required changes by June 30, 2027, this ASU is not effective for any entities. Early adoption is not permitted. The Company is currently evaluating the impact that the adoption of this standard will have on its consolidated financial statements.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2.8.Net loss per share</w:t>
      </w:r>
    </w:p>
    <w:p>
      <w:pPr>
        <w:spacing w:after="0" w:line="60"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Company has two classes of issued shares, ordinary shares and series A preferred. 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June 30, 2024, and December 31, 2023, the Company’s Board of Directors had not declared any dividends for ordinary shares.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1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0"/>
          <w:szCs w:val="10"/>
          <w:color w:val="auto"/>
        </w:rPr>
        <w:t>the effect of dilutive ordinary share equivalents, as their effect would be antidilutive. Diluted loss per share is equal to the net loss per share as all potentially dilutive securities are anti-dilutive in the periods presented. For the periods ended June 30, 2024 and 2023 the Company incurred net losses and therefore no potential dilutive ordinary share were utilized in the calculation of losses per share.</w:t>
      </w:r>
    </w:p>
    <w:p>
      <w:pPr>
        <w:spacing w:after="0" w:line="101"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4080" w:type="dxa"/>
            <w:vAlign w:val="bottom"/>
          </w:tcPr>
          <w:p>
            <w:pPr>
              <w:spacing w:after="0"/>
              <w:rPr>
                <w:sz w:val="9"/>
                <w:szCs w:val="9"/>
                <w:color w:val="auto"/>
              </w:rPr>
            </w:pP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00" w:type="dxa"/>
            <w:vAlign w:val="bottom"/>
          </w:tcPr>
          <w:p>
            <w:pPr>
              <w:spacing w:after="0"/>
              <w:rPr>
                <w:sz w:val="9"/>
                <w:szCs w:val="9"/>
                <w:color w:val="auto"/>
              </w:rPr>
            </w:pPr>
          </w:p>
        </w:tc>
      </w:tr>
      <w:tr>
        <w:trPr>
          <w:trHeight w:val="100"/>
        </w:trPr>
        <w:tc>
          <w:tcPr>
            <w:tcW w:w="408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Convertible loans</w:t>
            </w:r>
          </w:p>
        </w:tc>
        <w:tc>
          <w:tcPr>
            <w:tcW w:w="1100" w:type="dxa"/>
            <w:vAlign w:val="bottom"/>
            <w:shd w:val="clear" w:color="auto" w:fill="CFF0FC"/>
          </w:tcPr>
          <w:p>
            <w:pPr>
              <w:spacing w:after="0"/>
              <w:rPr>
                <w:sz w:val="8"/>
                <w:szCs w:val="8"/>
                <w:color w:val="auto"/>
              </w:rPr>
            </w:pPr>
          </w:p>
        </w:tc>
        <w:tc>
          <w:tcPr>
            <w:tcW w:w="50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5,423,768</w:t>
            </w:r>
          </w:p>
        </w:tc>
        <w:tc>
          <w:tcPr>
            <w:tcW w:w="10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4,273,552</w:t>
            </w:r>
          </w:p>
        </w:tc>
        <w:tc>
          <w:tcPr>
            <w:tcW w:w="100" w:type="dxa"/>
            <w:vAlign w:val="bottom"/>
            <w:shd w:val="clear" w:color="auto" w:fill="CFF0FC"/>
          </w:tcPr>
          <w:p>
            <w:pPr>
              <w:spacing w:after="0"/>
              <w:rPr>
                <w:sz w:val="8"/>
                <w:szCs w:val="8"/>
                <w:color w:val="auto"/>
              </w:rPr>
            </w:pPr>
          </w:p>
        </w:tc>
      </w:tr>
      <w:tr>
        <w:trPr>
          <w:trHeight w:val="113"/>
        </w:trPr>
        <w:tc>
          <w:tcPr>
            <w:tcW w:w="51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loan from related party</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1,037,575</w:t>
            </w:r>
          </w:p>
        </w:tc>
        <w:tc>
          <w:tcPr>
            <w:tcW w:w="100" w:type="dxa"/>
            <w:vAlign w:val="bottom"/>
          </w:tcPr>
          <w:p>
            <w:pPr>
              <w:spacing w:after="0"/>
              <w:rPr>
                <w:sz w:val="9"/>
                <w:szCs w:val="9"/>
                <w:color w:val="auto"/>
              </w:rPr>
            </w:pPr>
          </w:p>
        </w:tc>
      </w:tr>
      <w:tr>
        <w:trPr>
          <w:trHeight w:val="113"/>
        </w:trPr>
        <w:tc>
          <w:tcPr>
            <w:tcW w:w="51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Shares payable</w:t>
            </w: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6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00" w:type="dxa"/>
            <w:vAlign w:val="bottom"/>
            <w:shd w:val="clear" w:color="auto" w:fill="CFF0FC"/>
          </w:tcPr>
          <w:p>
            <w:pPr>
              <w:spacing w:after="0"/>
              <w:rPr>
                <w:sz w:val="9"/>
                <w:szCs w:val="9"/>
                <w:color w:val="auto"/>
              </w:rPr>
            </w:pPr>
          </w:p>
        </w:tc>
      </w:tr>
      <w:tr>
        <w:trPr>
          <w:trHeight w:val="113"/>
        </w:trPr>
        <w:tc>
          <w:tcPr>
            <w:tcW w:w="51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Warrants</w:t>
            </w:r>
          </w:p>
        </w:tc>
        <w:tc>
          <w:tcPr>
            <w:tcW w:w="5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3,521,846</w:t>
            </w:r>
          </w:p>
        </w:tc>
        <w:tc>
          <w:tcPr>
            <w:tcW w:w="10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r>
      <w:tr>
        <w:trPr>
          <w:trHeight w:val="113"/>
        </w:trPr>
        <w:tc>
          <w:tcPr>
            <w:tcW w:w="51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 options</w:t>
            </w:r>
          </w:p>
        </w:tc>
        <w:tc>
          <w:tcPr>
            <w:tcW w:w="5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16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100" w:type="dxa"/>
            <w:vAlign w:val="bottom"/>
            <w:shd w:val="clear" w:color="auto" w:fill="CFF0FC"/>
          </w:tcPr>
          <w:p>
            <w:pPr>
              <w:spacing w:after="0"/>
              <w:rPr>
                <w:sz w:val="9"/>
                <w:szCs w:val="9"/>
                <w:color w:val="auto"/>
              </w:rPr>
            </w:pPr>
          </w:p>
        </w:tc>
      </w:tr>
      <w:tr>
        <w:trPr>
          <w:trHeight w:val="113"/>
        </w:trPr>
        <w:tc>
          <w:tcPr>
            <w:tcW w:w="4080" w:type="dxa"/>
            <w:vAlign w:val="bottom"/>
            <w:tcBorders>
              <w:bottom w:val="single" w:sz="8" w:color="CFF0FC"/>
            </w:tcBorders>
          </w:tcPr>
          <w:p>
            <w:pPr>
              <w:ind w:left="20"/>
              <w:spacing w:after="0" w:line="113" w:lineRule="exact"/>
              <w:rPr>
                <w:sz w:val="20"/>
                <w:szCs w:val="20"/>
                <w:color w:val="auto"/>
              </w:rPr>
            </w:pPr>
            <w:r>
              <w:rPr>
                <w:rFonts w:ascii="Times New Roman" w:cs="Times New Roman" w:eastAsia="Times New Roman" w:hAnsi="Times New Roman"/>
                <w:sz w:val="10"/>
                <w:szCs w:val="10"/>
                <w:color w:val="auto"/>
              </w:rPr>
              <w:t>Preferred shares</w:t>
            </w:r>
          </w:p>
        </w:tc>
        <w:tc>
          <w:tcPr>
            <w:tcW w:w="1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00" w:type="dxa"/>
            <w:vAlign w:val="bottom"/>
            <w:tcBorders>
              <w:bottom w:val="single" w:sz="8" w:color="CFF0FC"/>
            </w:tcBorders>
          </w:tcPr>
          <w:p>
            <w:pPr>
              <w:spacing w:after="0"/>
              <w:rPr>
                <w:sz w:val="9"/>
                <w:szCs w:val="9"/>
                <w:color w:val="auto"/>
              </w:rPr>
            </w:pPr>
          </w:p>
        </w:tc>
      </w:tr>
      <w:tr>
        <w:trPr>
          <w:trHeight w:val="103"/>
        </w:trPr>
        <w:tc>
          <w:tcPr>
            <w:tcW w:w="4080" w:type="dxa"/>
            <w:vAlign w:val="bottom"/>
            <w:tcBorders>
              <w:bottom w:val="single" w:sz="8" w:color="CFF0FC"/>
            </w:tcBorders>
            <w:shd w:val="clear" w:color="auto" w:fill="CFF0FC"/>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1100" w:type="dxa"/>
            <w:vAlign w:val="bottom"/>
            <w:tcBorders>
              <w:bottom w:val="single" w:sz="8" w:color="auto"/>
            </w:tcBorders>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42,325,131</w:t>
            </w:r>
          </w:p>
        </w:tc>
        <w:tc>
          <w:tcPr>
            <w:tcW w:w="10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38,690,644</w:t>
            </w:r>
          </w:p>
        </w:tc>
        <w:tc>
          <w:tcPr>
            <w:tcW w:w="100" w:type="dxa"/>
            <w:vAlign w:val="bottom"/>
            <w:tcBorders>
              <w:bottom w:val="single" w:sz="8" w:color="CFF0FC"/>
            </w:tcBorders>
            <w:shd w:val="clear" w:color="auto" w:fill="CFF0FC"/>
          </w:tcPr>
          <w:p>
            <w:pPr>
              <w:spacing w:after="0"/>
              <w:rPr>
                <w:sz w:val="8"/>
                <w:szCs w:val="8"/>
                <w:color w:val="auto"/>
              </w:rPr>
            </w:pPr>
          </w:p>
        </w:tc>
      </w:tr>
    </w:tbl>
    <w:p>
      <w:pPr>
        <w:spacing w:after="0" w:line="136"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uses the if converted method for calculating the dilutive effect of the convertible loans and shares payable and the treasury stock method for calculating the dilutive effect of the warrants and share options. The preferred shares are convertible at the rate of one preferred share into one common share in the event of an initial public offering.</w:t>
      </w:r>
    </w:p>
    <w:p>
      <w:pPr>
        <w:spacing w:after="0" w:line="137"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0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Employee Shares</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Requiring Additional</w:t>
            </w: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at Par Value</w:t>
            </w:r>
          </w:p>
        </w:tc>
        <w:tc>
          <w:tcPr>
            <w:tcW w:w="120" w:type="dxa"/>
            <w:vAlign w:val="bottom"/>
          </w:tcPr>
          <w:p>
            <w:pPr>
              <w:spacing w:after="0"/>
              <w:rPr>
                <w:sz w:val="8"/>
                <w:szCs w:val="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Paid in Capital</w:t>
            </w:r>
          </w:p>
        </w:tc>
        <w:tc>
          <w:tcPr>
            <w:tcW w:w="1280" w:type="dxa"/>
            <w:vAlign w:val="bottom"/>
            <w:gridSpan w:val="2"/>
          </w:tcPr>
          <w:p>
            <w:pPr>
              <w:jc w:val="right"/>
              <w:ind w:right="491"/>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8"/>
                <w:szCs w:val="8"/>
                <w:color w:val="auto"/>
              </w:rPr>
            </w:pPr>
          </w:p>
        </w:tc>
      </w:tr>
      <w:tr>
        <w:trPr>
          <w:trHeight w:val="106"/>
        </w:trPr>
        <w:tc>
          <w:tcPr>
            <w:tcW w:w="40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124"/>
              </w:rPr>
              <w:t xml:space="preserve">£ </w:t>
            </w:r>
            <w:r>
              <w:rPr>
                <w:rFonts w:ascii="Times New Roman" w:cs="Times New Roman" w:eastAsia="Times New Roman" w:hAnsi="Times New Roman"/>
                <w:sz w:val="8"/>
                <w:szCs w:val="8"/>
                <w:b w:val="1"/>
                <w:bCs w:val="1"/>
                <w:color w:val="000000"/>
              </w:rPr>
              <w:t>0.0001</w:t>
            </w:r>
          </w:p>
        </w:tc>
        <w:tc>
          <w:tcPr>
            <w:tcW w:w="1700" w:type="dxa"/>
            <w:vAlign w:val="bottom"/>
            <w:gridSpan w:val="2"/>
          </w:tcPr>
          <w:p>
            <w:pPr>
              <w:jc w:val="center"/>
              <w:ind w:left="54"/>
              <w:spacing w:after="0"/>
              <w:rPr>
                <w:sz w:val="20"/>
                <w:szCs w:val="20"/>
                <w:color w:val="auto"/>
              </w:rPr>
            </w:pPr>
            <w:r>
              <w:rPr>
                <w:rFonts w:ascii="Times New Roman" w:cs="Times New Roman" w:eastAsia="Times New Roman" w:hAnsi="Times New Roman"/>
                <w:sz w:val="8"/>
                <w:szCs w:val="8"/>
                <w:b w:val="1"/>
                <w:bCs w:val="1"/>
                <w:color w:val="202124"/>
                <w:w w:val="99"/>
              </w:rPr>
              <w:t xml:space="preserve">£ </w:t>
            </w:r>
            <w:r>
              <w:rPr>
                <w:rFonts w:ascii="Times New Roman" w:cs="Times New Roman" w:eastAsia="Times New Roman" w:hAnsi="Times New Roman"/>
                <w:sz w:val="8"/>
                <w:szCs w:val="8"/>
                <w:b w:val="1"/>
                <w:bCs w:val="1"/>
                <w:color w:val="000000"/>
                <w:w w:val="99"/>
              </w:rPr>
              <w:t>0.016</w:t>
            </w: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As at January 1, 2023</w:t>
            </w:r>
          </w:p>
        </w:tc>
        <w:tc>
          <w:tcPr>
            <w:tcW w:w="13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shd w:val="clear" w:color="auto" w:fill="CFF0FC"/>
          </w:tcPr>
          <w:p>
            <w:pPr>
              <w:spacing w:after="0"/>
              <w:rPr>
                <w:sz w:val="9"/>
                <w:szCs w:val="9"/>
                <w:color w:val="auto"/>
              </w:rPr>
            </w:pPr>
          </w:p>
        </w:tc>
      </w:tr>
      <w:tr>
        <w:trPr>
          <w:trHeight w:val="113"/>
        </w:trPr>
        <w:tc>
          <w:tcPr>
            <w:tcW w:w="40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period ended June 30, 2023</w:t>
            </w:r>
          </w:p>
        </w:tc>
        <w:tc>
          <w:tcPr>
            <w:tcW w:w="1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280" w:type="dxa"/>
            <w:vAlign w:val="bottom"/>
            <w:gridSpan w:val="2"/>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0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0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June 30, 2023</w:t>
            </w:r>
          </w:p>
        </w:tc>
        <w:tc>
          <w:tcPr>
            <w:tcW w:w="13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7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8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tcPr>
          <w:p>
            <w:pPr>
              <w:spacing w:after="0"/>
              <w:rPr>
                <w:sz w:val="9"/>
                <w:szCs w:val="9"/>
                <w:color w:val="auto"/>
              </w:rPr>
            </w:pPr>
          </w:p>
        </w:tc>
      </w:tr>
      <w:tr>
        <w:trPr>
          <w:trHeight w:val="113"/>
        </w:trPr>
        <w:tc>
          <w:tcPr>
            <w:tcW w:w="40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period ended June 30, 2024</w:t>
            </w:r>
          </w:p>
        </w:tc>
        <w:tc>
          <w:tcPr>
            <w:tcW w:w="13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9"/>
                <w:szCs w:val="9"/>
                <w:color w:val="auto"/>
              </w:rPr>
            </w:pP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9"/>
                <w:szCs w:val="9"/>
                <w:color w:val="auto"/>
              </w:rPr>
            </w:pPr>
          </w:p>
        </w:tc>
        <w:tc>
          <w:tcPr>
            <w:tcW w:w="12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04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June 30, 2024</w:t>
            </w:r>
          </w:p>
        </w:tc>
        <w:tc>
          <w:tcPr>
            <w:tcW w:w="13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 w:type="dxa"/>
            <w:vAlign w:val="bottom"/>
            <w:tcBorders>
              <w:bottom w:val="single" w:sz="8" w:color="CFF0FC"/>
            </w:tcBorders>
            <w:shd w:val="clear" w:color="auto" w:fill="CFF0FC"/>
          </w:tcPr>
          <w:p>
            <w:pPr>
              <w:spacing w:after="0"/>
              <w:rPr>
                <w:sz w:val="9"/>
                <w:szCs w:val="9"/>
                <w:color w:val="auto"/>
              </w:rPr>
            </w:pPr>
          </w:p>
        </w:tc>
        <w:tc>
          <w:tcPr>
            <w:tcW w:w="1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00" w:type="dxa"/>
            <w:vAlign w:val="bottom"/>
            <w:tcBorders>
              <w:bottom w:val="single" w:sz="8" w:color="CFF0FC"/>
            </w:tcBorders>
            <w:shd w:val="clear" w:color="auto" w:fill="CFF0FC"/>
          </w:tcPr>
          <w:p>
            <w:pPr>
              <w:spacing w:after="0"/>
              <w:rPr>
                <w:sz w:val="9"/>
                <w:szCs w:val="9"/>
                <w:color w:val="auto"/>
              </w:rPr>
            </w:pPr>
          </w:p>
        </w:tc>
        <w:tc>
          <w:tcPr>
            <w:tcW w:w="11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100" w:type="dxa"/>
            <w:vAlign w:val="bottom"/>
            <w:tcBorders>
              <w:bottom w:val="single" w:sz="8" w:color="CFF0FC"/>
            </w:tcBorders>
            <w:shd w:val="clear" w:color="auto" w:fill="CFF0FC"/>
          </w:tcPr>
          <w:p>
            <w:pPr>
              <w:spacing w:after="0"/>
              <w:rPr>
                <w:sz w:val="9"/>
                <w:szCs w:val="9"/>
                <w:color w:val="auto"/>
              </w:rPr>
            </w:pPr>
          </w:p>
        </w:tc>
      </w:tr>
    </w:tbl>
    <w:p>
      <w:pPr>
        <w:spacing w:after="0" w:line="136"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0"/>
          <w:szCs w:val="10"/>
          <w:color w:val="auto"/>
        </w:rPr>
        <w:t>payment expense to have been recognized immediately for the grant of 58,315,800 employee shares to be $13,995,792. This estimate uses a fair value per employee share of $ based on the last equity funding of the Company at $.24 per Ordinary share and an exercise price of £0.0001 for each employee share.</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2.9.Restatement of error in previously filed condensed interim carve-out consolidated financial statements: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On August 30, 2021, the Company executed a binding term sheet to acquire ANY from the Radio Group GmbH. In accordance with the binding term sheet, the Company issued 14,427,185 ordinary shares valued at $1.03 per share. The ordinary shares were</w:t>
      </w:r>
    </w:p>
    <w:p>
      <w:pPr>
        <w:spacing w:after="0" w:line="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0"/>
          <w:szCs w:val="10"/>
          <w:color w:val="auto"/>
        </w:rPr>
        <w:t>issued on February 11, 2022 at which point all of the outstanding shares of ANY were transferred from the Radio Group to the Company. On December 28, 2022 the legal ownership of ANY reverted back to the sellers of ANY, the consideration shares were reclassified as deferred shares. On April 13,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comparative condensed interim carve-out consolidated financial statements for the six months ending June 30, 2023 by restating the comparative financial statements in these condensed interim carve-out consolidated financial statements.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and for the six months then ended. The previously reported amounts reflect those included in the third and fourth amended registration statements as of and for the six months ended June 30, 2023 filed with the SEC on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decrease in net loss of $7.3 million, a decrease in total assets of $0.3 million and total liabilities and shareholders equity of $0.3 million.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6"/>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1980" w:type="dxa"/>
            <w:vAlign w:val="bottom"/>
          </w:tcPr>
          <w:p>
            <w:pPr>
              <w:spacing w:after="0"/>
              <w:rPr>
                <w:sz w:val="9"/>
                <w:szCs w:val="9"/>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760" w:type="dxa"/>
            <w:vAlign w:val="bottom"/>
            <w:gridSpan w:val="2"/>
          </w:tcPr>
          <w:p>
            <w:pPr>
              <w:jc w:val="right"/>
              <w:ind w:right="723"/>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Assets</w:t>
            </w:r>
          </w:p>
        </w:tc>
        <w:tc>
          <w:tcPr>
            <w:tcW w:w="198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122,364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(1,275 )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121,089</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75,353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(67,032 )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8,321</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738,274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(161,304 )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576,970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935,991</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(229,611 )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706,380</w:t>
            </w:r>
          </w:p>
        </w:tc>
        <w:tc>
          <w:tcPr>
            <w:tcW w:w="100" w:type="dxa"/>
            <w:vAlign w:val="bottom"/>
          </w:tcPr>
          <w:p>
            <w:pPr>
              <w:spacing w:after="0"/>
              <w:rPr>
                <w:sz w:val="9"/>
                <w:szCs w:val="9"/>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1980" w:type="dxa"/>
            <w:vAlign w:val="bottom"/>
            <w:shd w:val="clear" w:color="auto" w:fill="CFF0FC"/>
          </w:tcPr>
          <w:p>
            <w:pPr>
              <w:spacing w:after="0"/>
              <w:rPr>
                <w:sz w:val="8"/>
                <w:szCs w:val="8"/>
                <w:color w:val="auto"/>
              </w:rPr>
            </w:pPr>
          </w:p>
        </w:tc>
        <w:tc>
          <w:tcPr>
            <w:tcW w:w="1540" w:type="dxa"/>
            <w:vAlign w:val="bottom"/>
            <w:tcBorders>
              <w:top w:val="single" w:sz="8" w:color="auto"/>
            </w:tcBorders>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119,591</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(24,263 )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95,328</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589,524</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(18,225 )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571,299</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709,115</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(42,488 )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666,627</w:t>
            </w:r>
          </w:p>
        </w:tc>
        <w:tc>
          <w:tcPr>
            <w:tcW w:w="100" w:type="dxa"/>
            <w:vAlign w:val="bottom"/>
          </w:tcPr>
          <w:p>
            <w:pPr>
              <w:spacing w:after="0"/>
              <w:rPr>
                <w:sz w:val="9"/>
                <w:szCs w:val="9"/>
                <w:color w:val="auto"/>
              </w:rPr>
            </w:pPr>
          </w:p>
        </w:tc>
      </w:tr>
      <w:tr>
        <w:trPr>
          <w:trHeight w:val="100"/>
        </w:trPr>
        <w:tc>
          <w:tcPr>
            <w:tcW w:w="3440" w:type="dxa"/>
            <w:vAlign w:val="bottom"/>
            <w:tcBorders>
              <w:bottom w:val="single" w:sz="8" w:color="CFF0FC"/>
            </w:tcBorders>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980" w:type="dxa"/>
            <w:vAlign w:val="bottom"/>
            <w:tcBorders>
              <w:bottom w:val="single" w:sz="8" w:color="CFF0FC"/>
            </w:tcBorders>
            <w:shd w:val="clear" w:color="auto" w:fill="CFF0FC"/>
          </w:tcPr>
          <w:p>
            <w:pPr>
              <w:spacing w:after="0"/>
              <w:rPr>
                <w:sz w:val="8"/>
                <w:szCs w:val="8"/>
                <w:color w:val="auto"/>
              </w:rPr>
            </w:pPr>
          </w:p>
        </w:tc>
        <w:tc>
          <w:tcPr>
            <w:tcW w:w="154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(272,099</w:t>
            </w:r>
          </w:p>
        </w:tc>
        <w:tc>
          <w:tcPr>
            <w:tcW w:w="200" w:type="dxa"/>
            <w:vAlign w:val="bottom"/>
            <w:tcBorders>
              <w:bottom w:val="single" w:sz="8" w:color="CFF0FC"/>
            </w:tcBorders>
            <w:shd w:val="clear" w:color="auto" w:fill="CFF0FC"/>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tcBorders>
              <w:bottom w:val="single" w:sz="8" w:color="CFF0FC"/>
            </w:tcBorders>
            <w:shd w:val="clear" w:color="auto" w:fill="CFF0FC"/>
          </w:tcPr>
          <w:p>
            <w:pPr>
              <w:spacing w:after="0"/>
              <w:rPr>
                <w:sz w:val="8"/>
                <w:szCs w:val="8"/>
                <w:color w:val="auto"/>
              </w:rPr>
            </w:pPr>
          </w:p>
        </w:tc>
      </w:tr>
      <w:tr>
        <w:trPr>
          <w:trHeight w:val="108"/>
        </w:trPr>
        <w:tc>
          <w:tcPr>
            <w:tcW w:w="344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198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4,050,668</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(74,773 )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3,975,895</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895,170</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(795,050 )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100,120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2,875,038</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(348,254 )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2,526,784</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1,786,335</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1,786,335</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762,505</w:t>
            </w:r>
          </w:p>
        </w:tc>
        <w:tc>
          <w:tcPr>
            <w:tcW w:w="220" w:type="dxa"/>
            <w:vAlign w:val="bottom"/>
          </w:tcPr>
          <w:p>
            <w:pPr>
              <w:spacing w:after="0"/>
              <w:rPr>
                <w:sz w:val="9"/>
                <w:szCs w:val="9"/>
                <w:color w:val="auto"/>
              </w:rPr>
            </w:pPr>
          </w:p>
        </w:tc>
        <w:tc>
          <w:tcPr>
            <w:tcW w:w="1760" w:type="dxa"/>
            <w:vAlign w:val="bottom"/>
            <w:gridSpan w:val="2"/>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762,505</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5,661,193</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5,661,193</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16,030,909</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(1,218,077 )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14,812,832</w:t>
            </w:r>
          </w:p>
        </w:tc>
        <w:tc>
          <w:tcPr>
            <w:tcW w:w="100" w:type="dxa"/>
            <w:vAlign w:val="bottom"/>
          </w:tcPr>
          <w:p>
            <w:pPr>
              <w:spacing w:after="0"/>
              <w:rPr>
                <w:sz w:val="9"/>
                <w:szCs w:val="9"/>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198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60" w:type="dxa"/>
            <w:vAlign w:val="bottom"/>
            <w:tcBorders>
              <w:top w:val="single" w:sz="8" w:color="auto"/>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30,968,733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(1,053,869 )</w:t>
            </w: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29,914,864</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1,242,533</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1,242,533</w:t>
            </w:r>
          </w:p>
        </w:tc>
        <w:tc>
          <w:tcPr>
            <w:tcW w:w="100" w:type="dxa"/>
            <w:vAlign w:val="bottom"/>
            <w:shd w:val="clear" w:color="auto" w:fill="CFF0FC"/>
          </w:tcPr>
          <w:p>
            <w:pPr>
              <w:spacing w:after="0"/>
              <w:rPr>
                <w:sz w:val="9"/>
                <w:szCs w:val="9"/>
                <w:color w:val="auto"/>
              </w:rPr>
            </w:pPr>
          </w:p>
        </w:tc>
      </w:tr>
      <w:tr>
        <w:trPr>
          <w:trHeight w:val="100"/>
        </w:trPr>
        <w:tc>
          <w:tcPr>
            <w:tcW w:w="3440" w:type="dxa"/>
            <w:vAlign w:val="bottom"/>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352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32,211,266</w:t>
            </w:r>
          </w:p>
        </w:tc>
        <w:tc>
          <w:tcPr>
            <w:tcW w:w="220" w:type="dxa"/>
            <w:vAlign w:val="bottom"/>
          </w:tcPr>
          <w:p>
            <w:pPr>
              <w:spacing w:after="0"/>
              <w:rPr>
                <w:sz w:val="8"/>
                <w:szCs w:val="8"/>
                <w:color w:val="auto"/>
              </w:rPr>
            </w:pPr>
          </w:p>
        </w:tc>
        <w:tc>
          <w:tcPr>
            <w:tcW w:w="156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(1,053,869</w:t>
            </w:r>
          </w:p>
        </w:tc>
        <w:tc>
          <w:tcPr>
            <w:tcW w:w="200" w:type="dxa"/>
            <w:vAlign w:val="bottom"/>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1580" w:type="dxa"/>
            <w:vAlign w:val="bottom"/>
            <w:tcBorders>
              <w:top w:val="single" w:sz="8" w:color="auto"/>
              <w:bottom w:val="single" w:sz="8" w:color="auto"/>
            </w:tcBorders>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31,157,397</w:t>
            </w:r>
          </w:p>
        </w:tc>
        <w:tc>
          <w:tcPr>
            <w:tcW w:w="100" w:type="dxa"/>
            <w:vAlign w:val="bottom"/>
          </w:tcPr>
          <w:p>
            <w:pPr>
              <w:spacing w:after="0"/>
              <w:rPr>
                <w:sz w:val="8"/>
                <w:szCs w:val="8"/>
                <w:color w:val="auto"/>
              </w:rPr>
            </w:pPr>
          </w:p>
        </w:tc>
      </w:tr>
      <w:tr>
        <w:trPr>
          <w:trHeight w:val="100"/>
        </w:trPr>
        <w:tc>
          <w:tcPr>
            <w:tcW w:w="34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352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48,242,175</w:t>
            </w:r>
          </w:p>
        </w:tc>
        <w:tc>
          <w:tcPr>
            <w:tcW w:w="2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(2,271,946)</w:t>
            </w:r>
          </w:p>
        </w:tc>
        <w:tc>
          <w:tcPr>
            <w:tcW w:w="200" w:type="dxa"/>
            <w:vAlign w:val="bottom"/>
            <w:shd w:val="clear" w:color="auto" w:fill="CFF0FC"/>
          </w:tcPr>
          <w:p>
            <w:pPr>
              <w:spacing w:after="0"/>
              <w:rPr>
                <w:sz w:val="8"/>
                <w:szCs w:val="8"/>
                <w:color w:val="auto"/>
              </w:rPr>
            </w:pPr>
          </w:p>
        </w:tc>
        <w:tc>
          <w:tcPr>
            <w:tcW w:w="15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45,970,229</w:t>
            </w:r>
          </w:p>
        </w:tc>
        <w:tc>
          <w:tcPr>
            <w:tcW w:w="100" w:type="dxa"/>
            <w:vAlign w:val="bottom"/>
            <w:shd w:val="clear" w:color="auto" w:fill="CFF0FC"/>
          </w:tcPr>
          <w:p>
            <w:pPr>
              <w:spacing w:after="0"/>
              <w:rPr>
                <w:sz w:val="8"/>
                <w:szCs w:val="8"/>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Ordinary shares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127,310</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127,310</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220" w:type="dxa"/>
            <w:vAlign w:val="bottom"/>
          </w:tcPr>
          <w:p>
            <w:pPr>
              <w:spacing w:after="0"/>
              <w:rPr>
                <w:sz w:val="9"/>
                <w:szCs w:val="9"/>
                <w:color w:val="auto"/>
              </w:rPr>
            </w:pPr>
          </w:p>
        </w:tc>
        <w:tc>
          <w:tcPr>
            <w:tcW w:w="1760" w:type="dxa"/>
            <w:vAlign w:val="bottom"/>
            <w:gridSpan w:val="2"/>
          </w:tcPr>
          <w:p>
            <w:pPr>
              <w:jc w:val="right"/>
              <w:ind w:right="123"/>
              <w:spacing w:after="0" w:line="113" w:lineRule="exact"/>
              <w:rPr>
                <w:sz w:val="20"/>
                <w:szCs w:val="20"/>
                <w:color w:val="auto"/>
              </w:rPr>
            </w:pPr>
            <w:r>
              <w:rPr>
                <w:rFonts w:ascii="Times New Roman" w:cs="Times New Roman" w:eastAsia="Times New Roman" w:hAnsi="Times New Roman"/>
                <w:sz w:val="10"/>
                <w:szCs w:val="10"/>
                <w:color w:val="auto"/>
              </w:rPr>
              <w:t xml:space="preserve">(1,993 </w:t>
            </w:r>
            <w:r>
              <w:rPr>
                <w:rFonts w:ascii="Times New Roman" w:cs="Times New Roman" w:eastAsia="Times New Roman" w:hAnsi="Times New Roman"/>
                <w:sz w:val="10"/>
                <w:szCs w:val="10"/>
                <w:b w:val="1"/>
                <w:bCs w:val="1"/>
                <w:color w:val="auto"/>
              </w:rPr>
              <w:t>)</w:t>
            </w:r>
          </w:p>
        </w:tc>
        <w:tc>
          <w:tcPr>
            <w:tcW w:w="16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Series A shares</w:t>
            </w:r>
          </w:p>
        </w:tc>
        <w:tc>
          <w:tcPr>
            <w:tcW w:w="35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9"/>
                <w:szCs w:val="9"/>
                <w:color w:val="auto"/>
              </w:rPr>
            </w:pP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35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168,358,010</w:t>
            </w:r>
          </w:p>
        </w:tc>
        <w:tc>
          <w:tcPr>
            <w:tcW w:w="2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200" w:type="dxa"/>
            <w:vAlign w:val="bottom"/>
          </w:tcPr>
          <w:p>
            <w:pPr>
              <w:spacing w:after="0"/>
              <w:rPr>
                <w:sz w:val="9"/>
                <w:szCs w:val="9"/>
                <w:color w:val="auto"/>
              </w:rPr>
            </w:pPr>
          </w:p>
        </w:tc>
        <w:tc>
          <w:tcPr>
            <w:tcW w:w="1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168,360,003</w:t>
            </w:r>
          </w:p>
        </w:tc>
        <w:tc>
          <w:tcPr>
            <w:tcW w:w="100" w:type="dxa"/>
            <w:vAlign w:val="bottom"/>
          </w:tcPr>
          <w:p>
            <w:pPr>
              <w:spacing w:after="0"/>
              <w:rPr>
                <w:sz w:val="9"/>
                <w:szCs w:val="9"/>
                <w:color w:val="auto"/>
              </w:rPr>
            </w:pPr>
          </w:p>
        </w:tc>
      </w:tr>
      <w:tr>
        <w:trPr>
          <w:trHeight w:val="113"/>
        </w:trPr>
        <w:tc>
          <w:tcPr>
            <w:tcW w:w="3440" w:type="dxa"/>
            <w:vAlign w:val="bottom"/>
            <w:shd w:val="clear" w:color="auto" w:fill="CFF0FC"/>
          </w:tcPr>
          <w:p>
            <w:pPr>
              <w:ind w:left="120"/>
              <w:spacing w:after="0" w:line="113" w:lineRule="exact"/>
              <w:rPr>
                <w:sz w:val="20"/>
                <w:szCs w:val="20"/>
                <w:color w:val="auto"/>
              </w:rPr>
            </w:pPr>
            <w:r>
              <w:rPr>
                <w:rFonts w:ascii="Times New Roman" w:cs="Times New Roman" w:eastAsia="Times New Roman" w:hAnsi="Times New Roman"/>
                <w:sz w:val="10"/>
                <w:szCs w:val="10"/>
                <w:color w:val="auto"/>
              </w:rPr>
              <w:t>Share subscription receivable</w:t>
            </w:r>
          </w:p>
        </w:tc>
        <w:tc>
          <w:tcPr>
            <w:tcW w:w="374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c>
          <w:tcPr>
            <w:tcW w:w="176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6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(178,720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tcPr>
          <w:p>
            <w:pPr>
              <w:ind w:left="12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374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(213,740,307 </w:t>
            </w:r>
            <w:r>
              <w:rPr>
                <w:rFonts w:ascii="Times New Roman" w:cs="Times New Roman" w:eastAsia="Times New Roman" w:hAnsi="Times New Roman"/>
                <w:sz w:val="10"/>
                <w:szCs w:val="10"/>
                <w:b w:val="1"/>
                <w:bCs w:val="1"/>
                <w:color w:val="auto"/>
              </w:rPr>
              <w:t>)</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908,901</w:t>
            </w:r>
          </w:p>
        </w:tc>
        <w:tc>
          <w:tcPr>
            <w:tcW w:w="200" w:type="dxa"/>
            <w:vAlign w:val="bottom"/>
          </w:tcPr>
          <w:p>
            <w:pPr>
              <w:spacing w:after="0"/>
              <w:rPr>
                <w:sz w:val="9"/>
                <w:szCs w:val="9"/>
                <w:color w:val="auto"/>
              </w:rPr>
            </w:pPr>
          </w:p>
        </w:tc>
        <w:tc>
          <w:tcPr>
            <w:tcW w:w="1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(212,831,406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374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 xml:space="preserve">(1,169,223 </w:t>
            </w:r>
            <w:r>
              <w:rPr>
                <w:rFonts w:ascii="Times New Roman" w:cs="Times New Roman" w:eastAsia="Times New Roman" w:hAnsi="Times New Roman"/>
                <w:sz w:val="10"/>
                <w:szCs w:val="10"/>
                <w:b w:val="1"/>
                <w:bCs w:val="1"/>
                <w:color w:val="auto"/>
              </w:rPr>
              <w:t>)</w:t>
            </w: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1,090,946</w:t>
            </w:r>
          </w:p>
        </w:tc>
        <w:tc>
          <w:tcPr>
            <w:tcW w:w="200" w:type="dxa"/>
            <w:vAlign w:val="bottom"/>
            <w:shd w:val="clear" w:color="auto" w:fill="CFF0FC"/>
          </w:tcPr>
          <w:p>
            <w:pPr>
              <w:spacing w:after="0"/>
              <w:rPr>
                <w:sz w:val="9"/>
                <w:szCs w:val="9"/>
                <w:color w:val="auto"/>
              </w:rPr>
            </w:pPr>
          </w:p>
        </w:tc>
        <w:tc>
          <w:tcPr>
            <w:tcW w:w="16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 xml:space="preserve">(78,277 </w:t>
            </w:r>
            <w:r>
              <w:rPr>
                <w:rFonts w:ascii="Times New Roman" w:cs="Times New Roman" w:eastAsia="Times New Roman" w:hAnsi="Times New Roman"/>
                <w:sz w:val="10"/>
                <w:szCs w:val="10"/>
                <w:b w:val="1"/>
                <w:bCs w:val="1"/>
                <w:color w:val="auto"/>
              </w:rPr>
              <w:t>)</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3740" w:type="dxa"/>
            <w:vAlign w:val="bottom"/>
            <w:gridSpan w:val="3"/>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(46,597,069 )</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1,999,847</w:t>
            </w:r>
          </w:p>
        </w:tc>
        <w:tc>
          <w:tcPr>
            <w:tcW w:w="200" w:type="dxa"/>
            <w:vAlign w:val="bottom"/>
          </w:tcPr>
          <w:p>
            <w:pPr>
              <w:spacing w:after="0"/>
              <w:rPr>
                <w:sz w:val="9"/>
                <w:szCs w:val="9"/>
                <w:color w:val="auto"/>
              </w:rPr>
            </w:pPr>
          </w:p>
        </w:tc>
        <w:tc>
          <w:tcPr>
            <w:tcW w:w="16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(44,597,222 )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1980" w:type="dxa"/>
            <w:vAlign w:val="bottom"/>
            <w:shd w:val="clear" w:color="auto" w:fill="CFF0FC"/>
          </w:tcPr>
          <w:p>
            <w:pPr>
              <w:spacing w:after="0"/>
              <w:rPr>
                <w:sz w:val="9"/>
                <w:szCs w:val="9"/>
                <w:color w:val="auto"/>
              </w:rPr>
            </w:pPr>
          </w:p>
        </w:tc>
        <w:tc>
          <w:tcPr>
            <w:tcW w:w="15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1,645,106</w:t>
            </w:r>
          </w:p>
        </w:tc>
        <w:tc>
          <w:tcPr>
            <w:tcW w:w="220" w:type="dxa"/>
            <w:vAlign w:val="bottom"/>
            <w:shd w:val="clear" w:color="auto" w:fill="CFF0FC"/>
          </w:tcPr>
          <w:p>
            <w:pPr>
              <w:spacing w:after="0"/>
              <w:rPr>
                <w:sz w:val="9"/>
                <w:szCs w:val="9"/>
                <w:color w:val="auto"/>
              </w:rPr>
            </w:pPr>
          </w:p>
        </w:tc>
        <w:tc>
          <w:tcPr>
            <w:tcW w:w="1760" w:type="dxa"/>
            <w:vAlign w:val="bottom"/>
            <w:gridSpan w:val="2"/>
            <w:shd w:val="clear" w:color="auto" w:fill="CFF0FC"/>
          </w:tcPr>
          <w:p>
            <w:pPr>
              <w:jc w:val="right"/>
              <w:ind w:right="123"/>
              <w:spacing w:after="0" w:line="113" w:lineRule="exact"/>
              <w:rPr>
                <w:sz w:val="20"/>
                <w:szCs w:val="20"/>
                <w:color w:val="auto"/>
              </w:rPr>
            </w:pPr>
            <w:r>
              <w:rPr>
                <w:rFonts w:ascii="Times New Roman" w:cs="Times New Roman" w:eastAsia="Times New Roman" w:hAnsi="Times New Roman"/>
                <w:sz w:val="10"/>
                <w:szCs w:val="10"/>
                <w:b w:val="1"/>
                <w:bCs w:val="1"/>
                <w:color w:val="auto"/>
              </w:rPr>
              <w:t>(272,099 )</w:t>
            </w:r>
          </w:p>
        </w:tc>
        <w:tc>
          <w:tcPr>
            <w:tcW w:w="1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1,373,007</w:t>
            </w:r>
          </w:p>
        </w:tc>
        <w:tc>
          <w:tcPr>
            <w:tcW w:w="100" w:type="dxa"/>
            <w:vAlign w:val="bottom"/>
            <w:shd w:val="clear" w:color="auto" w:fill="CFF0FC"/>
          </w:tcPr>
          <w:p>
            <w:pPr>
              <w:spacing w:after="0"/>
              <w:rPr>
                <w:sz w:val="9"/>
                <w:szCs w:val="9"/>
                <w:color w:val="auto"/>
              </w:rPr>
            </w:pPr>
          </w:p>
        </w:tc>
      </w:tr>
      <w:tr>
        <w:trPr>
          <w:trHeight w:val="345"/>
        </w:trPr>
        <w:tc>
          <w:tcPr>
            <w:tcW w:w="34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ind w:left="1780"/>
              <w:spacing w:after="0"/>
              <w:rPr>
                <w:sz w:val="20"/>
                <w:szCs w:val="20"/>
                <w:color w:val="auto"/>
              </w:rPr>
            </w:pPr>
            <w:r>
              <w:rPr>
                <w:rFonts w:ascii="Times New Roman" w:cs="Times New Roman" w:eastAsia="Times New Roman" w:hAnsi="Times New Roman"/>
                <w:sz w:val="10"/>
                <w:szCs w:val="10"/>
                <w:color w:val="auto"/>
                <w:w w:val="95"/>
              </w:rPr>
              <w:t>F-15</w:t>
            </w:r>
          </w:p>
        </w:tc>
        <w:tc>
          <w:tcPr>
            <w:tcW w:w="1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jc w:val="right"/>
              <w:ind w:right="77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9"/>
                <w:szCs w:val="9"/>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9"/>
                <w:szCs w:val="9"/>
                <w:color w:val="auto"/>
              </w:rPr>
            </w:pPr>
          </w:p>
        </w:tc>
        <w:tc>
          <w:tcPr>
            <w:tcW w:w="1480" w:type="dxa"/>
            <w:vAlign w:val="bottom"/>
            <w:gridSpan w:val="2"/>
          </w:tcPr>
          <w:p>
            <w:pPr>
              <w:jc w:val="right"/>
              <w:ind w:right="59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Revenue</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4,604,332</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(4,557,568</w:t>
            </w:r>
          </w:p>
        </w:tc>
        <w:tc>
          <w:tcPr>
            <w:tcW w:w="2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46,764</w:t>
            </w: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Cost of revenue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2,334,088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(2,317,977 )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16,111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Sales and marketing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5,509,407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(799,233 )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4,710,174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General and administrative expenses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11,112,591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(2,369,214 )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8,743,377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ind w:left="120"/>
              <w:spacing w:after="0"/>
              <w:rPr>
                <w:sz w:val="20"/>
                <w:szCs w:val="20"/>
                <w:color w:val="auto"/>
              </w:rPr>
            </w:pPr>
            <w:r>
              <w:rPr>
                <w:rFonts w:ascii="Times New Roman" w:cs="Times New Roman" w:eastAsia="Times New Roman" w:hAnsi="Times New Roman"/>
                <w:sz w:val="8"/>
                <w:szCs w:val="8"/>
                <w:color w:val="auto"/>
              </w:rPr>
              <w:t>Other operating expenses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6,397,167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785,000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Depreciation and amortization expenses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(258,329)</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(1,080,110 )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5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Total operating expenses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26,813,263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2"/>
          </w:tcPr>
          <w:p>
            <w:pPr>
              <w:jc w:val="right"/>
              <w:ind w:right="175"/>
              <w:spacing w:after="0" w:line="85" w:lineRule="exact"/>
              <w:rPr>
                <w:sz w:val="20"/>
                <w:szCs w:val="20"/>
                <w:color w:val="auto"/>
              </w:rPr>
            </w:pPr>
            <w:r>
              <w:rPr>
                <w:rFonts w:ascii="Times New Roman" w:cs="Times New Roman" w:eastAsia="Times New Roman" w:hAnsi="Times New Roman"/>
                <w:sz w:val="8"/>
                <w:szCs w:val="8"/>
                <w:b w:val="1"/>
                <w:bCs w:val="1"/>
                <w:color w:val="auto"/>
              </w:rPr>
              <w:t>(12,437,030 )</w:t>
            </w:r>
          </w:p>
        </w:tc>
        <w:tc>
          <w:tcPr>
            <w:tcW w:w="100" w:type="dxa"/>
            <w:vAlign w:val="bottom"/>
          </w:tcPr>
          <w:p>
            <w:pPr>
              <w:spacing w:after="0"/>
              <w:rPr>
                <w:sz w:val="7"/>
                <w:szCs w:val="7"/>
                <w:color w:val="auto"/>
              </w:rPr>
            </w:pPr>
          </w:p>
        </w:tc>
        <w:tc>
          <w:tcPr>
            <w:tcW w:w="13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14,376,233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320" w:type="dxa"/>
            <w:vAlign w:val="bottom"/>
            <w:tcBorders>
              <w:bottom w:val="single" w:sz="8" w:color="CFF0FC"/>
            </w:tcBorders>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Operating loss</w:t>
            </w:r>
          </w:p>
        </w:tc>
        <w:tc>
          <w:tcPr>
            <w:tcW w:w="10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480" w:type="dxa"/>
            <w:vAlign w:val="bottom"/>
            <w:tcBorders>
              <w:top w:val="single" w:sz="8" w:color="auto"/>
              <w:bottom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(22,208,931</w:t>
            </w:r>
          </w:p>
        </w:tc>
        <w:tc>
          <w:tcPr>
            <w:tcW w:w="220" w:type="dxa"/>
            <w:vAlign w:val="bottom"/>
            <w:tcBorders>
              <w:bottom w:val="single" w:sz="8" w:color="CFF0FC"/>
            </w:tcBorders>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7"/>
                <w:szCs w:val="7"/>
                <w:color w:val="auto"/>
              </w:rPr>
            </w:pPr>
          </w:p>
        </w:tc>
        <w:tc>
          <w:tcPr>
            <w:tcW w:w="150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7,879,462</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(14,329,469</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Other expenses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(4,106,733)</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1,051,787</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Other non-operating income (expense), net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269,510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(97,759 )</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171,751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320" w:type="dxa"/>
            <w:vAlign w:val="bottom"/>
            <w:tcBorders>
              <w:bottom w:val="single" w:sz="8" w:color="CFF0FC"/>
            </w:tcBorders>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Total other expenses, net</w:t>
            </w:r>
          </w:p>
        </w:tc>
        <w:tc>
          <w:tcPr>
            <w:tcW w:w="10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CFF0FC"/>
            </w:tcBorders>
            <w:shd w:val="clear" w:color="auto" w:fill="CFF0FC"/>
          </w:tcPr>
          <w:p>
            <w:pPr>
              <w:spacing w:after="0"/>
              <w:rPr>
                <w:sz w:val="7"/>
                <w:szCs w:val="7"/>
                <w:color w:val="auto"/>
              </w:rPr>
            </w:pPr>
          </w:p>
        </w:tc>
        <w:tc>
          <w:tcPr>
            <w:tcW w:w="1480" w:type="dxa"/>
            <w:vAlign w:val="bottom"/>
            <w:tcBorders>
              <w:top w:val="single" w:sz="8" w:color="auto"/>
              <w:bottom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(3,837,223</w:t>
            </w:r>
          </w:p>
        </w:tc>
        <w:tc>
          <w:tcPr>
            <w:tcW w:w="220" w:type="dxa"/>
            <w:vAlign w:val="bottom"/>
            <w:tcBorders>
              <w:bottom w:val="single" w:sz="8" w:color="CFF0FC"/>
            </w:tcBorders>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bottom w:val="single" w:sz="8" w:color="CFF0FC"/>
            </w:tcBorders>
            <w:shd w:val="clear" w:color="auto" w:fill="CFF0FC"/>
          </w:tcPr>
          <w:p>
            <w:pPr>
              <w:spacing w:after="0"/>
              <w:rPr>
                <w:sz w:val="7"/>
                <w:szCs w:val="7"/>
                <w:color w:val="auto"/>
              </w:rPr>
            </w:pPr>
          </w:p>
        </w:tc>
        <w:tc>
          <w:tcPr>
            <w:tcW w:w="150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954,028</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1380" w:type="dxa"/>
            <w:vAlign w:val="bottom"/>
            <w:tcBorders>
              <w:top w:val="single" w:sz="8" w:color="auto"/>
              <w:bottom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(2,883,195</w:t>
            </w:r>
          </w:p>
        </w:tc>
        <w:tc>
          <w:tcPr>
            <w:tcW w:w="100" w:type="dxa"/>
            <w:vAlign w:val="bottom"/>
            <w:tcBorders>
              <w:bottom w:val="single" w:sz="8" w:color="CFF0FC"/>
            </w:tcBorders>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Loss before taxes</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2"/>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rPr>
              <w:t>(26,046,154 )</w:t>
            </w:r>
          </w:p>
        </w:tc>
        <w:tc>
          <w:tcPr>
            <w:tcW w:w="100" w:type="dxa"/>
            <w:vAlign w:val="bottom"/>
          </w:tcPr>
          <w:p>
            <w:pPr>
              <w:spacing w:after="0"/>
              <w:rPr>
                <w:sz w:val="7"/>
                <w:szCs w:val="7"/>
                <w:color w:val="auto"/>
              </w:rPr>
            </w:pPr>
          </w:p>
        </w:tc>
        <w:tc>
          <w:tcPr>
            <w:tcW w:w="150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8,833,490</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(17,212,664 )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Income tax recovery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1,477,389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(1,540,797 )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(63,408 )</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Net loss for the year</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b w:val="1"/>
                <w:bCs w:val="1"/>
                <w:color w:val="auto"/>
              </w:rPr>
              <w:t>(24,568,765 )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7,292,693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b w:val="1"/>
                <w:bCs w:val="1"/>
                <w:color w:val="auto"/>
              </w:rPr>
              <w:t>(17,276,072 )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loss per share – Basic and diluted</w:t>
            </w:r>
          </w:p>
        </w:tc>
        <w:tc>
          <w:tcPr>
            <w:tcW w:w="220" w:type="dxa"/>
            <w:vAlign w:val="bottom"/>
            <w:gridSpan w:val="2"/>
            <w:shd w:val="clear" w:color="auto" w:fill="CFF0FC"/>
          </w:tcPr>
          <w:p>
            <w:pPr>
              <w:jc w:val="right"/>
              <w:ind w:right="60"/>
              <w:spacing w:after="0" w:line="85" w:lineRule="exact"/>
              <w:rPr>
                <w:sz w:val="20"/>
                <w:szCs w:val="20"/>
                <w:color w:val="auto"/>
              </w:rPr>
            </w:pPr>
            <w:r>
              <w:rPr>
                <w:rFonts w:ascii="Times New Roman" w:cs="Times New Roman" w:eastAsia="Times New Roman" w:hAnsi="Times New Roman"/>
                <w:sz w:val="8"/>
                <w:szCs w:val="8"/>
                <w:color w:val="auto"/>
              </w:rPr>
              <w:t>$</w:t>
            </w:r>
          </w:p>
        </w:tc>
        <w:tc>
          <w:tcPr>
            <w:tcW w:w="1480" w:type="dxa"/>
            <w:vAlign w:val="bottom"/>
            <w:tcBorders>
              <w:top w:val="single" w:sz="8" w:color="auto"/>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(0.03)</w:t>
            </w: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50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(0.01</w:t>
            </w:r>
          </w:p>
        </w:tc>
        <w:tc>
          <w:tcPr>
            <w:tcW w:w="20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tcBorders>
              <w:top w:val="single" w:sz="8" w:color="auto"/>
              <w:right w:val="single" w:sz="8" w:color="CFF0FC"/>
            </w:tcBorders>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color w:val="auto"/>
              </w:rPr>
              <w:t>(0.02</w:t>
            </w:r>
          </w:p>
        </w:tc>
        <w:tc>
          <w:tcPr>
            <w:tcW w:w="10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106"/>
        </w:trPr>
        <w:tc>
          <w:tcPr>
            <w:tcW w:w="5320" w:type="dxa"/>
            <w:vAlign w:val="bottom"/>
          </w:tcPr>
          <w:p>
            <w:pPr>
              <w:ind w:left="20"/>
              <w:spacing w:after="0"/>
              <w:rPr>
                <w:sz w:val="20"/>
                <w:szCs w:val="20"/>
                <w:color w:val="auto"/>
              </w:rPr>
            </w:pPr>
            <w:r>
              <w:rPr>
                <w:rFonts w:ascii="Times New Roman" w:cs="Times New Roman" w:eastAsia="Times New Roman" w:hAnsi="Times New Roman"/>
                <w:sz w:val="8"/>
                <w:szCs w:val="8"/>
                <w:color w:val="auto"/>
              </w:rPr>
              <w:t>Weighted average number of shares – Basic and diluted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922,013,028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vMerge w:val="restart"/>
          </w:tcPr>
          <w:p>
            <w:pPr>
              <w:jc w:val="right"/>
              <w:ind w:right="819"/>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00" w:type="dxa"/>
            <w:vAlign w:val="bottom"/>
          </w:tcPr>
          <w:p>
            <w:pPr>
              <w:spacing w:after="0"/>
              <w:rPr>
                <w:sz w:val="20"/>
                <w:szCs w:val="20"/>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100" w:type="dxa"/>
            <w:vAlign w:val="bottom"/>
          </w:tcPr>
          <w:p>
            <w:pPr>
              <w:spacing w:after="0"/>
              <w:rPr>
                <w:sz w:val="8"/>
                <w:szCs w:val="8"/>
                <w:color w:val="auto"/>
              </w:rPr>
            </w:pPr>
          </w:p>
        </w:tc>
        <w:tc>
          <w:tcPr>
            <w:tcW w:w="1480" w:type="dxa"/>
            <w:vAlign w:val="bottom"/>
            <w:gridSpan w:val="2"/>
          </w:tcPr>
          <w:p>
            <w:pPr>
              <w:jc w:val="right"/>
              <w:ind w:right="635"/>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operating activities:</w:t>
            </w:r>
          </w:p>
        </w:tc>
        <w:tc>
          <w:tcPr>
            <w:tcW w:w="100" w:type="dxa"/>
            <w:vAlign w:val="bottom"/>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1480" w:type="dxa"/>
            <w:vAlign w:val="bottom"/>
            <w:tcBorders>
              <w:top w:val="single" w:sz="8" w:color="auto"/>
            </w:tcBorders>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(24,568,765 )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7,292,693</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(17,276,072 )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Adjustments to reconcile net loss to net cash (used in)</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operating activities: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Depreciation and amortization</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379,900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(258,329 )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121,571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Unrealized foreign exchange (gain)/loss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63,284</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264,099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327,383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532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Share based compensation issued to related parties for consultancy</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services</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7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Employee share based compensation</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4,880,389</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(1,291,429)</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3,588,960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prepayments and other current assets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1,156,316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Impairment of customer list intangible asset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(5,612,167)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Impairment of goodwill</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(1,080,110)</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Deferred tax benefit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(1,459,336 )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1,459,336</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Interest expense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4,134,431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(1,079,485 )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3,054,946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Changes in operating assets and liabilities: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Decrease/(increase) in accounts receivable</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(605 )</w:t>
            </w: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1,139</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(Increase) in prepayment and other current assets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236,410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color w:val="auto"/>
              </w:rPr>
              <w:t>(931,436 )</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(695,026 )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Decrease in receivable with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(320,702 )</w:t>
            </w:r>
          </w:p>
        </w:tc>
        <w:tc>
          <w:tcPr>
            <w:tcW w:w="100" w:type="dxa"/>
            <w:vAlign w:val="bottom"/>
            <w:shd w:val="clear" w:color="auto" w:fill="CFF0FC"/>
          </w:tcPr>
          <w:p>
            <w:pPr>
              <w:spacing w:after="0"/>
              <w:rPr>
                <w:sz w:val="8"/>
                <w:szCs w:val="8"/>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320,702</w:t>
            </w: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Decrease in accounts payable, accrued expenses and other payables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(825,679 )</w:t>
            </w:r>
          </w:p>
        </w:tc>
        <w:tc>
          <w:tcPr>
            <w:tcW w:w="100" w:type="dxa"/>
            <w:vAlign w:val="bottom"/>
          </w:tcPr>
          <w:p>
            <w:pPr>
              <w:spacing w:after="0"/>
              <w:rPr>
                <w:sz w:val="8"/>
                <w:szCs w:val="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562,331</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(263,348 )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Increase (decrease) in payables to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670,050</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(795,050 )</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(125,000 )</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(used in) operating activities</w:t>
            </w:r>
          </w:p>
        </w:tc>
        <w:tc>
          <w:tcPr>
            <w:tcW w:w="10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(8,962,030</w:t>
            </w:r>
          </w:p>
        </w:tc>
        <w:tc>
          <w:tcPr>
            <w:tcW w:w="220" w:type="dxa"/>
            <w:vAlign w:val="bottom"/>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bottom w:val="single" w:sz="8" w:color="auto"/>
            </w:tcBorders>
          </w:tcPr>
          <w:p>
            <w:pPr>
              <w:spacing w:after="0"/>
              <w:rPr>
                <w:sz w:val="7"/>
                <w:szCs w:val="7"/>
                <w:color w:val="auto"/>
              </w:rPr>
            </w:pPr>
          </w:p>
        </w:tc>
        <w:tc>
          <w:tcPr>
            <w:tcW w:w="150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143,723</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(8,818,307 )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investing activities:</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Purchase of property and equipment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(104,604 )</w:t>
            </w: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(104,604 )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Development of intangible assets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(8,060 )</w:t>
            </w: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4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8"/>
                <w:szCs w:val="8"/>
                <w:color w:val="auto"/>
              </w:rPr>
              <w:t>(8,060 )</w:t>
            </w: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(used in) investing activities</w:t>
            </w:r>
          </w:p>
        </w:tc>
        <w:tc>
          <w:tcPr>
            <w:tcW w:w="10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1480" w:type="dxa"/>
            <w:vAlign w:val="bottom"/>
            <w:tcBorders>
              <w:top w:val="single" w:sz="8" w:color="auto"/>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(112,664</w:t>
            </w:r>
          </w:p>
        </w:tc>
        <w:tc>
          <w:tcPr>
            <w:tcW w:w="220" w:type="dxa"/>
            <w:vAlign w:val="bottom"/>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7"/>
                <w:szCs w:val="7"/>
                <w:color w:val="auto"/>
              </w:rPr>
            </w:pPr>
          </w:p>
        </w:tc>
        <w:tc>
          <w:tcPr>
            <w:tcW w:w="1700" w:type="dxa"/>
            <w:vAlign w:val="bottom"/>
            <w:gridSpan w:val="2"/>
          </w:tcPr>
          <w:p>
            <w:pPr>
              <w:jc w:val="right"/>
              <w:ind w:right="215"/>
              <w:spacing w:after="0" w:line="85"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1480" w:type="dxa"/>
            <w:vAlign w:val="bottom"/>
            <w:gridSpan w:val="2"/>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(112,664 )</w:t>
            </w: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Cash flows from financing activities:</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500" w:type="dxa"/>
            <w:vAlign w:val="bottom"/>
            <w:tcBorders>
              <w:right w:val="single" w:sz="8" w:color="CFF0FC"/>
            </w:tcBorders>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380" w:type="dxa"/>
            <w:vAlign w:val="bottom"/>
            <w:tcBorders>
              <w:righ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rights issuance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1,653,882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issuance of common stock to related parties</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199,974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Repayment of short term debt obligation from related parties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2"/>
          </w:tcPr>
          <w:p>
            <w:pPr>
              <w:jc w:val="right"/>
              <w:ind w:right="139"/>
              <w:spacing w:after="0"/>
              <w:rPr>
                <w:sz w:val="20"/>
                <w:szCs w:val="20"/>
                <w:color w:val="auto"/>
              </w:rPr>
            </w:pPr>
            <w:r>
              <w:rPr>
                <w:rFonts w:ascii="Times New Roman" w:cs="Times New Roman" w:eastAsia="Times New Roman" w:hAnsi="Times New Roman"/>
                <w:sz w:val="8"/>
                <w:szCs w:val="8"/>
                <w:color w:val="auto"/>
              </w:rPr>
              <w:t>(250,000 )</w:t>
            </w: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480" w:type="dxa"/>
            <w:vAlign w:val="bottom"/>
            <w:gridSpan w:val="2"/>
          </w:tcPr>
          <w:p>
            <w:pPr>
              <w:jc w:val="right"/>
              <w:ind w:right="75"/>
              <w:spacing w:after="0"/>
              <w:rPr>
                <w:sz w:val="20"/>
                <w:szCs w:val="20"/>
                <w:color w:val="auto"/>
              </w:rPr>
            </w:pPr>
            <w:r>
              <w:rPr>
                <w:rFonts w:ascii="Times New Roman" w:cs="Times New Roman" w:eastAsia="Times New Roman" w:hAnsi="Times New Roman"/>
                <w:sz w:val="8"/>
                <w:szCs w:val="8"/>
                <w:color w:val="auto"/>
              </w:rPr>
              <w:t>(250,000 )</w:t>
            </w: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short-term debt from related party</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4,178,008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Pr>
          <w:p>
            <w:pPr>
              <w:spacing w:after="0"/>
              <w:rPr>
                <w:sz w:val="20"/>
                <w:szCs w:val="20"/>
                <w:color w:val="auto"/>
              </w:rPr>
            </w:pPr>
            <w:r>
              <w:rPr>
                <w:rFonts w:ascii="Times New Roman" w:cs="Times New Roman" w:eastAsia="Times New Roman" w:hAnsi="Times New Roman"/>
                <w:sz w:val="8"/>
                <w:szCs w:val="8"/>
                <w:color w:val="auto"/>
              </w:rPr>
              <w:t>Proceeds from short-term debt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2"/>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762,505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Proceeds from convertible debt</w:t>
            </w:r>
          </w:p>
        </w:tc>
        <w:tc>
          <w:tcPr>
            <w:tcW w:w="10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auto"/>
            </w:tcBorders>
            <w:shd w:val="clear" w:color="auto" w:fill="CFF0FC"/>
          </w:tcPr>
          <w:p>
            <w:pPr>
              <w:spacing w:after="0"/>
              <w:rPr>
                <w:sz w:val="8"/>
                <w:szCs w:val="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2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700" w:type="dxa"/>
            <w:vAlign w:val="bottom"/>
            <w:tcBorders>
              <w:bottom w:val="single" w:sz="8" w:color="CFF0FC"/>
            </w:tcBorders>
            <w:gridSpan w:val="2"/>
            <w:shd w:val="clear" w:color="auto" w:fill="CFF0FC"/>
          </w:tcPr>
          <w:p>
            <w:pPr>
              <w:jc w:val="right"/>
              <w:ind w:right="215"/>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CFF0FC"/>
            </w:tcBorders>
            <w:shd w:val="clear" w:color="auto" w:fill="CFF0FC"/>
          </w:tcPr>
          <w:p>
            <w:pPr>
              <w:spacing w:after="0"/>
              <w:rPr>
                <w:sz w:val="8"/>
                <w:szCs w:val="8"/>
                <w:color w:val="auto"/>
              </w:rPr>
            </w:pPr>
          </w:p>
        </w:tc>
        <w:tc>
          <w:tcPr>
            <w:tcW w:w="138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2,627,543</w:t>
            </w: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5320" w:type="dxa"/>
            <w:vAlign w:val="bottom"/>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cash flow generated from financing activities</w:t>
            </w: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9,171,912</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9,171,912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320" w:type="dxa"/>
            <w:vAlign w:val="bottom"/>
            <w:shd w:val="clear" w:color="auto" w:fill="CFF0FC"/>
          </w:tcPr>
          <w:p>
            <w:pPr>
              <w:spacing w:after="0" w:line="85" w:lineRule="exact"/>
              <w:rPr>
                <w:sz w:val="20"/>
                <w:szCs w:val="20"/>
                <w:color w:val="auto"/>
              </w:rPr>
            </w:pPr>
            <w:r>
              <w:rPr>
                <w:rFonts w:ascii="Times New Roman" w:cs="Times New Roman" w:eastAsia="Times New Roman" w:hAnsi="Times New Roman"/>
                <w:sz w:val="8"/>
                <w:szCs w:val="8"/>
                <w:b w:val="1"/>
                <w:bCs w:val="1"/>
                <w:color w:val="auto"/>
              </w:rPr>
              <w:t>Effect of exchange rate changes on cash</w:t>
            </w: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480" w:type="dxa"/>
            <w:vAlign w:val="bottom"/>
            <w:shd w:val="clear" w:color="auto" w:fill="CFF0FC"/>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(16,563</w:t>
            </w:r>
          </w:p>
        </w:tc>
        <w:tc>
          <w:tcPr>
            <w:tcW w:w="220" w:type="dxa"/>
            <w:vAlign w:val="bottom"/>
            <w:shd w:val="clear" w:color="auto" w:fill="CFF0FC"/>
          </w:tcPr>
          <w:p>
            <w:pPr>
              <w:jc w:val="right"/>
              <w:ind w:right="139"/>
              <w:spacing w:after="0" w:line="85"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CFF0FC"/>
          </w:tcPr>
          <w:p>
            <w:pPr>
              <w:spacing w:after="0"/>
              <w:rPr>
                <w:sz w:val="7"/>
                <w:szCs w:val="7"/>
                <w:color w:val="auto"/>
              </w:rPr>
            </w:pPr>
          </w:p>
        </w:tc>
        <w:tc>
          <w:tcPr>
            <w:tcW w:w="1700" w:type="dxa"/>
            <w:vAlign w:val="bottom"/>
            <w:gridSpan w:val="2"/>
            <w:shd w:val="clear" w:color="auto" w:fill="CFF0FC"/>
          </w:tcPr>
          <w:p>
            <w:pPr>
              <w:jc w:val="right"/>
              <w:ind w:right="175"/>
              <w:spacing w:after="0" w:line="85" w:lineRule="exact"/>
              <w:rPr>
                <w:sz w:val="20"/>
                <w:szCs w:val="20"/>
                <w:color w:val="auto"/>
              </w:rPr>
            </w:pPr>
            <w:r>
              <w:rPr>
                <w:rFonts w:ascii="Times New Roman" w:cs="Times New Roman" w:eastAsia="Times New Roman" w:hAnsi="Times New Roman"/>
                <w:sz w:val="8"/>
                <w:szCs w:val="8"/>
                <w:b w:val="1"/>
                <w:bCs w:val="1"/>
                <w:color w:val="auto"/>
              </w:rPr>
              <w:t>(142,667 )</w:t>
            </w:r>
          </w:p>
        </w:tc>
        <w:tc>
          <w:tcPr>
            <w:tcW w:w="100" w:type="dxa"/>
            <w:vAlign w:val="bottom"/>
            <w:shd w:val="clear" w:color="auto" w:fill="CFF0FC"/>
          </w:tcPr>
          <w:p>
            <w:pPr>
              <w:spacing w:after="0"/>
              <w:rPr>
                <w:sz w:val="7"/>
                <w:szCs w:val="7"/>
                <w:color w:val="auto"/>
              </w:rPr>
            </w:pPr>
          </w:p>
        </w:tc>
        <w:tc>
          <w:tcPr>
            <w:tcW w:w="1480" w:type="dxa"/>
            <w:vAlign w:val="bottom"/>
            <w:gridSpan w:val="2"/>
            <w:shd w:val="clear" w:color="auto" w:fill="CFF0FC"/>
          </w:tcPr>
          <w:p>
            <w:pPr>
              <w:jc w:val="right"/>
              <w:ind w:right="75"/>
              <w:spacing w:after="0" w:line="85" w:lineRule="exact"/>
              <w:rPr>
                <w:sz w:val="20"/>
                <w:szCs w:val="20"/>
                <w:color w:val="auto"/>
              </w:rPr>
            </w:pPr>
            <w:r>
              <w:rPr>
                <w:rFonts w:ascii="Times New Roman" w:cs="Times New Roman" w:eastAsia="Times New Roman" w:hAnsi="Times New Roman"/>
                <w:sz w:val="8"/>
                <w:szCs w:val="8"/>
                <w:b w:val="1"/>
                <w:bCs w:val="1"/>
                <w:color w:val="auto"/>
              </w:rPr>
              <w:t>(159,230 )</w:t>
            </w:r>
          </w:p>
        </w:tc>
        <w:tc>
          <w:tcPr>
            <w:tcW w:w="0" w:type="dxa"/>
            <w:vAlign w:val="bottom"/>
          </w:tcPr>
          <w:p>
            <w:pPr>
              <w:spacing w:after="0"/>
              <w:rPr>
                <w:sz w:val="1"/>
                <w:szCs w:val="1"/>
                <w:color w:val="auto"/>
              </w:rPr>
            </w:pPr>
          </w:p>
        </w:tc>
      </w:tr>
      <w:tr>
        <w:trPr>
          <w:trHeight w:val="85"/>
        </w:trPr>
        <w:tc>
          <w:tcPr>
            <w:tcW w:w="5320" w:type="dxa"/>
            <w:vAlign w:val="bottom"/>
            <w:tcBorders>
              <w:top w:val="single" w:sz="8" w:color="CFF0FC"/>
            </w:tcBorders>
          </w:tcPr>
          <w:p>
            <w:pPr>
              <w:spacing w:after="0" w:line="85" w:lineRule="exact"/>
              <w:rPr>
                <w:sz w:val="20"/>
                <w:szCs w:val="20"/>
                <w:color w:val="auto"/>
              </w:rPr>
            </w:pPr>
            <w:r>
              <w:rPr>
                <w:rFonts w:ascii="Times New Roman" w:cs="Times New Roman" w:eastAsia="Times New Roman" w:hAnsi="Times New Roman"/>
                <w:sz w:val="8"/>
                <w:szCs w:val="8"/>
                <w:b w:val="1"/>
                <w:bCs w:val="1"/>
                <w:color w:val="auto"/>
              </w:rPr>
              <w:t>Net change in cash</w:t>
            </w: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80,655</w:t>
            </w:r>
          </w:p>
        </w:tc>
        <w:tc>
          <w:tcPr>
            <w:tcW w:w="22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50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1,056</w:t>
            </w: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right"/>
              <w:spacing w:after="0" w:line="85" w:lineRule="exact"/>
              <w:rPr>
                <w:sz w:val="20"/>
                <w:szCs w:val="20"/>
                <w:color w:val="auto"/>
              </w:rPr>
            </w:pPr>
            <w:r>
              <w:rPr>
                <w:rFonts w:ascii="Times New Roman" w:cs="Times New Roman" w:eastAsia="Times New Roman" w:hAnsi="Times New Roman"/>
                <w:sz w:val="8"/>
                <w:szCs w:val="8"/>
                <w:b w:val="1"/>
                <w:bCs w:val="1"/>
                <w:color w:val="auto"/>
              </w:rPr>
              <w:t>81,711</w:t>
            </w: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Cash and cash equivalents, beginning of year</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41,709</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70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8"/>
                <w:szCs w:val="8"/>
                <w:color w:val="auto"/>
              </w:rPr>
              <w:t>(2,329 )</w:t>
            </w:r>
          </w:p>
        </w:tc>
        <w:tc>
          <w:tcPr>
            <w:tcW w:w="100" w:type="dxa"/>
            <w:vAlign w:val="bottom"/>
            <w:shd w:val="clear" w:color="auto" w:fill="CFF0FC"/>
          </w:tcPr>
          <w:p>
            <w:pPr>
              <w:spacing w:after="0"/>
              <w:rPr>
                <w:sz w:val="8"/>
                <w:szCs w:val="8"/>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39,380</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3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Cash and cash equivalents, end of year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122,364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right"/>
              <w:ind w:right="175"/>
              <w:spacing w:after="0"/>
              <w:rPr>
                <w:sz w:val="20"/>
                <w:szCs w:val="20"/>
                <w:color w:val="auto"/>
              </w:rPr>
            </w:pPr>
            <w:r>
              <w:rPr>
                <w:rFonts w:ascii="Times New Roman" w:cs="Times New Roman" w:eastAsia="Times New Roman" w:hAnsi="Times New Roman"/>
                <w:sz w:val="8"/>
                <w:szCs w:val="8"/>
                <w:b w:val="1"/>
                <w:bCs w:val="1"/>
                <w:color w:val="auto"/>
              </w:rPr>
              <w:t>(1,273 )</w:t>
            </w:r>
          </w:p>
        </w:tc>
        <w:tc>
          <w:tcPr>
            <w:tcW w:w="100" w:type="dxa"/>
            <w:vAlign w:val="bottom"/>
          </w:tcPr>
          <w:p>
            <w:pPr>
              <w:spacing w:after="0"/>
              <w:rPr>
                <w:sz w:val="9"/>
                <w:szCs w:val="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121,091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2.10.Fair value measurement and concentration of credit risk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29"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1—Observable inputs are quoted prices (unadjusted) in active markets for identical assets or liabilities that the Company has the ability to access at the measurement date.</w:t>
      </w:r>
    </w:p>
    <w:p>
      <w:pPr>
        <w:spacing w:after="0" w:line="11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Level 2—Observable inputs other than Level 1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Level 3—Unobservable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are unobservable inputs for the asset or liability.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68"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29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080" w:type="dxa"/>
            <w:vAlign w:val="bottom"/>
          </w:tcPr>
          <w:p>
            <w:pPr>
              <w:ind w:left="16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480" w:type="dxa"/>
            <w:vAlign w:val="bottom"/>
          </w:tcPr>
          <w:p>
            <w:pPr>
              <w:ind w:left="98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jc w:val="right"/>
              <w:ind w:right="63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June 30, 2024</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13"/>
        </w:trPr>
        <w:tc>
          <w:tcPr>
            <w:tcW w:w="2900" w:type="dxa"/>
            <w:vAlign w:val="bottom"/>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FF0FC"/>
          </w:tcPr>
          <w:p>
            <w:pPr>
              <w:ind w:lef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2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1,383,298</w:t>
            </w:r>
          </w:p>
        </w:tc>
      </w:tr>
      <w:tr>
        <w:trPr>
          <w:trHeight w:val="225"/>
        </w:trPr>
        <w:tc>
          <w:tcPr>
            <w:tcW w:w="29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2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13"/>
        </w:trPr>
        <w:tc>
          <w:tcPr>
            <w:tcW w:w="29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08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r>
      <w:tr>
        <w:trPr>
          <w:trHeight w:val="125"/>
        </w:trPr>
        <w:tc>
          <w:tcPr>
            <w:tcW w:w="29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080" w:type="dxa"/>
            <w:vAlign w:val="bottom"/>
          </w:tcPr>
          <w:p>
            <w:pPr>
              <w:spacing w:after="0"/>
              <w:rPr>
                <w:sz w:val="10"/>
                <w:szCs w:val="10"/>
                <w:color w:val="auto"/>
              </w:rPr>
            </w:pPr>
          </w:p>
        </w:tc>
        <w:tc>
          <w:tcPr>
            <w:tcW w:w="148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1,311,028</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common shares payable was valued using a discounted cash flow method using a risk adjusted discount rate of 10.8%.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equivalents, accounts receivables, accounts payable and accrued expenses approximated their fair values due to their short maturities.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is potentially subject to credit risk concentration. The Company has not experienced any material losses related to concentrations during the years presented. The Company however has a concentration risk related to its contract with its only customer such that as at June 30, 2024 and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As at June 30, 2024 and December 31, 2023, the following vendors represented more than 10% of total accounts payable.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3920" w:type="dxa"/>
            <w:vAlign w:val="bottom"/>
          </w:tcPr>
          <w:p>
            <w:pPr>
              <w:spacing w:after="0"/>
              <w:rPr>
                <w:sz w:val="9"/>
                <w:szCs w:val="9"/>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8"/>
                <w:szCs w:val="8"/>
                <w:b w:val="1"/>
                <w:bCs w:val="1"/>
                <w:color w:val="auto"/>
              </w:rPr>
              <w:t>June 23, 2024</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00" w:type="dxa"/>
            <w:vAlign w:val="bottom"/>
            <w:gridSpan w:val="2"/>
          </w:tcPr>
          <w:p>
            <w:pPr>
              <w:ind w:left="4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0"/>
        </w:trPr>
        <w:tc>
          <w:tcPr>
            <w:tcW w:w="392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KPMG LLP</w:t>
            </w:r>
          </w:p>
        </w:tc>
        <w:tc>
          <w:tcPr>
            <w:tcW w:w="118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auto"/>
            </w:tcBorders>
            <w:shd w:val="clear" w:color="auto" w:fill="CFF0FC"/>
          </w:tcPr>
          <w:p>
            <w:pPr>
              <w:ind w:left="200"/>
              <w:spacing w:after="0" w:line="100" w:lineRule="exact"/>
              <w:rPr>
                <w:sz w:val="20"/>
                <w:szCs w:val="20"/>
                <w:color w:val="auto"/>
              </w:rPr>
            </w:pPr>
            <w:r>
              <w:rPr>
                <w:rFonts w:ascii="Times New Roman" w:cs="Times New Roman" w:eastAsia="Times New Roman" w:hAnsi="Times New Roman"/>
                <w:sz w:val="10"/>
                <w:szCs w:val="10"/>
                <w:color w:val="auto"/>
                <w:w w:val="79"/>
              </w:rPr>
              <w:t>11</w:t>
            </w:r>
          </w:p>
        </w:tc>
        <w:tc>
          <w:tcPr>
            <w:tcW w:w="340" w:type="dxa"/>
            <w:vAlign w:val="bottom"/>
            <w:shd w:val="clear" w:color="auto" w:fill="CFF0FC"/>
          </w:tcPr>
          <w:p>
            <w:pPr>
              <w:jc w:val="right"/>
              <w:ind w:right="211"/>
              <w:spacing w:after="0" w:line="100" w:lineRule="exact"/>
              <w:rPr>
                <w:sz w:val="20"/>
                <w:szCs w:val="20"/>
                <w:color w:val="auto"/>
              </w:rPr>
            </w:pPr>
            <w:r>
              <w:rPr>
                <w:rFonts w:ascii="Times New Roman" w:cs="Times New Roman" w:eastAsia="Times New Roman" w:hAnsi="Times New Roman"/>
                <w:sz w:val="10"/>
                <w:szCs w:val="10"/>
                <w:color w:val="auto"/>
                <w:w w:val="71"/>
              </w:rPr>
              <w:t>%</w:t>
            </w:r>
          </w:p>
        </w:tc>
        <w:tc>
          <w:tcPr>
            <w:tcW w:w="1480" w:type="dxa"/>
            <w:vAlign w:val="bottom"/>
            <w:tcBorders>
              <w:top w:val="single" w:sz="8" w:color="auto"/>
            </w:tcBorders>
            <w:shd w:val="clear" w:color="auto" w:fill="CFF0FC"/>
          </w:tcPr>
          <w:p>
            <w:pPr>
              <w:ind w:left="1380"/>
              <w:spacing w:after="0" w:line="100" w:lineRule="exact"/>
              <w:rPr>
                <w:sz w:val="20"/>
                <w:szCs w:val="20"/>
                <w:color w:val="auto"/>
              </w:rPr>
            </w:pPr>
            <w:r>
              <w:rPr>
                <w:rFonts w:ascii="Times New Roman" w:cs="Times New Roman" w:eastAsia="Times New Roman" w:hAnsi="Times New Roman"/>
                <w:sz w:val="10"/>
                <w:szCs w:val="10"/>
                <w:color w:val="auto"/>
                <w:w w:val="79"/>
              </w:rPr>
              <w:t>10</w:t>
            </w:r>
          </w:p>
        </w:tc>
        <w:tc>
          <w:tcPr>
            <w:tcW w:w="220" w:type="dxa"/>
            <w:vAlign w:val="bottom"/>
            <w:shd w:val="clear" w:color="auto" w:fill="CFF0FC"/>
          </w:tcPr>
          <w:p>
            <w:pPr>
              <w:jc w:val="right"/>
              <w:ind w:right="91"/>
              <w:spacing w:after="0" w:line="100" w:lineRule="exact"/>
              <w:rPr>
                <w:sz w:val="20"/>
                <w:szCs w:val="20"/>
                <w:color w:val="auto"/>
              </w:rPr>
            </w:pPr>
            <w:r>
              <w:rPr>
                <w:rFonts w:ascii="Times New Roman" w:cs="Times New Roman" w:eastAsia="Times New Roman" w:hAnsi="Times New Roman"/>
                <w:sz w:val="10"/>
                <w:szCs w:val="10"/>
                <w:color w:val="auto"/>
                <w:w w:val="71"/>
              </w:rPr>
              <w:t>%</w:t>
            </w:r>
          </w:p>
        </w:tc>
      </w:tr>
      <w:tr>
        <w:trPr>
          <w:trHeight w:val="113"/>
        </w:trPr>
        <w:tc>
          <w:tcPr>
            <w:tcW w:w="51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Taylor Wessing LLP</w:t>
            </w:r>
          </w:p>
        </w:tc>
        <w:tc>
          <w:tcPr>
            <w:tcW w:w="640" w:type="dxa"/>
            <w:vAlign w:val="bottom"/>
            <w:gridSpan w:val="2"/>
          </w:tcPr>
          <w:p>
            <w:pPr>
              <w:ind w:left="2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700" w:type="dxa"/>
            <w:vAlign w:val="bottom"/>
            <w:gridSpan w:val="2"/>
          </w:tcPr>
          <w:p>
            <w:pPr>
              <w:ind w:left="1380"/>
              <w:spacing w:after="0" w:line="113" w:lineRule="exact"/>
              <w:rPr>
                <w:sz w:val="20"/>
                <w:szCs w:val="20"/>
                <w:color w:val="auto"/>
              </w:rPr>
            </w:pPr>
            <w:r>
              <w:rPr>
                <w:rFonts w:ascii="Times New Roman" w:cs="Times New Roman" w:eastAsia="Times New Roman" w:hAnsi="Times New Roman"/>
                <w:sz w:val="10"/>
                <w:szCs w:val="10"/>
                <w:color w:val="auto"/>
              </w:rPr>
              <w:t>13 %</w:t>
            </w:r>
          </w:p>
        </w:tc>
      </w:tr>
      <w:tr>
        <w:trPr>
          <w:trHeight w:val="113"/>
        </w:trPr>
        <w:tc>
          <w:tcPr>
            <w:tcW w:w="510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Wilson Sonsini Goodrich &amp; Rosati</w:t>
            </w:r>
          </w:p>
        </w:tc>
        <w:tc>
          <w:tcPr>
            <w:tcW w:w="640" w:type="dxa"/>
            <w:vAlign w:val="bottom"/>
            <w:gridSpan w:val="2"/>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15 %</w:t>
            </w:r>
          </w:p>
        </w:tc>
        <w:tc>
          <w:tcPr>
            <w:tcW w:w="1700" w:type="dxa"/>
            <w:vAlign w:val="bottom"/>
            <w:gridSpan w:val="2"/>
            <w:shd w:val="clear" w:color="auto" w:fill="CFF0FC"/>
          </w:tcPr>
          <w:p>
            <w:pPr>
              <w:ind w:left="1380"/>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25"/>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Amazon Web Services</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0"/>
                <w:szCs w:val="10"/>
                <w:color w:val="auto"/>
              </w:rPr>
              <w:t>14 %</w:t>
            </w:r>
          </w:p>
        </w:tc>
        <w:tc>
          <w:tcPr>
            <w:tcW w:w="1700" w:type="dxa"/>
            <w:vAlign w:val="bottom"/>
            <w:gridSpan w:val="2"/>
          </w:tcPr>
          <w:p>
            <w:pPr>
              <w:ind w:left="1380"/>
              <w:spacing w:after="0"/>
              <w:rPr>
                <w:sz w:val="20"/>
                <w:szCs w:val="20"/>
                <w:color w:val="auto"/>
              </w:rPr>
            </w:pPr>
            <w:r>
              <w:rPr>
                <w:rFonts w:ascii="Times New Roman" w:cs="Times New Roman" w:eastAsia="Times New Roman" w:hAnsi="Times New Roman"/>
                <w:sz w:val="10"/>
                <w:szCs w:val="10"/>
                <w:color w:val="auto"/>
              </w:rPr>
              <w:t>—</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is in Spain. Based upon the Company’s level of operations for the period ended June 30, 2024, a sensitivity analysis shows that a 10% appreciation or depreciation in the EUR against the dollar would have increased or decreased, respectively, the Company’s revenue for the periods ended June 30, 2024 and 2023 by approximately $ 5,339 and $ 4,676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3.Prepayments and other current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June 30, 2023</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00"/>
        </w:trPr>
        <w:tc>
          <w:tcPr>
            <w:tcW w:w="1580" w:type="dxa"/>
            <w:vAlign w:val="bottom"/>
          </w:tcPr>
          <w:p>
            <w:pPr>
              <w:spacing w:after="0"/>
              <w:rPr>
                <w:sz w:val="8"/>
                <w:szCs w:val="8"/>
                <w:color w:val="auto"/>
              </w:rPr>
            </w:pPr>
          </w:p>
        </w:tc>
        <w:tc>
          <w:tcPr>
            <w:tcW w:w="4080" w:type="dxa"/>
            <w:vAlign w:val="bottom"/>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Prepaid expense</w:t>
            </w: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207,829</w:t>
            </w: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130,309</w:t>
            </w:r>
          </w:p>
        </w:tc>
        <w:tc>
          <w:tcPr>
            <w:tcW w:w="100" w:type="dxa"/>
            <w:vAlign w:val="bottom"/>
            <w:shd w:val="clear" w:color="auto" w:fill="CFF0FC"/>
          </w:tcPr>
          <w:p>
            <w:pPr>
              <w:spacing w:after="0"/>
              <w:rPr>
                <w:sz w:val="8"/>
                <w:szCs w:val="8"/>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Receivable from government authorities</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3,393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w:t>
            </w:r>
          </w:p>
        </w:tc>
        <w:tc>
          <w:tcPr>
            <w:tcW w:w="1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receivable</w:t>
            </w: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68,788</w:t>
            </w: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27,690</w:t>
            </w:r>
          </w:p>
        </w:tc>
        <w:tc>
          <w:tcPr>
            <w:tcW w:w="10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tcBorders>
              <w:bottom w:val="single" w:sz="8" w:color="CFF0FC"/>
            </w:tcBorders>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Input tax credit receivable</w:t>
            </w: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150,681</w:t>
            </w:r>
          </w:p>
        </w:tc>
        <w:tc>
          <w:tcPr>
            <w:tcW w:w="1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5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140,432</w:t>
            </w:r>
          </w:p>
        </w:tc>
        <w:tc>
          <w:tcPr>
            <w:tcW w:w="100" w:type="dxa"/>
            <w:vAlign w:val="bottom"/>
            <w:tcBorders>
              <w:bottom w:val="single" w:sz="8" w:color="CFF0FC"/>
            </w:tcBorders>
          </w:tcPr>
          <w:p>
            <w:pPr>
              <w:spacing w:after="0"/>
              <w:rPr>
                <w:sz w:val="9"/>
                <w:szCs w:val="9"/>
                <w:color w:val="auto"/>
              </w:rPr>
            </w:pPr>
          </w:p>
        </w:tc>
      </w:tr>
      <w:tr>
        <w:trPr>
          <w:trHeight w:val="103"/>
        </w:trPr>
        <w:tc>
          <w:tcPr>
            <w:tcW w:w="1580" w:type="dxa"/>
            <w:vAlign w:val="bottom"/>
          </w:tcPr>
          <w:p>
            <w:pPr>
              <w:spacing w:after="0"/>
              <w:rPr>
                <w:sz w:val="8"/>
                <w:szCs w:val="8"/>
                <w:color w:val="auto"/>
              </w:rPr>
            </w:pPr>
          </w:p>
        </w:tc>
        <w:tc>
          <w:tcPr>
            <w:tcW w:w="4080" w:type="dxa"/>
            <w:vAlign w:val="bottom"/>
            <w:tcBorders>
              <w:bottom w:val="single" w:sz="8" w:color="CFF0FC"/>
            </w:tcBorders>
            <w:gridSpan w:val="2"/>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Total</w:t>
            </w:r>
          </w:p>
        </w:tc>
        <w:tc>
          <w:tcPr>
            <w:tcW w:w="1560" w:type="dxa"/>
            <w:vAlign w:val="bottom"/>
            <w:tcBorders>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430,691</w:t>
            </w: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bottom w:val="single" w:sz="8" w:color="CFF0FC"/>
            </w:tcBorders>
            <w:shd w:val="clear" w:color="auto" w:fill="CFF0FC"/>
          </w:tcPr>
          <w:p>
            <w:pPr>
              <w:spacing w:after="0"/>
              <w:rPr>
                <w:sz w:val="8"/>
                <w:szCs w:val="8"/>
                <w:color w:val="auto"/>
              </w:rPr>
            </w:pPr>
          </w:p>
        </w:tc>
        <w:tc>
          <w:tcPr>
            <w:tcW w:w="1560" w:type="dxa"/>
            <w:vAlign w:val="bottom"/>
            <w:tcBorders>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299,013</w:t>
            </w:r>
          </w:p>
        </w:tc>
        <w:tc>
          <w:tcPr>
            <w:tcW w:w="100" w:type="dxa"/>
            <w:vAlign w:val="bottom"/>
            <w:tcBorders>
              <w:bottom w:val="single" w:sz="8" w:color="CFF0FC"/>
            </w:tcBorders>
            <w:shd w:val="clear" w:color="auto" w:fill="CFF0FC"/>
          </w:tcPr>
          <w:p>
            <w:pPr>
              <w:spacing w:after="0"/>
              <w:rPr>
                <w:sz w:val="8"/>
                <w:szCs w:val="8"/>
                <w:color w:val="auto"/>
              </w:rPr>
            </w:pPr>
          </w:p>
        </w:tc>
      </w:tr>
      <w:tr>
        <w:trPr>
          <w:trHeight w:val="321"/>
        </w:trPr>
        <w:tc>
          <w:tcPr>
            <w:tcW w:w="56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4.Intangible assets, net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15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00" w:type="dxa"/>
            <w:vAlign w:val="bottom"/>
          </w:tcPr>
          <w:p>
            <w:pPr>
              <w:spacing w:after="0"/>
              <w:rPr>
                <w:sz w:val="9"/>
                <w:szCs w:val="9"/>
                <w:color w:val="auto"/>
              </w:rPr>
            </w:pPr>
          </w:p>
        </w:tc>
      </w:tr>
      <w:tr>
        <w:trPr>
          <w:trHeight w:val="100"/>
        </w:trPr>
        <w:tc>
          <w:tcPr>
            <w:tcW w:w="1580" w:type="dxa"/>
            <w:vAlign w:val="bottom"/>
          </w:tcPr>
          <w:p>
            <w:pPr>
              <w:spacing w:after="0"/>
              <w:rPr>
                <w:sz w:val="8"/>
                <w:szCs w:val="8"/>
                <w:color w:val="auto"/>
              </w:rPr>
            </w:pPr>
          </w:p>
        </w:tc>
        <w:tc>
          <w:tcPr>
            <w:tcW w:w="4060" w:type="dxa"/>
            <w:vAlign w:val="bottom"/>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color w:val="auto"/>
              </w:rPr>
              <w:t>Software</w:t>
            </w: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1,014,094</w:t>
            </w:r>
          </w:p>
        </w:tc>
        <w:tc>
          <w:tcPr>
            <w:tcW w:w="1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5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color w:val="auto"/>
              </w:rPr>
              <w:t>1,009,272</w:t>
            </w:r>
          </w:p>
        </w:tc>
        <w:tc>
          <w:tcPr>
            <w:tcW w:w="100" w:type="dxa"/>
            <w:vAlign w:val="bottom"/>
            <w:shd w:val="clear" w:color="auto" w:fill="CFF0FC"/>
          </w:tcPr>
          <w:p>
            <w:pPr>
              <w:spacing w:after="0"/>
              <w:rPr>
                <w:sz w:val="8"/>
                <w:szCs w:val="8"/>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 development intangible asset</w:t>
            </w: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3,218,169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1,862,465</w:t>
            </w:r>
          </w:p>
        </w:tc>
        <w:tc>
          <w:tcPr>
            <w:tcW w:w="1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4,232,263</w:t>
            </w: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5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2,871,737</w:t>
            </w:r>
          </w:p>
        </w:tc>
        <w:tc>
          <w:tcPr>
            <w:tcW w:w="10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08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Less - Accumulated amortization</w:t>
            </w:r>
          </w:p>
        </w:tc>
        <w:tc>
          <w:tcPr>
            <w:tcW w:w="168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(835,774 )</w:t>
            </w:r>
          </w:p>
        </w:tc>
        <w:tc>
          <w:tcPr>
            <w:tcW w:w="20" w:type="dxa"/>
            <w:vAlign w:val="bottom"/>
          </w:tcPr>
          <w:p>
            <w:pPr>
              <w:spacing w:after="0"/>
              <w:rPr>
                <w:sz w:val="9"/>
                <w:szCs w:val="9"/>
                <w:color w:val="auto"/>
              </w:rPr>
            </w:pPr>
          </w:p>
        </w:tc>
        <w:tc>
          <w:tcPr>
            <w:tcW w:w="166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(736,834 )</w:t>
            </w:r>
          </w:p>
        </w:tc>
      </w:tr>
      <w:tr>
        <w:trPr>
          <w:trHeight w:val="103"/>
        </w:trPr>
        <w:tc>
          <w:tcPr>
            <w:tcW w:w="1580" w:type="dxa"/>
            <w:vAlign w:val="bottom"/>
          </w:tcPr>
          <w:p>
            <w:pPr>
              <w:spacing w:after="0"/>
              <w:rPr>
                <w:sz w:val="8"/>
                <w:szCs w:val="8"/>
                <w:color w:val="auto"/>
              </w:rPr>
            </w:pPr>
          </w:p>
        </w:tc>
        <w:tc>
          <w:tcPr>
            <w:tcW w:w="4060" w:type="dxa"/>
            <w:vAlign w:val="bottom"/>
            <w:tcBorders>
              <w:bottom w:val="single" w:sz="8" w:color="CFF0FC"/>
            </w:tcBorders>
            <w:shd w:val="clear" w:color="auto" w:fill="CFF0FC"/>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Intangible assets, net</w:t>
            </w:r>
          </w:p>
        </w:tc>
        <w:tc>
          <w:tcPr>
            <w:tcW w:w="20" w:type="dxa"/>
            <w:vAlign w:val="bottom"/>
            <w:tcBorders>
              <w:top w:val="single" w:sz="8" w:color="auto"/>
              <w:bottom w:val="single" w:sz="8" w:color="auto"/>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3,396,489</w:t>
            </w:r>
          </w:p>
        </w:tc>
        <w:tc>
          <w:tcPr>
            <w:tcW w:w="120" w:type="dxa"/>
            <w:vAlign w:val="bottom"/>
            <w:tcBorders>
              <w:bottom w:val="single" w:sz="8" w:color="CFF0FC"/>
            </w:tcBorders>
            <w:shd w:val="clear" w:color="auto" w:fill="CFF0FC"/>
          </w:tcPr>
          <w:p>
            <w:pPr>
              <w:spacing w:after="0"/>
              <w:rPr>
                <w:sz w:val="8"/>
                <w:szCs w:val="8"/>
                <w:color w:val="auto"/>
              </w:rPr>
            </w:pPr>
          </w:p>
        </w:tc>
        <w:tc>
          <w:tcPr>
            <w:tcW w:w="20" w:type="dxa"/>
            <w:vAlign w:val="bottom"/>
            <w:tcBorders>
              <w:top w:val="single" w:sz="8" w:color="auto"/>
              <w:bottom w:val="single" w:sz="8" w:color="auto"/>
            </w:tcBorders>
            <w:shd w:val="clear" w:color="auto" w:fill="CFF0FC"/>
          </w:tcPr>
          <w:p>
            <w:pPr>
              <w:spacing w:after="0"/>
              <w:rPr>
                <w:sz w:val="8"/>
                <w:szCs w:val="8"/>
                <w:color w:val="auto"/>
              </w:rPr>
            </w:pPr>
          </w:p>
        </w:tc>
        <w:tc>
          <w:tcPr>
            <w:tcW w:w="1560" w:type="dxa"/>
            <w:vAlign w:val="bottom"/>
            <w:tcBorders>
              <w:top w:val="single" w:sz="8" w:color="auto"/>
              <w:bottom w:val="single" w:sz="8" w:color="auto"/>
            </w:tcBorders>
            <w:shd w:val="clear" w:color="auto" w:fill="CFF0FC"/>
          </w:tcPr>
          <w:p>
            <w:pPr>
              <w:jc w:val="right"/>
              <w:spacing w:after="0" w:line="100" w:lineRule="exact"/>
              <w:rPr>
                <w:sz w:val="20"/>
                <w:szCs w:val="20"/>
                <w:color w:val="auto"/>
              </w:rPr>
            </w:pPr>
            <w:r>
              <w:rPr>
                <w:rFonts w:ascii="Times New Roman" w:cs="Times New Roman" w:eastAsia="Times New Roman" w:hAnsi="Times New Roman"/>
                <w:sz w:val="10"/>
                <w:szCs w:val="10"/>
                <w:b w:val="1"/>
                <w:bCs w:val="1"/>
                <w:color w:val="auto"/>
              </w:rPr>
              <w:t>2,134,903</w:t>
            </w:r>
          </w:p>
        </w:tc>
        <w:tc>
          <w:tcPr>
            <w:tcW w:w="100" w:type="dxa"/>
            <w:vAlign w:val="bottom"/>
            <w:tcBorders>
              <w:bottom w:val="single" w:sz="8" w:color="CFF0FC"/>
            </w:tcBorders>
            <w:shd w:val="clear" w:color="auto" w:fill="CFF0FC"/>
          </w:tcPr>
          <w:p>
            <w:pPr>
              <w:spacing w:after="0"/>
              <w:rPr>
                <w:sz w:val="8"/>
                <w:szCs w:val="8"/>
                <w:color w:val="auto"/>
              </w:rPr>
            </w:pPr>
          </w:p>
        </w:tc>
      </w:tr>
    </w:tbl>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Amortization expense in each of the six months ended June 30, 2024 and June 30, 2023 was $ $98,940.</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0"/>
          <w:szCs w:val="10"/>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440"/>
          </w:cols>
          <w:pgMar w:left="640" w:top="921" w:right="82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5.Debt and other liabilities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40" w:type="dxa"/>
            <w:vAlign w:val="bottom"/>
          </w:tcPr>
          <w:p>
            <w:pPr>
              <w:ind w:left="450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20" w:type="dxa"/>
            <w:vAlign w:val="bottom"/>
          </w:tcPr>
          <w:p>
            <w:pPr>
              <w:spacing w:after="0"/>
              <w:rPr>
                <w:sz w:val="8"/>
                <w:szCs w:val="8"/>
                <w:color w:val="auto"/>
              </w:rPr>
            </w:pP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040" w:type="dxa"/>
            <w:vAlign w:val="bottom"/>
          </w:tcPr>
          <w:p>
            <w:pPr>
              <w:ind w:left="4720"/>
              <w:spacing w:after="0"/>
              <w:rPr>
                <w:sz w:val="20"/>
                <w:szCs w:val="20"/>
                <w:color w:val="auto"/>
              </w:rPr>
            </w:pPr>
            <w:r>
              <w:rPr>
                <w:rFonts w:ascii="Times New Roman" w:cs="Times New Roman" w:eastAsia="Times New Roman" w:hAnsi="Times New Roman"/>
                <w:sz w:val="8"/>
                <w:szCs w:val="8"/>
                <w:b w:val="1"/>
                <w:bCs w:val="1"/>
                <w:color w:val="auto"/>
              </w:rPr>
              <w:t>$</w:t>
            </w:r>
          </w:p>
        </w:tc>
        <w:tc>
          <w:tcPr>
            <w:tcW w:w="820" w:type="dxa"/>
            <w:vAlign w:val="bottom"/>
          </w:tcPr>
          <w:p>
            <w:pPr>
              <w:spacing w:after="0"/>
              <w:rPr>
                <w:sz w:val="9"/>
                <w:szCs w:val="9"/>
                <w:color w:val="auto"/>
              </w:rPr>
            </w:pPr>
          </w:p>
        </w:tc>
        <w:tc>
          <w:tcPr>
            <w:tcW w:w="1580" w:type="dxa"/>
            <w:vAlign w:val="bottom"/>
          </w:tcPr>
          <w:p>
            <w:pPr>
              <w:jc w:val="right"/>
              <w:ind w:right="833"/>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Short-term debt</w:t>
            </w:r>
          </w:p>
        </w:tc>
        <w:tc>
          <w:tcPr>
            <w:tcW w:w="8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from Related parties (5.1)</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860,778</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6,225,815</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party (5.2)</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132,269</w:t>
            </w: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(5.3)</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31,088,259</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Promissory loan note (5.5)</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437,956</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0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short-term debt</w:t>
            </w:r>
          </w:p>
        </w:tc>
        <w:tc>
          <w:tcPr>
            <w:tcW w:w="820" w:type="dxa"/>
            <w:vAlign w:val="bottom"/>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1,298,734</w:t>
            </w:r>
          </w:p>
        </w:tc>
        <w:tc>
          <w:tcPr>
            <w:tcW w:w="158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37,446,343</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Long-term debt</w:t>
            </w:r>
          </w:p>
        </w:tc>
        <w:tc>
          <w:tcPr>
            <w:tcW w:w="82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06"/>
        </w:trPr>
        <w:tc>
          <w:tcPr>
            <w:tcW w:w="504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Convertible promissory notes (5.4)</w:t>
            </w:r>
          </w:p>
        </w:tc>
        <w:tc>
          <w:tcPr>
            <w:tcW w:w="820" w:type="dxa"/>
            <w:vAlign w:val="bottom"/>
          </w:tcPr>
          <w:p>
            <w:pPr>
              <w:jc w:val="right"/>
              <w:ind w:right="291"/>
              <w:spacing w:after="0" w:line="106" w:lineRule="exact"/>
              <w:rPr>
                <w:sz w:val="20"/>
                <w:szCs w:val="20"/>
                <w:color w:val="auto"/>
              </w:rPr>
            </w:pPr>
            <w:r>
              <w:rPr>
                <w:rFonts w:ascii="Times New Roman" w:cs="Times New Roman" w:eastAsia="Times New Roman" w:hAnsi="Times New Roman"/>
                <w:sz w:val="10"/>
                <w:szCs w:val="10"/>
                <w:color w:val="auto"/>
              </w:rPr>
              <w:t>5,395,702</w:t>
            </w:r>
          </w:p>
        </w:tc>
        <w:tc>
          <w:tcPr>
            <w:tcW w:w="1580" w:type="dxa"/>
            <w:vAlign w:val="bottom"/>
          </w:tcPr>
          <w:p>
            <w:pPr>
              <w:jc w:val="right"/>
              <w:ind w:right="53"/>
              <w:spacing w:after="0" w:line="106" w:lineRule="exact"/>
              <w:rPr>
                <w:sz w:val="20"/>
                <w:szCs w:val="20"/>
                <w:color w:val="auto"/>
              </w:rPr>
            </w:pPr>
            <w:r>
              <w:rPr>
                <w:rFonts w:ascii="Times New Roman" w:cs="Times New Roman" w:eastAsia="Times New Roman" w:hAnsi="Times New Roman"/>
                <w:sz w:val="10"/>
                <w:szCs w:val="10"/>
                <w:color w:val="auto"/>
              </w:rPr>
              <w:t>—</w:t>
            </w:r>
          </w:p>
        </w:tc>
      </w:tr>
      <w:tr>
        <w:trPr>
          <w:trHeight w:val="119"/>
        </w:trPr>
        <w:tc>
          <w:tcPr>
            <w:tcW w:w="50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loans (5.3)</w:t>
            </w: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0"/>
                <w:szCs w:val="10"/>
                <w:color w:val="auto"/>
              </w:rPr>
              <w:t>38,737,594</w:t>
            </w: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r>
      <w:tr>
        <w:trPr>
          <w:trHeight w:val="113"/>
        </w:trPr>
        <w:tc>
          <w:tcPr>
            <w:tcW w:w="50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 long-term debt</w:t>
            </w:r>
          </w:p>
        </w:tc>
        <w:tc>
          <w:tcPr>
            <w:tcW w:w="8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b w:val="1"/>
                <w:bCs w:val="1"/>
                <w:color w:val="auto"/>
              </w:rPr>
              <w:t>44,133,296</w:t>
            </w:r>
          </w:p>
        </w:tc>
        <w:tc>
          <w:tcPr>
            <w:tcW w:w="158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details of the Company’s debt are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5.1.</w:t>
      </w:r>
      <w:r>
        <w:rPr>
          <w:rFonts w:ascii="Times New Roman" w:cs="Times New Roman" w:eastAsia="Times New Roman" w:hAnsi="Times New Roman"/>
          <w:sz w:val="10"/>
          <w:szCs w:val="10"/>
          <w:color w:val="auto"/>
        </w:rPr>
        <w:t>Short-term debt from Related parties: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Unsecured interest free loan taken from related party (DBLP Sea Cow Ltd) of $860,778 consists of a $447,067 loan repayable on demand. Additionally, DBLP Sea Cow Ltd is owed $413,711 for amounts to be re-imbursed for expenses incurred on behalf of Rezolve at June 30, 2024 (December 31, 2023, $191,405).</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bore a borrowing fee of $660,000 and €660,000, respectively, which has been recorded in interest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expense in the six months ended June 30, 2023. The loans were due to mature on July 31, 2023 or at the option of the investor, can be converted into ordinary shares of the Company including the accrued borrowing fees at a conversion rate of 0.50 to the Company’s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price at listing after completing any reorganization. The loans were not repaid by the maturity date and therefore the Company was in default of the two unsecured convertible loans and the loans remained repayable on demand at December 31, 2023 for a total of</w:t>
      </w:r>
    </w:p>
    <w:p>
      <w:pPr>
        <w:spacing w:after="0"/>
        <w:rPr>
          <w:sz w:val="20"/>
          <w:szCs w:val="20"/>
          <w:color w:val="auto"/>
        </w:rPr>
      </w:pPr>
      <w:r>
        <w:rPr>
          <w:rFonts w:ascii="Times New Roman" w:cs="Times New Roman" w:eastAsia="Times New Roman" w:hAnsi="Times New Roman"/>
          <w:sz w:val="9"/>
          <w:szCs w:val="9"/>
          <w:color w:val="auto"/>
        </w:rPr>
        <w:t>$5,587,343 including their accrued borrowing fee. On January 26, 2024, the two unsecured convertible loans were added to the Company’s senior secured convertible notes (note 5.3). The loan principal and accrued borrowing fees were rounded to a sum of $8,000,000.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key terms of the loan amendment include that of the senior secured convertible notes, as noted below:</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at the option of the investor from any date of an IPO or Business Combination with a publicly listed company.</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1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 xml:space="preserve">5.2. </w:t>
      </w:r>
      <w:r>
        <w:rPr>
          <w:rFonts w:ascii="Times New Roman" w:cs="Times New Roman" w:eastAsia="Times New Roman" w:hAnsi="Times New Roman"/>
          <w:sz w:val="10"/>
          <w:szCs w:val="10"/>
          <w:color w:val="auto"/>
        </w:rPr>
        <w:t>A Short term convertible debt to a related party of $132,269 was also added to the Company’s senior secured convertible note. The loan includes principal of $125,000 and $11,943 of interest. The loan was originally entered into March 2, 2023 and bore interest at 7.5%</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per annum. Upon adding to the Company's senior secured convertible note on January 26, 2024, the note now bears the same terms and conditions as Igor Lychagov's loan discussed above in note 5.2.</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0"/>
          <w:szCs w:val="10"/>
          <w:b w:val="1"/>
          <w:bCs w:val="1"/>
          <w:color w:val="auto"/>
        </w:rPr>
        <w:t>5.3.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closed on August 15, 2024.</w:t>
      </w:r>
    </w:p>
    <w:p>
      <w:pPr>
        <w:spacing w:after="0" w:line="104"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pre-funded the PIPE entered into an agreement to purchase secured convertible notes of the Company for a total of $20 million. These notes were due to mature on December 16, 2023, and are redeemable by the noteholder on the occurrence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the May 23, 2023 amendment terms of the secured convertible notes, Rezolve has given certain covenants to the noteholders which remain in force while the convertible notes are outstanding, including that</w:t>
      </w:r>
    </w:p>
    <w:p>
      <w:pPr>
        <w:spacing w:after="0" w:line="58" w:lineRule="exact"/>
        <w:rPr>
          <w:sz w:val="20"/>
          <w:szCs w:val="20"/>
          <w:color w:val="auto"/>
        </w:rPr>
      </w:pPr>
    </w:p>
    <w:p>
      <w:pPr>
        <w:ind w:left="480" w:right="40"/>
        <w:spacing w:after="0" w:line="255" w:lineRule="auto"/>
        <w:rPr>
          <w:sz w:val="20"/>
          <w:szCs w:val="20"/>
          <w:color w:val="auto"/>
        </w:rPr>
      </w:pPr>
      <w:r>
        <w:rPr>
          <w:rFonts w:ascii="Times New Roman" w:cs="Times New Roman" w:eastAsia="Times New Roman" w:hAnsi="Times New Roman"/>
          <w:sz w:val="10"/>
          <w:szCs w:val="10"/>
          <w:color w:val="auto"/>
        </w:rPr>
        <w:t>(i)the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41" w:lineRule="exact"/>
        <w:rPr>
          <w:sz w:val="20"/>
          <w:szCs w:val="20"/>
          <w:color w:val="auto"/>
        </w:rPr>
      </w:pPr>
    </w:p>
    <w:p>
      <w:pPr>
        <w:ind w:left="480" w:right="38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01"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It is the Company’s current intent to settle the principal amount and accrued interest of its outstanding convertible debt in the Company’s ordinary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 Demerger notes"). These are contingent upon completion of the Demerger and will only be included in the carrying amount of the convertible debt upon completion of the Demerger. On June 4, 2024 the Demerger was completed and the Demerger notes will be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August 16, 2024, and extension to the maturity date to at least August 16, 2027, the Company classified the Convertible debt as non-current as at June 30, 2024 under the guidance in ASC 470-10-45-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14.</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5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20" w:type="dxa"/>
            <w:vAlign w:val="bottom"/>
          </w:tcPr>
          <w:p>
            <w:pPr>
              <w:jc w:val="right"/>
              <w:ind w:right="873"/>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540" w:type="dxa"/>
            <w:vAlign w:val="bottom"/>
          </w:tcPr>
          <w:p>
            <w:pPr>
              <w:ind w:left="320"/>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0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06"/>
        </w:trPr>
        <w:tc>
          <w:tcPr>
            <w:tcW w:w="1580" w:type="dxa"/>
            <w:vAlign w:val="bottom"/>
          </w:tcPr>
          <w:p>
            <w:pPr>
              <w:spacing w:after="0"/>
              <w:rPr>
                <w:sz w:val="9"/>
                <w:szCs w:val="9"/>
                <w:color w:val="auto"/>
              </w:rPr>
            </w:pPr>
          </w:p>
        </w:tc>
        <w:tc>
          <w:tcPr>
            <w:tcW w:w="38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Convertible debt under troubled debt</w:t>
            </w:r>
          </w:p>
        </w:tc>
        <w:tc>
          <w:tcPr>
            <w:tcW w:w="2020" w:type="dxa"/>
            <w:vAlign w:val="bottom"/>
          </w:tcPr>
          <w:p>
            <w:pPr>
              <w:jc w:val="right"/>
              <w:ind w:right="333"/>
              <w:spacing w:after="0" w:line="106" w:lineRule="exact"/>
              <w:rPr>
                <w:sz w:val="20"/>
                <w:szCs w:val="20"/>
                <w:color w:val="auto"/>
              </w:rPr>
            </w:pPr>
            <w:r>
              <w:rPr>
                <w:rFonts w:ascii="Times New Roman" w:cs="Times New Roman" w:eastAsia="Times New Roman" w:hAnsi="Times New Roman"/>
                <w:sz w:val="10"/>
                <w:szCs w:val="10"/>
                <w:color w:val="auto"/>
              </w:rPr>
              <w:t>38,737,594</w:t>
            </w:r>
          </w:p>
        </w:tc>
        <w:tc>
          <w:tcPr>
            <w:tcW w:w="1540" w:type="dxa"/>
            <w:vAlign w:val="bottom"/>
          </w:tcPr>
          <w:p>
            <w:pPr>
              <w:jc w:val="right"/>
              <w:ind w:right="53"/>
              <w:spacing w:after="0" w:line="106" w:lineRule="exact"/>
              <w:rPr>
                <w:sz w:val="20"/>
                <w:szCs w:val="20"/>
                <w:color w:val="auto"/>
              </w:rPr>
            </w:pPr>
            <w:r>
              <w:rPr>
                <w:rFonts w:ascii="Times New Roman" w:cs="Times New Roman" w:eastAsia="Times New Roman" w:hAnsi="Times New Roman"/>
                <w:sz w:val="10"/>
                <w:szCs w:val="10"/>
                <w:color w:val="auto"/>
              </w:rPr>
              <w:t>31,220,528</w:t>
            </w:r>
          </w:p>
        </w:tc>
      </w:tr>
      <w:tr>
        <w:trPr>
          <w:trHeight w:val="119"/>
        </w:trPr>
        <w:tc>
          <w:tcPr>
            <w:tcW w:w="1580" w:type="dxa"/>
            <w:vAlign w:val="bottom"/>
          </w:tcPr>
          <w:p>
            <w:pPr>
              <w:spacing w:after="0"/>
              <w:rPr>
                <w:sz w:val="10"/>
                <w:szCs w:val="10"/>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restructuring</w:t>
            </w:r>
          </w:p>
        </w:tc>
        <w:tc>
          <w:tcPr>
            <w:tcW w:w="20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spacing w:after="0"/>
              <w:rPr>
                <w:sz w:val="9"/>
                <w:szCs w:val="9"/>
                <w:color w:val="auto"/>
              </w:rPr>
            </w:pPr>
          </w:p>
        </w:tc>
        <w:tc>
          <w:tcPr>
            <w:tcW w:w="2020" w:type="dxa"/>
            <w:vAlign w:val="bottom"/>
            <w:shd w:val="clear" w:color="auto" w:fill="CFF0FC"/>
          </w:tcPr>
          <w:p>
            <w:pPr>
              <w:jc w:val="right"/>
              <w:ind w:right="333"/>
              <w:spacing w:after="0" w:line="113" w:lineRule="exact"/>
              <w:rPr>
                <w:sz w:val="20"/>
                <w:szCs w:val="20"/>
                <w:color w:val="auto"/>
              </w:rPr>
            </w:pPr>
            <w:r>
              <w:rPr>
                <w:rFonts w:ascii="Times New Roman" w:cs="Times New Roman" w:eastAsia="Times New Roman" w:hAnsi="Times New Roman"/>
                <w:sz w:val="10"/>
                <w:szCs w:val="10"/>
                <w:b w:val="1"/>
                <w:bCs w:val="1"/>
                <w:color w:val="auto"/>
              </w:rPr>
              <w:t>38,737,594</w:t>
            </w:r>
          </w:p>
        </w:tc>
        <w:tc>
          <w:tcPr>
            <w:tcW w:w="15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b w:val="1"/>
                <w:bCs w:val="1"/>
                <w:color w:val="auto"/>
              </w:rPr>
              <w:t>31,220,528</w:t>
            </w:r>
          </w:p>
        </w:tc>
      </w:tr>
      <w:tr>
        <w:trPr>
          <w:trHeight w:val="321"/>
        </w:trPr>
        <w:tc>
          <w:tcPr>
            <w:tcW w:w="54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5.4.</w:t>
            </w:r>
            <w:r>
              <w:rPr>
                <w:rFonts w:ascii="Times New Roman" w:cs="Times New Roman" w:eastAsia="Times New Roman" w:hAnsi="Times New Roman"/>
                <w:sz w:val="10"/>
                <w:szCs w:val="10"/>
                <w:color w:val="auto"/>
              </w:rPr>
              <w:t>Convertible promissory notes:</w:t>
            </w:r>
          </w:p>
        </w:tc>
        <w:tc>
          <w:tcPr>
            <w:tcW w:w="20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2"/>
        </w:trPr>
        <w:tc>
          <w:tcPr>
            <w:tcW w:w="15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202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3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promissory note</w:t>
            </w:r>
          </w:p>
        </w:tc>
        <w:tc>
          <w:tcPr>
            <w:tcW w:w="2020" w:type="dxa"/>
            <w:vAlign w:val="bottom"/>
          </w:tcPr>
          <w:p>
            <w:pPr>
              <w:jc w:val="right"/>
              <w:ind w:right="273"/>
              <w:spacing w:after="0" w:line="113" w:lineRule="exact"/>
              <w:rPr>
                <w:sz w:val="20"/>
                <w:szCs w:val="20"/>
                <w:color w:val="auto"/>
              </w:rPr>
            </w:pPr>
            <w:r>
              <w:rPr>
                <w:rFonts w:ascii="Times New Roman" w:cs="Times New Roman" w:eastAsia="Times New Roman" w:hAnsi="Times New Roman"/>
                <w:sz w:val="10"/>
                <w:szCs w:val="10"/>
                <w:color w:val="auto"/>
              </w:rPr>
              <w:t>2,508,685</w:t>
            </w:r>
          </w:p>
        </w:tc>
        <w:tc>
          <w:tcPr>
            <w:tcW w:w="1540" w:type="dxa"/>
            <w:vAlign w:val="bottom"/>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Promissory loan note</w:t>
            </w:r>
          </w:p>
        </w:tc>
        <w:tc>
          <w:tcPr>
            <w:tcW w:w="2020" w:type="dxa"/>
            <w:vAlign w:val="bottom"/>
            <w:shd w:val="clear" w:color="auto" w:fill="CFF0FC"/>
          </w:tcPr>
          <w:p>
            <w:pPr>
              <w:jc w:val="right"/>
              <w:ind w:right="273"/>
              <w:spacing w:after="0" w:line="113" w:lineRule="exact"/>
              <w:rPr>
                <w:sz w:val="20"/>
                <w:szCs w:val="20"/>
                <w:color w:val="auto"/>
              </w:rPr>
            </w:pPr>
            <w:r>
              <w:rPr>
                <w:rFonts w:ascii="Times New Roman" w:cs="Times New Roman" w:eastAsia="Times New Roman" w:hAnsi="Times New Roman"/>
                <w:sz w:val="10"/>
                <w:szCs w:val="10"/>
                <w:color w:val="auto"/>
              </w:rPr>
              <w:t>2,887,017</w:t>
            </w:r>
          </w:p>
        </w:tc>
        <w:tc>
          <w:tcPr>
            <w:tcW w:w="1540" w:type="dxa"/>
            <w:vAlign w:val="bottom"/>
            <w:shd w:val="clear" w:color="auto" w:fill="CFF0FC"/>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r>
        <w:trPr>
          <w:trHeight w:val="113"/>
        </w:trPr>
        <w:tc>
          <w:tcPr>
            <w:tcW w:w="1580" w:type="dxa"/>
            <w:vAlign w:val="bottom"/>
          </w:tcPr>
          <w:p>
            <w:pPr>
              <w:spacing w:after="0"/>
              <w:rPr>
                <w:sz w:val="9"/>
                <w:szCs w:val="9"/>
                <w:color w:val="auto"/>
              </w:rPr>
            </w:pPr>
          </w:p>
        </w:tc>
        <w:tc>
          <w:tcPr>
            <w:tcW w:w="3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 convertible promissory notes</w:t>
            </w:r>
          </w:p>
        </w:tc>
        <w:tc>
          <w:tcPr>
            <w:tcW w:w="2020" w:type="dxa"/>
            <w:vAlign w:val="bottom"/>
            <w:shd w:val="clear" w:color="auto" w:fill="CFF0FC"/>
          </w:tcPr>
          <w:p>
            <w:pPr>
              <w:jc w:val="right"/>
              <w:ind w:right="273"/>
              <w:spacing w:after="0" w:line="113" w:lineRule="exact"/>
              <w:rPr>
                <w:sz w:val="20"/>
                <w:szCs w:val="20"/>
                <w:color w:val="auto"/>
              </w:rPr>
            </w:pPr>
            <w:r>
              <w:rPr>
                <w:rFonts w:ascii="Times New Roman" w:cs="Times New Roman" w:eastAsia="Times New Roman" w:hAnsi="Times New Roman"/>
                <w:sz w:val="10"/>
                <w:szCs w:val="10"/>
                <w:b w:val="1"/>
                <w:bCs w:val="1"/>
                <w:color w:val="auto"/>
              </w:rPr>
              <w:t>5,395,702</w:t>
            </w:r>
          </w:p>
        </w:tc>
        <w:tc>
          <w:tcPr>
            <w:tcW w:w="1540" w:type="dxa"/>
            <w:vAlign w:val="bottom"/>
            <w:shd w:val="clear" w:color="auto" w:fill="CFF0FC"/>
          </w:tcPr>
          <w:p>
            <w:pPr>
              <w:ind w:left="1440"/>
              <w:spacing w:after="0" w:line="113" w:lineRule="exact"/>
              <w:rPr>
                <w:sz w:val="20"/>
                <w:szCs w:val="20"/>
                <w:color w:val="auto"/>
              </w:rPr>
            </w:pPr>
            <w:r>
              <w:rPr>
                <w:rFonts w:ascii="Times New Roman" w:cs="Times New Roman" w:eastAsia="Times New Roman" w:hAnsi="Times New Roman"/>
                <w:sz w:val="10"/>
                <w:szCs w:val="10"/>
                <w:color w:val="auto"/>
                <w:w w:val="79"/>
              </w:rPr>
              <w:t>—</w:t>
            </w:r>
          </w:p>
        </w:tc>
      </w:tr>
    </w:tbl>
    <w:p>
      <w:pPr>
        <w:spacing w:after="0" w:line="61" w:lineRule="exact"/>
        <w:rPr>
          <w:sz w:val="20"/>
          <w:szCs w:val="20"/>
          <w:color w:val="auto"/>
        </w:rPr>
      </w:pPr>
    </w:p>
    <w:p>
      <w:pPr>
        <w:ind w:right="20" w:firstLine="480"/>
        <w:spacing w:after="0" w:line="221" w:lineRule="auto"/>
        <w:rPr>
          <w:sz w:val="20"/>
          <w:szCs w:val="20"/>
          <w:color w:val="auto"/>
        </w:rPr>
      </w:pPr>
      <w:r>
        <w:rPr>
          <w:rFonts w:ascii="Times New Roman" w:cs="Times New Roman" w:eastAsia="Times New Roman" w:hAnsi="Times New Roman"/>
          <w:sz w:val="10"/>
          <w:szCs w:val="10"/>
          <w:color w:val="auto"/>
        </w:rPr>
        <w:t>On February 2</w:t>
      </w:r>
      <w:r>
        <w:rPr>
          <w:rFonts w:ascii="Times New Roman" w:cs="Times New Roman" w:eastAsia="Times New Roman" w:hAnsi="Times New Roman"/>
          <w:sz w:val="13"/>
          <w:szCs w:val="13"/>
          <w:color w:val="auto"/>
          <w:vertAlign w:val="superscript"/>
        </w:rPr>
        <w:t>nd</w:t>
      </w:r>
      <w:r>
        <w:rPr>
          <w:rFonts w:ascii="Times New Roman" w:cs="Times New Roman" w:eastAsia="Times New Roman" w:hAnsi="Times New Roman"/>
          <w:sz w:val="10"/>
          <w:szCs w:val="10"/>
          <w:color w:val="auto"/>
        </w:rPr>
        <w:t>, 2024, the Company obtained an unsecured loan of $2,000,000 from YA II PN, LTD (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($ 2,500,000) funded upon execution of the Second A&amp;R YA Agreement, the second tranche in an original principal amount of Two Million Five Hundred Thousand Dollars ($ 2,500,000)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5.5.</w:t>
      </w:r>
      <w:r>
        <w:rPr>
          <w:rFonts w:ascii="Times New Roman" w:cs="Times New Roman" w:eastAsia="Times New Roman" w:hAnsi="Times New Roman"/>
          <w:sz w:val="10"/>
          <w:szCs w:val="10"/>
          <w:color w:val="auto"/>
        </w:rPr>
        <w:t>Promissory note:</w:t>
      </w:r>
    </w:p>
    <w:p>
      <w:pPr>
        <w:spacing w:after="0" w:line="68" w:lineRule="exact"/>
        <w:rPr>
          <w:sz w:val="20"/>
          <w:szCs w:val="20"/>
          <w:color w:val="auto"/>
        </w:rPr>
      </w:pPr>
    </w:p>
    <w:p>
      <w:pPr>
        <w:ind w:right="80" w:firstLine="480"/>
        <w:spacing w:after="0" w:line="221"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6.Other current and long-term liabilities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020" w:type="dxa"/>
            <w:vAlign w:val="bottom"/>
          </w:tcPr>
          <w:p>
            <w:pPr>
              <w:jc w:val="center"/>
              <w:ind w:left="4374"/>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40" w:type="dxa"/>
            <w:vAlign w:val="bottom"/>
          </w:tcPr>
          <w:p>
            <w:pPr>
              <w:spacing w:after="0"/>
              <w:rPr>
                <w:sz w:val="8"/>
                <w:szCs w:val="8"/>
                <w:color w:val="auto"/>
              </w:rPr>
            </w:pPr>
          </w:p>
        </w:tc>
        <w:tc>
          <w:tcPr>
            <w:tcW w:w="1580" w:type="dxa"/>
            <w:vAlign w:val="bottom"/>
          </w:tcPr>
          <w:p>
            <w:pPr>
              <w:jc w:val="right"/>
              <w:ind w:right="53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020" w:type="dxa"/>
            <w:vAlign w:val="bottom"/>
          </w:tcPr>
          <w:p>
            <w:pPr>
              <w:jc w:val="right"/>
              <w:ind w:right="234"/>
              <w:spacing w:after="0"/>
              <w:rPr>
                <w:sz w:val="20"/>
                <w:szCs w:val="20"/>
                <w:color w:val="auto"/>
              </w:rPr>
            </w:pPr>
            <w:r>
              <w:rPr>
                <w:rFonts w:ascii="Times New Roman" w:cs="Times New Roman" w:eastAsia="Times New Roman" w:hAnsi="Times New Roman"/>
                <w:sz w:val="8"/>
                <w:szCs w:val="8"/>
                <w:b w:val="1"/>
                <w:bCs w:val="1"/>
                <w:color w:val="auto"/>
              </w:rPr>
              <w:t>$</w:t>
            </w:r>
          </w:p>
        </w:tc>
        <w:tc>
          <w:tcPr>
            <w:tcW w:w="840" w:type="dxa"/>
            <w:vAlign w:val="bottom"/>
          </w:tcPr>
          <w:p>
            <w:pPr>
              <w:spacing w:after="0"/>
              <w:rPr>
                <w:sz w:val="9"/>
                <w:szCs w:val="9"/>
                <w:color w:val="auto"/>
              </w:rPr>
            </w:pPr>
          </w:p>
        </w:tc>
        <w:tc>
          <w:tcPr>
            <w:tcW w:w="1580" w:type="dxa"/>
            <w:vAlign w:val="bottom"/>
          </w:tcPr>
          <w:p>
            <w:pPr>
              <w:jc w:val="right"/>
              <w:ind w:right="835"/>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0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Other current liabilities</w:t>
            </w:r>
          </w:p>
        </w:tc>
        <w:tc>
          <w:tcPr>
            <w:tcW w:w="840" w:type="dxa"/>
            <w:vAlign w:val="bottom"/>
            <w:shd w:val="clear" w:color="auto" w:fill="CFF0FC"/>
          </w:tcPr>
          <w:p>
            <w:pPr>
              <w:spacing w:after="0"/>
              <w:rPr>
                <w:sz w:val="9"/>
                <w:szCs w:val="9"/>
                <w:color w:val="auto"/>
              </w:rPr>
            </w:pPr>
          </w:p>
        </w:tc>
        <w:tc>
          <w:tcPr>
            <w:tcW w:w="1580" w:type="dxa"/>
            <w:vAlign w:val="bottom"/>
            <w:shd w:val="clear" w:color="auto" w:fill="CFF0FC"/>
          </w:tcPr>
          <w:p>
            <w:pPr>
              <w:spacing w:after="0"/>
              <w:rPr>
                <w:sz w:val="9"/>
                <w:szCs w:val="9"/>
                <w:color w:val="auto"/>
              </w:rPr>
            </w:pPr>
          </w:p>
        </w:tc>
      </w:tr>
      <w:tr>
        <w:trPr>
          <w:trHeight w:val="113"/>
        </w:trPr>
        <w:tc>
          <w:tcPr>
            <w:tcW w:w="50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Ordinary shares payable (6.1)</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10,236,655</w:t>
            </w:r>
          </w:p>
        </w:tc>
        <w:tc>
          <w:tcPr>
            <w:tcW w:w="1580" w:type="dxa"/>
            <w:vAlign w:val="bottom"/>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8,223,928</w:t>
            </w:r>
          </w:p>
        </w:tc>
      </w:tr>
      <w:tr>
        <w:trPr>
          <w:trHeight w:val="113"/>
        </w:trPr>
        <w:tc>
          <w:tcPr>
            <w:tcW w:w="50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(6.2)</w:t>
            </w:r>
          </w:p>
        </w:tc>
        <w:tc>
          <w:tcPr>
            <w:tcW w:w="84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1,383,298</w:t>
            </w:r>
          </w:p>
        </w:tc>
        <w:tc>
          <w:tcPr>
            <w:tcW w:w="158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1,311,028</w:t>
            </w:r>
          </w:p>
        </w:tc>
      </w:tr>
    </w:tbl>
    <w:p>
      <w:pPr>
        <w:spacing w:after="0" w:line="13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b w:val="1"/>
          <w:bCs w:val="1"/>
          <w:color w:val="auto"/>
        </w:rPr>
        <w:t>6.1.</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5.3). The Company expects prior to the close of the business combination to complete a reorganization under the Demerger, such that the existing shares transferred from Rezolve Limited to Rezolve AI Limited would result in a transfer of shares of approximately 6.13 ordinary shares of Rezolve Limited for one share of Rezolve AI Limited. In connection with the funding received through advanced subscription agreements as of June 30, 2023, the number of ordinary shares to be issued as part of the Rights Issue post re-organization is fixed at 1,115,217 and will not fluctuate with the Company’s pre-close equity value of the Company or that of Armada Acquisition Corp I. The Company may received additional funding under advanced subscription agreements which would increase the number of Ordinary shares to issue post-reorganization.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auto"/>
        </w:rPr>
        <w:t>6.2.</w:t>
      </w:r>
      <w:r>
        <w:rPr>
          <w:rFonts w:ascii="Times New Roman" w:cs="Times New Roman" w:eastAsia="Times New Roman" w:hAnsi="Times New Roman"/>
          <w:sz w:val="9"/>
          <w:szCs w:val="9"/>
          <w:color w:val="auto"/>
        </w:rPr>
        <w:t>On October 7th, 2021, the Group acquired Jaymax International Service Inc. (“Jaymax”) (later renamed to “Rezolve Taiwan Limited”). As part of the acquisition of Jaymax, the Company agreed to issue $1,400,000 in Rezolve common stock to Jaymax’s former owner</w:t>
      </w:r>
    </w:p>
    <w:p>
      <w:pPr>
        <w:spacing w:after="0" w:line="2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0"/>
          <w:szCs w:val="10"/>
          <w:color w:val="auto"/>
        </w:rPr>
        <w:t>for completion of a 3-year noncompete period which began on the October 7</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2021. The share-based payment is to be settled by a fixed dollar amount of shares and therefore represents a liability in accordance with ASC 480. The liability was been measured at fair value using a discounted cash-flow model using the Company’s cost of capital of 10.8%.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7.Other Non-operating (income)/ expenses,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Six months ended</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Six months ended</w:t>
            </w:r>
          </w:p>
        </w:tc>
      </w:t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920" w:type="dxa"/>
            <w:vAlign w:val="bottom"/>
            <w:gridSpan w:val="2"/>
          </w:tcPr>
          <w:p>
            <w:pPr>
              <w:jc w:val="center"/>
              <w:ind w:left="2392"/>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60" w:type="dxa"/>
            <w:vAlign w:val="bottom"/>
          </w:tcPr>
          <w:p>
            <w:pPr>
              <w:spacing w:after="0"/>
              <w:rPr>
                <w:sz w:val="9"/>
                <w:szCs w:val="9"/>
                <w:color w:val="auto"/>
              </w:rPr>
            </w:pPr>
          </w:p>
        </w:tc>
        <w:tc>
          <w:tcPr>
            <w:tcW w:w="880" w:type="dxa"/>
            <w:vAlign w:val="bottom"/>
          </w:tcPr>
          <w:p>
            <w:pPr>
              <w:jc w:val="center"/>
              <w:ind w:left="3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1860" w:type="dxa"/>
            <w:vAlign w:val="bottom"/>
            <w:gridSpan w:val="3"/>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exchange (gain) loss</w:t>
            </w:r>
          </w:p>
        </w:tc>
        <w:tc>
          <w:tcPr>
            <w:tcW w:w="39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108,224</w:t>
            </w:r>
          </w:p>
        </w:tc>
        <w:tc>
          <w:tcPr>
            <w:tcW w:w="260" w:type="dxa"/>
            <w:vAlign w:val="bottom"/>
            <w:shd w:val="clear" w:color="auto" w:fill="CFF0FC"/>
          </w:tcPr>
          <w:p>
            <w:pPr>
              <w:spacing w:after="0"/>
              <w:rPr>
                <w:sz w:val="9"/>
                <w:szCs w:val="9"/>
                <w:color w:val="auto"/>
              </w:rPr>
            </w:pPr>
          </w:p>
        </w:tc>
        <w:tc>
          <w:tcPr>
            <w:tcW w:w="140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327,383</w:t>
            </w:r>
          </w:p>
        </w:tc>
      </w:tr>
      <w:tr>
        <w:trPr>
          <w:trHeight w:val="113"/>
        </w:trPr>
        <w:tc>
          <w:tcPr>
            <w:tcW w:w="1580" w:type="dxa"/>
            <w:vAlign w:val="bottom"/>
          </w:tcPr>
          <w:p>
            <w:pPr>
              <w:spacing w:after="0"/>
              <w:rPr>
                <w:sz w:val="9"/>
                <w:szCs w:val="9"/>
                <w:color w:val="auto"/>
              </w:rPr>
            </w:pPr>
          </w:p>
        </w:tc>
        <w:tc>
          <w:tcPr>
            <w:tcW w:w="18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color w:val="auto"/>
              </w:rPr>
              <w:t>R&amp;D credits</w:t>
            </w:r>
          </w:p>
        </w:tc>
        <w:tc>
          <w:tcPr>
            <w:tcW w:w="2420" w:type="dxa"/>
            <w:vAlign w:val="bottom"/>
          </w:tcPr>
          <w:p>
            <w:pPr>
              <w:spacing w:after="0"/>
              <w:rPr>
                <w:sz w:val="9"/>
                <w:szCs w:val="9"/>
                <w:color w:val="auto"/>
              </w:rPr>
            </w:pPr>
          </w:p>
        </w:tc>
        <w:tc>
          <w:tcPr>
            <w:tcW w:w="1760" w:type="dxa"/>
            <w:vAlign w:val="bottom"/>
            <w:gridSpan w:val="2"/>
          </w:tcPr>
          <w:p>
            <w:pPr>
              <w:jc w:val="right"/>
              <w:ind w:right="2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(496,448 )</w:t>
            </w:r>
          </w:p>
        </w:tc>
      </w:tr>
      <w:tr>
        <w:trPr>
          <w:trHeight w:val="113"/>
        </w:trPr>
        <w:tc>
          <w:tcPr>
            <w:tcW w:w="1580" w:type="dxa"/>
            <w:vAlign w:val="bottom"/>
          </w:tcPr>
          <w:p>
            <w:pPr>
              <w:spacing w:after="0"/>
              <w:rPr>
                <w:sz w:val="9"/>
                <w:szCs w:val="9"/>
                <w:color w:val="auto"/>
              </w:rPr>
            </w:pPr>
          </w:p>
        </w:tc>
        <w:tc>
          <w:tcPr>
            <w:tcW w:w="1860" w:type="dxa"/>
            <w:vAlign w:val="bottom"/>
            <w:gridSpan w:val="3"/>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net</w:t>
            </w:r>
          </w:p>
        </w:tc>
        <w:tc>
          <w:tcPr>
            <w:tcW w:w="4180" w:type="dxa"/>
            <w:vAlign w:val="bottom"/>
            <w:gridSpan w:val="3"/>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(408 )</w:t>
            </w:r>
          </w:p>
        </w:tc>
        <w:tc>
          <w:tcPr>
            <w:tcW w:w="140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color w:val="auto"/>
              </w:rPr>
              <w:t>(2,686)</w:t>
            </w:r>
          </w:p>
        </w:tc>
      </w:tr>
      <w:tr>
        <w:trPr>
          <w:trHeight w:val="113"/>
        </w:trPr>
        <w:tc>
          <w:tcPr>
            <w:tcW w:w="1580" w:type="dxa"/>
            <w:vAlign w:val="bottom"/>
          </w:tcPr>
          <w:p>
            <w:pPr>
              <w:spacing w:after="0"/>
              <w:rPr>
                <w:sz w:val="9"/>
                <w:szCs w:val="9"/>
                <w:color w:val="auto"/>
              </w:rPr>
            </w:pPr>
          </w:p>
        </w:tc>
        <w:tc>
          <w:tcPr>
            <w:tcW w:w="186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39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107,816</w:t>
            </w:r>
          </w:p>
        </w:tc>
        <w:tc>
          <w:tcPr>
            <w:tcW w:w="260" w:type="dxa"/>
            <w:vAlign w:val="bottom"/>
          </w:tcPr>
          <w:p>
            <w:pPr>
              <w:spacing w:after="0"/>
              <w:rPr>
                <w:sz w:val="9"/>
                <w:szCs w:val="9"/>
                <w:color w:val="auto"/>
              </w:rPr>
            </w:pPr>
          </w:p>
        </w:tc>
        <w:tc>
          <w:tcPr>
            <w:tcW w:w="140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b w:val="1"/>
                <w:bCs w:val="1"/>
                <w:color w:val="auto"/>
              </w:rPr>
              <w:t>(171,751 )</w:t>
            </w:r>
          </w:p>
        </w:tc>
      </w:tr>
      <w:tr>
        <w:trPr>
          <w:trHeight w:val="316"/>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8.Related party disclosures</w:t>
            </w:r>
          </w:p>
        </w:tc>
        <w:tc>
          <w:tcPr>
            <w:tcW w:w="24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152"/>
        </w:trPr>
        <w:tc>
          <w:tcPr>
            <w:tcW w:w="3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15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Director and chief executive officer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executive officer, products, technology and digital services</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technical officer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commercial officer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Chief executive officer, Rezolve China</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deputy chairman</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4180" w:type="dxa"/>
            <w:vAlign w:val="bottom"/>
            <w:gridSpan w:val="3"/>
          </w:tcPr>
          <w:p>
            <w:pPr>
              <w:ind w:left="28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Susan Wagner</w:t>
            </w:r>
          </w:p>
        </w:tc>
        <w:tc>
          <w:tcPr>
            <w:tcW w:w="4180" w:type="dxa"/>
            <w:vAlign w:val="bottom"/>
            <w:gridSpan w:val="3"/>
            <w:shd w:val="clear" w:color="auto" w:fill="CFF0FC"/>
          </w:tcPr>
          <w:p>
            <w:pPr>
              <w:ind w:left="280"/>
              <w:spacing w:after="0" w:line="113" w:lineRule="exact"/>
              <w:rPr>
                <w:sz w:val="20"/>
                <w:szCs w:val="20"/>
                <w:color w:val="auto"/>
              </w:rPr>
            </w:pPr>
            <w:r>
              <w:rPr>
                <w:rFonts w:ascii="Times New Roman" w:cs="Times New Roman" w:eastAsia="Times New Roman" w:hAnsi="Times New Roman"/>
                <w:sz w:val="10"/>
                <w:szCs w:val="10"/>
                <w:color w:val="auto"/>
              </w:rPr>
              <w:t>Member</w:t>
            </w: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 – Basis of presentation).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Transactions with and outstanding balances with related parties were as follows: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period</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800" w:type="dxa"/>
            <w:vAlign w:val="bottom"/>
          </w:tcPr>
          <w:p>
            <w:pPr>
              <w:spacing w:after="0"/>
              <w:rPr>
                <w:sz w:val="9"/>
                <w:szCs w:val="9"/>
                <w:color w:val="auto"/>
              </w:rPr>
            </w:pPr>
          </w:p>
        </w:tc>
        <w:tc>
          <w:tcPr>
            <w:tcW w:w="1440" w:type="dxa"/>
            <w:vAlign w:val="bottom"/>
          </w:tcPr>
          <w:p>
            <w:pPr>
              <w:jc w:val="right"/>
              <w:ind w:right="572"/>
              <w:spacing w:after="0"/>
              <w:rPr>
                <w:sz w:val="20"/>
                <w:szCs w:val="20"/>
                <w:color w:val="auto"/>
              </w:rPr>
            </w:pPr>
            <w:r>
              <w:rPr>
                <w:rFonts w:ascii="Times New Roman" w:cs="Times New Roman" w:eastAsia="Times New Roman" w:hAnsi="Times New Roman"/>
                <w:sz w:val="8"/>
                <w:szCs w:val="8"/>
                <w:b w:val="1"/>
                <w:bCs w:val="1"/>
                <w:color w:val="auto"/>
              </w:rPr>
              <w:t>June 30, 2023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 (number of Ordinary shares issued in 2023 - 163,265)</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repaid</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250,000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taken</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4,000,000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Limited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93,750</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Adam Wagner</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31,250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19,844</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63,500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27,413</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79,250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Reimbursement of expenses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79,180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151,799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147,702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113,849</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110,776</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139,149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135,393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195,075</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115,682</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Ltd</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1,250,000</w:t>
            </w:r>
          </w:p>
        </w:tc>
        <w:tc>
          <w:tcPr>
            <w:tcW w:w="144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673,282</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673,282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345,896</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345,896</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100,000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Consulting fees</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150,000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189,749</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184,627</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150,000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Director remuneration</w:t>
            </w:r>
          </w:p>
        </w:tc>
        <w:tc>
          <w:tcPr>
            <w:tcW w:w="80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184,627</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200,129</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80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80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46,157</w:t>
            </w:r>
          </w:p>
        </w:tc>
        <w:tc>
          <w:tcPr>
            <w:tcW w:w="144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49,212</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800" w:type="dxa"/>
            <w:vAlign w:val="bottom"/>
            <w:shd w:val="clear" w:color="auto" w:fill="CFF0FC"/>
          </w:tcPr>
          <w:p>
            <w:pPr>
              <w:spacing w:after="0"/>
              <w:rPr>
                <w:sz w:val="9"/>
                <w:szCs w:val="9"/>
                <w:color w:val="auto"/>
              </w:rPr>
            </w:pPr>
          </w:p>
        </w:tc>
        <w:tc>
          <w:tcPr>
            <w:tcW w:w="1440" w:type="dxa"/>
            <w:vAlign w:val="bottom"/>
            <w:shd w:val="clear" w:color="auto" w:fill="CFF0FC"/>
          </w:tcPr>
          <w:p>
            <w:pPr>
              <w:spacing w:after="0"/>
              <w:rPr>
                <w:sz w:val="9"/>
                <w:szCs w:val="9"/>
                <w:color w:val="auto"/>
              </w:rPr>
            </w:pP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Rezolve China (2)</w:t>
            </w: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144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570,917</w:t>
            </w: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(1)DBLP Sea Cow Ltd. (a company incorporated in the Seychelles) (“DBLP Sea Cow”) is wholly legally owned by Dan Wagner, Chief Executive Officer of Rezolve.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(2)The Company has expensed all cash transferred to its subsidiary Rezolve China. Please refer to the basis of presentation discussed in note 2.1.</w:t>
      </w:r>
    </w:p>
    <w:p>
      <w:pPr>
        <w:spacing w:after="0" w:line="1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20"/>
          </w:cols>
          <w:pgMar w:left="640" w:top="921"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5200" w:type="dxa"/>
            <w:vAlign w:val="bottom"/>
          </w:tcPr>
          <w:p>
            <w:pPr>
              <w:ind w:left="4660"/>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760" w:type="dxa"/>
            <w:vAlign w:val="bottom"/>
          </w:tcPr>
          <w:p>
            <w:pPr>
              <w:spacing w:after="0"/>
              <w:rPr>
                <w:sz w:val="8"/>
                <w:szCs w:val="8"/>
                <w:color w:val="auto"/>
              </w:rPr>
            </w:pPr>
          </w:p>
        </w:tc>
        <w:tc>
          <w:tcPr>
            <w:tcW w:w="1480" w:type="dxa"/>
            <w:vAlign w:val="bottom"/>
          </w:tcPr>
          <w:p>
            <w:pPr>
              <w:jc w:val="right"/>
              <w:ind w:right="472"/>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5200" w:type="dxa"/>
            <w:vAlign w:val="bottom"/>
          </w:tcPr>
          <w:p>
            <w:pPr>
              <w:ind w:left="4880"/>
              <w:spacing w:after="0"/>
              <w:rPr>
                <w:sz w:val="20"/>
                <w:szCs w:val="20"/>
                <w:color w:val="auto"/>
              </w:rPr>
            </w:pPr>
            <w:r>
              <w:rPr>
                <w:rFonts w:ascii="Times New Roman" w:cs="Times New Roman" w:eastAsia="Times New Roman" w:hAnsi="Times New Roman"/>
                <w:sz w:val="8"/>
                <w:szCs w:val="8"/>
                <w:b w:val="1"/>
                <w:bCs w:val="1"/>
                <w:color w:val="auto"/>
              </w:rPr>
              <w:t>$</w:t>
            </w:r>
          </w:p>
        </w:tc>
        <w:tc>
          <w:tcPr>
            <w:tcW w:w="760" w:type="dxa"/>
            <w:vAlign w:val="bottom"/>
          </w:tcPr>
          <w:p>
            <w:pPr>
              <w:spacing w:after="0"/>
              <w:rPr>
                <w:sz w:val="9"/>
                <w:szCs w:val="9"/>
                <w:color w:val="auto"/>
              </w:rPr>
            </w:pPr>
          </w:p>
        </w:tc>
        <w:tc>
          <w:tcPr>
            <w:tcW w:w="1480" w:type="dxa"/>
            <w:vAlign w:val="bottom"/>
          </w:tcPr>
          <w:p>
            <w:pPr>
              <w:jc w:val="right"/>
              <w:ind w:right="792"/>
              <w:spacing w:after="0"/>
              <w:rPr>
                <w:sz w:val="20"/>
                <w:szCs w:val="20"/>
                <w:color w:val="auto"/>
              </w:rPr>
            </w:pPr>
            <w:r>
              <w:rPr>
                <w:rFonts w:ascii="Times New Roman" w:cs="Times New Roman" w:eastAsia="Times New Roman" w:hAnsi="Times New Roman"/>
                <w:sz w:val="8"/>
                <w:szCs w:val="8"/>
                <w:b w:val="1"/>
                <w:bCs w:val="1"/>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Unsecured Loans payable</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447,067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447,067</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Trade and other payables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450,000</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350,000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334,725</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147,485</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151,105</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61,495</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30,407</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31,248</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58,320</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126,223</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127,325</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1,133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111,845</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111,845</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7,999</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7,999</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76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 (note 5.2)</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136,943</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125,000</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 (note 5.3)</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6,028,177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5,587,343</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promissory notes</w:t>
            </w:r>
          </w:p>
        </w:tc>
        <w:tc>
          <w:tcPr>
            <w:tcW w:w="76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Limited</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1,260,417</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94,531</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Adam Wagner</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31,510</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John Wagner</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20,009</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Stephen Perry</w:t>
            </w:r>
          </w:p>
        </w:tc>
        <w:tc>
          <w:tcPr>
            <w:tcW w:w="76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64,029</w:t>
            </w:r>
          </w:p>
        </w:tc>
        <w:tc>
          <w:tcPr>
            <w:tcW w:w="14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2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76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rPr>
              <w:t>27,641</w:t>
            </w:r>
          </w:p>
        </w:tc>
        <w:tc>
          <w:tcPr>
            <w:tcW w:w="1480" w:type="dxa"/>
            <w:vAlign w:val="bottom"/>
            <w:shd w:val="clear" w:color="auto" w:fill="CFF0FC"/>
          </w:tcPr>
          <w:p>
            <w:pPr>
              <w:jc w:val="right"/>
              <w:ind w:right="9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5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Anthony Sharp</w:t>
            </w: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0"/>
                <w:szCs w:val="10"/>
                <w:color w:val="auto"/>
              </w:rPr>
              <w:t>79,910</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9.Income taxes</w:t>
      </w:r>
    </w:p>
    <w:p>
      <w:pPr>
        <w:spacing w:after="0" w:line="6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Provision for income taxes in the six months ended June 30, 2024 and 2023 was not material. The effective tax rate was 0.5% and 0.4% for the six months ended June 30, 2024 and 2023, respectively. The effective tax rates differ significantly from the statutory tax rate of 25%, primarily due to the Company’s valuation allowance movement in each period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the condensed interim carve-out financial statements as of June 30, 2024, we have evaluated the following subsequent events through October 1, 2024 which is the date such financial statements are available to be issued:</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Close of business combination with Armada Acquisition Corp I. (“Armada”)</w:t>
      </w:r>
    </w:p>
    <w:p>
      <w:pPr>
        <w:spacing w:after="0" w:line="120" w:lineRule="exact"/>
        <w:rPr>
          <w:sz w:val="20"/>
          <w:szCs w:val="20"/>
          <w:color w:val="auto"/>
        </w:rPr>
      </w:pPr>
    </w:p>
    <w:p>
      <w:pPr>
        <w:jc w:val="both"/>
        <w:ind w:right="12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1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Amendment and restatement to the Yorkville Note</w:t>
      </w:r>
    </w:p>
    <w:p>
      <w:pPr>
        <w:spacing w:after="0" w:line="12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Condensed Interim Carve-out Consolidated Financial Statements</w:t>
      </w:r>
    </w:p>
    <w:p>
      <w:pPr>
        <w:spacing w:after="0"/>
        <w:rPr>
          <w:sz w:val="20"/>
          <w:szCs w:val="20"/>
          <w:color w:val="auto"/>
        </w:rPr>
      </w:pPr>
      <w:r>
        <w:rPr>
          <w:rFonts w:ascii="Times New Roman" w:cs="Times New Roman" w:eastAsia="Times New Roman" w:hAnsi="Times New Roman"/>
          <w:sz w:val="10"/>
          <w:szCs w:val="10"/>
          <w:b w:val="1"/>
          <w:bCs w:val="1"/>
          <w:color w:val="auto"/>
        </w:rPr>
        <w:t>June 30, 2024 (unaudited)</w:t>
      </w:r>
    </w:p>
    <w:p>
      <w:pPr>
        <w:spacing w:after="0" w:line="2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0"/>
          <w:szCs w:val="10"/>
          <w:color w:val="auto"/>
        </w:rPr>
        <w:t>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0"/>
          <w:szCs w:val="10"/>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380"/>
          </w:cols>
          <w:pgMar w:left="640" w:top="921" w:right="880"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Board of Directors and Stockholders of Rezolve AI Limited and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0"/>
          <w:szCs w:val="10"/>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Restatement of the 2023 and 2022 Financial Statements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As discussed in Note 2, the accompanying 2023 and 2022 carve-out consolidated financial statements have been restated.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Substantial Doubt about the Company’s Ability to Continue as a Going Concern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have been prepared assuming that the Company will continue as a going concern. As discussed in Note 2 to the carve- 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0"/>
          <w:szCs w:val="10"/>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and significant estimates made by management, as well as evaluating the overall presentation of the carve-out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Grassi &amp; Co., CPAs, P.C.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Jericho, New York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May 20, 2024, except for Notes 2.20, 13 and 14, as to which the date is June 11, 2024, expect Note 17 as to which the date is October 28, 2024.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7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9"/>
                <w:szCs w:val="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10,441</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12,534</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8,855</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299,013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440,846</w:t>
            </w:r>
          </w:p>
        </w:tc>
        <w:tc>
          <w:tcPr>
            <w:tcW w:w="100" w:type="dxa"/>
            <w:vAlign w:val="bottom"/>
            <w:shd w:val="clear" w:color="auto" w:fill="CFF0FC"/>
          </w:tcPr>
          <w:p>
            <w:pPr>
              <w:spacing w:after="0"/>
              <w:rPr>
                <w:sz w:val="9"/>
                <w:szCs w:val="9"/>
                <w:color w:val="auto"/>
              </w:rPr>
            </w:pPr>
          </w:p>
        </w:tc>
      </w:tr>
      <w:tr>
        <w:trPr>
          <w:trHeight w:val="106"/>
        </w:trPr>
        <w:tc>
          <w:tcPr>
            <w:tcW w:w="728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Loans receivable (net of credit loss provision of $785,000 and nil as at</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spacing w:after="0"/>
              <w:rPr>
                <w:sz w:val="10"/>
                <w:szCs w:val="1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598,414</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321,988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1,087,495</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79,593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110,998</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2,134,903</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450,446</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2,214,496</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561,444</w:t>
            </w:r>
          </w:p>
        </w:tc>
        <w:tc>
          <w:tcPr>
            <w:tcW w:w="100" w:type="dxa"/>
            <w:vAlign w:val="bottom"/>
            <w:shd w:val="clear" w:color="auto" w:fill="CFF0FC"/>
          </w:tcPr>
          <w:p>
            <w:pPr>
              <w:spacing w:after="0"/>
              <w:rPr>
                <w:sz w:val="9"/>
                <w:szCs w:val="9"/>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2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4,569,703</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3,728,974</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Due to related party (refer to note 14)</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777,576</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621,791</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4,492,790</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2,640,384</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Ordinary shares payable</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 (refer to note 14)</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 (refer to note 2.20 and note 14)</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 (current)</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7,688,216</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 (long-term)</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100" w:type="dxa"/>
            <w:vAlign w:val="bottom"/>
            <w:shd w:val="clear" w:color="auto" w:fill="CFF0FC"/>
          </w:tcPr>
          <w:p>
            <w:pPr>
              <w:spacing w:after="0"/>
              <w:rPr>
                <w:sz w:val="9"/>
                <w:szCs w:val="9"/>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 (long-term)</w:t>
            </w:r>
          </w:p>
        </w:tc>
        <w:tc>
          <w:tcPr>
            <w:tcW w:w="240" w:type="dxa"/>
            <w:vAlign w:val="bottom"/>
          </w:tcPr>
          <w:p>
            <w:pPr>
              <w:spacing w:after="0"/>
              <w:rPr>
                <w:sz w:val="9"/>
                <w:szCs w:val="9"/>
                <w:color w:val="auto"/>
              </w:rPr>
            </w:pPr>
          </w:p>
        </w:tc>
        <w:tc>
          <w:tcPr>
            <w:tcW w:w="1540" w:type="dxa"/>
            <w:vAlign w:val="bottom"/>
            <w:gridSpan w:val="2"/>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26,480,326</w:t>
            </w:r>
          </w:p>
        </w:tc>
        <w:tc>
          <w:tcPr>
            <w:tcW w:w="100" w:type="dxa"/>
            <w:vAlign w:val="bottom"/>
            <w:shd w:val="clear" w:color="auto" w:fill="CFF0FC"/>
          </w:tcPr>
          <w:p>
            <w:pPr>
              <w:spacing w:after="0"/>
              <w:rPr>
                <w:sz w:val="9"/>
                <w:szCs w:val="9"/>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56,821,368</w:t>
            </w:r>
          </w:p>
        </w:tc>
        <w:tc>
          <w:tcPr>
            <w:tcW w:w="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34,168,542</w:t>
            </w:r>
          </w:p>
        </w:tc>
        <w:tc>
          <w:tcPr>
            <w:tcW w:w="100" w:type="dxa"/>
            <w:vAlign w:val="bottom"/>
          </w:tcPr>
          <w:p>
            <w:pPr>
              <w:spacing w:after="0"/>
              <w:rPr>
                <w:sz w:val="10"/>
                <w:szCs w:val="10"/>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Shareholders’ deficit</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06"/>
        </w:trPr>
        <w:tc>
          <w:tcPr>
            <w:tcW w:w="7280" w:type="dxa"/>
            <w:vAlign w:val="bottom"/>
          </w:tcPr>
          <w:p>
            <w:pPr>
              <w:ind w:left="100"/>
              <w:spacing w:after="0" w:line="106" w:lineRule="exact"/>
              <w:rPr>
                <w:sz w:val="20"/>
                <w:szCs w:val="20"/>
                <w:color w:val="auto"/>
              </w:rPr>
            </w:pPr>
            <w:r>
              <w:rPr>
                <w:rFonts w:ascii="Times New Roman" w:cs="Times New Roman" w:eastAsia="Times New Roman" w:hAnsi="Times New Roman"/>
                <w:sz w:val="10"/>
                <w:szCs w:val="10"/>
                <w:color w:val="auto"/>
              </w:rPr>
              <w:t>Ordinary shares, £0.0001 nominal value 932,969,424 shares issued and outstanding</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as of December 31, 2023 927,806,159 shares issued and outstanding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7280" w:type="dxa"/>
            <w:vAlign w:val="bottom"/>
          </w:tcPr>
          <w:p>
            <w:pPr>
              <w:ind w:left="160"/>
              <w:spacing w:after="0" w:line="113" w:lineRule="exact"/>
              <w:rPr>
                <w:sz w:val="20"/>
                <w:szCs w:val="20"/>
                <w:color w:val="auto"/>
              </w:rPr>
            </w:pPr>
            <w:r>
              <w:rPr>
                <w:rFonts w:ascii="Times New Roman" w:cs="Times New Roman" w:eastAsia="Times New Roman" w:hAnsi="Times New Roman"/>
                <w:sz w:val="10"/>
                <w:szCs w:val="10"/>
                <w:color w:val="auto"/>
              </w:rPr>
              <w:t>December 31, 2022 991,285,244 and 986,121,959 shares authorized as of</w:t>
            </w: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728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2023 and 2022</w:t>
            </w:r>
          </w:p>
        </w:tc>
        <w:tc>
          <w:tcPr>
            <w:tcW w:w="2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127,310</w:t>
            </w:r>
          </w:p>
        </w:tc>
        <w:tc>
          <w:tcPr>
            <w:tcW w:w="280" w:type="dxa"/>
            <w:vAlign w:val="bottom"/>
          </w:tcPr>
          <w:p>
            <w:pPr>
              <w:spacing w:after="0"/>
              <w:rPr>
                <w:sz w:val="10"/>
                <w:szCs w:val="10"/>
                <w:color w:val="auto"/>
              </w:rPr>
            </w:pP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126,677</w:t>
            </w:r>
          </w:p>
        </w:tc>
        <w:tc>
          <w:tcPr>
            <w:tcW w:w="100" w:type="dxa"/>
            <w:vAlign w:val="bottom"/>
          </w:tcPr>
          <w:p>
            <w:pPr>
              <w:spacing w:after="0"/>
              <w:rPr>
                <w:sz w:val="10"/>
                <w:szCs w:val="10"/>
                <w:color w:val="auto"/>
              </w:rPr>
            </w:pPr>
          </w:p>
        </w:tc>
      </w:tr>
      <w:tr>
        <w:trPr>
          <w:trHeight w:val="106"/>
        </w:trPr>
        <w:tc>
          <w:tcPr>
            <w:tcW w:w="7280" w:type="dxa"/>
            <w:vAlign w:val="bottom"/>
            <w:shd w:val="clear" w:color="auto" w:fill="CFF0FC"/>
          </w:tcPr>
          <w:p>
            <w:pPr>
              <w:ind w:left="100"/>
              <w:spacing w:after="0" w:line="106" w:lineRule="exact"/>
              <w:rPr>
                <w:sz w:val="20"/>
                <w:szCs w:val="20"/>
                <w:color w:val="auto"/>
              </w:rPr>
            </w:pPr>
            <w:r>
              <w:rPr>
                <w:rFonts w:ascii="Times New Roman" w:cs="Times New Roman" w:eastAsia="Times New Roman" w:hAnsi="Times New Roman"/>
                <w:sz w:val="10"/>
                <w:szCs w:val="10"/>
                <w:color w:val="auto"/>
              </w:rPr>
              <w:t>Series A shares, £0.0001 nominal value 28,039,517 shares issued, authorized and</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7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outstanding as of December 31, 2023 and 2022</w:t>
            </w: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3,868</w:t>
            </w:r>
          </w:p>
        </w:tc>
        <w:tc>
          <w:tcPr>
            <w:tcW w:w="100" w:type="dxa"/>
            <w:vAlign w:val="bottom"/>
            <w:shd w:val="clear" w:color="auto" w:fill="CFF0FC"/>
          </w:tcPr>
          <w:p>
            <w:pPr>
              <w:spacing w:after="0"/>
              <w:rPr>
                <w:sz w:val="10"/>
                <w:szCs w:val="10"/>
                <w:color w:val="auto"/>
              </w:rPr>
            </w:pP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240" w:type="dxa"/>
            <w:vAlign w:val="bottom"/>
          </w:tcPr>
          <w:p>
            <w:pPr>
              <w:spacing w:after="0"/>
              <w:rPr>
                <w:sz w:val="9"/>
                <w:szCs w:val="9"/>
                <w:color w:val="auto"/>
              </w:rPr>
            </w:pPr>
          </w:p>
        </w:tc>
        <w:tc>
          <w:tcPr>
            <w:tcW w:w="12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172,204,832</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163,165,083</w:t>
            </w:r>
          </w:p>
        </w:tc>
        <w:tc>
          <w:tcPr>
            <w:tcW w:w="100" w:type="dxa"/>
            <w:vAlign w:val="bottom"/>
          </w:tcPr>
          <w:p>
            <w:pPr>
              <w:spacing w:after="0"/>
              <w:rPr>
                <w:sz w:val="9"/>
                <w:szCs w:val="9"/>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 subscription receivable (1)</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(178,720 )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(178,720 )</w:t>
            </w:r>
          </w:p>
        </w:tc>
      </w:tr>
      <w:tr>
        <w:trPr>
          <w:trHeight w:val="113"/>
        </w:trPr>
        <w:tc>
          <w:tcPr>
            <w:tcW w:w="728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240" w:type="dxa"/>
            <w:vAlign w:val="bottom"/>
          </w:tcPr>
          <w:p>
            <w:pPr>
              <w:spacing w:after="0"/>
              <w:rPr>
                <w:sz w:val="9"/>
                <w:szCs w:val="9"/>
                <w:color w:val="auto"/>
              </w:rPr>
            </w:pPr>
          </w:p>
        </w:tc>
        <w:tc>
          <w:tcPr>
            <w:tcW w:w="15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(226,291,430 )</w:t>
            </w:r>
          </w:p>
        </w:tc>
        <w:tc>
          <w:tcPr>
            <w:tcW w:w="22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(195,555,332 )</w:t>
            </w: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(150,744 )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(81,179 )</w:t>
            </w: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40" w:type="dxa"/>
            <w:vAlign w:val="bottom"/>
          </w:tcPr>
          <w:p>
            <w:pPr>
              <w:spacing w:after="0"/>
              <w:rPr>
                <w:sz w:val="9"/>
                <w:szCs w:val="9"/>
                <w:color w:val="auto"/>
              </w:rPr>
            </w:pPr>
          </w:p>
        </w:tc>
        <w:tc>
          <w:tcPr>
            <w:tcW w:w="15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(54,284,884 )</w:t>
            </w:r>
          </w:p>
        </w:tc>
        <w:tc>
          <w:tcPr>
            <w:tcW w:w="220" w:type="dxa"/>
            <w:vAlign w:val="bottom"/>
          </w:tcPr>
          <w:p>
            <w:pPr>
              <w:spacing w:after="0"/>
              <w:rPr>
                <w:sz w:val="9"/>
                <w:szCs w:val="9"/>
                <w:color w:val="auto"/>
              </w:rPr>
            </w:pPr>
          </w:p>
        </w:tc>
        <w:tc>
          <w:tcPr>
            <w:tcW w:w="13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(32,519,603 )</w:t>
            </w: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40" w:type="dxa"/>
            <w:vAlign w:val="bottom"/>
            <w:tcBorders>
              <w:bottom w:val="single" w:sz="8" w:color="auto"/>
            </w:tcBorders>
            <w:shd w:val="clear" w:color="auto" w:fill="CFF0FC"/>
          </w:tcPr>
          <w:p>
            <w:pPr>
              <w:spacing w:after="0"/>
              <w:rPr>
                <w:sz w:val="10"/>
                <w:szCs w:val="10"/>
                <w:color w:val="auto"/>
              </w:rPr>
            </w:pPr>
          </w:p>
        </w:tc>
        <w:tc>
          <w:tcPr>
            <w:tcW w:w="12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2,536,484</w:t>
            </w:r>
          </w:p>
        </w:tc>
        <w:tc>
          <w:tcPr>
            <w:tcW w:w="28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(1)Includes related party balances of $(119,844) as at December 31, 2023 and 2022, refer to note 14.</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340" w:type="dxa"/>
            <w:vAlign w:val="bottom"/>
          </w:tcPr>
          <w:p>
            <w:pPr>
              <w:spacing w:after="0"/>
              <w:rPr>
                <w:sz w:val="8"/>
                <w:szCs w:val="8"/>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2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340" w:type="dxa"/>
            <w:vAlign w:val="bottom"/>
          </w:tcPr>
          <w:p>
            <w:pPr>
              <w:spacing w:after="0"/>
              <w:rPr>
                <w:sz w:val="8"/>
                <w:szCs w:val="8"/>
                <w:color w:val="auto"/>
              </w:rPr>
            </w:pPr>
          </w:p>
        </w:tc>
        <w:tc>
          <w:tcPr>
            <w:tcW w:w="1340" w:type="dxa"/>
            <w:vAlign w:val="bottom"/>
          </w:tcPr>
          <w:p>
            <w:pPr>
              <w:jc w:val="center"/>
              <w:ind w:right="27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52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420" w:type="dxa"/>
            <w:vAlign w:val="bottom"/>
          </w:tcPr>
          <w:p>
            <w:pPr>
              <w:jc w:val="center"/>
              <w:ind w:right="352"/>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340" w:type="dxa"/>
            <w:vAlign w:val="bottom"/>
          </w:tcPr>
          <w:p>
            <w:pPr>
              <w:spacing w:after="0"/>
              <w:rPr>
                <w:sz w:val="9"/>
                <w:szCs w:val="9"/>
                <w:color w:val="auto"/>
              </w:rPr>
            </w:pPr>
          </w:p>
        </w:tc>
        <w:tc>
          <w:tcPr>
            <w:tcW w:w="1340" w:type="dxa"/>
            <w:vAlign w:val="bottom"/>
          </w:tcPr>
          <w:p>
            <w:pPr>
              <w:jc w:val="center"/>
              <w:ind w:right="29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32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145,051</w:t>
            </w:r>
          </w:p>
        </w:tc>
        <w:tc>
          <w:tcPr>
            <w:tcW w:w="3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115,159</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 (refer to note 2.11)</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34,791</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745,040</w:t>
            </w:r>
          </w:p>
        </w:tc>
      </w:tr>
      <w:tr>
        <w:trPr>
          <w:trHeight w:val="104"/>
        </w:trPr>
        <w:tc>
          <w:tcPr>
            <w:tcW w:w="5200" w:type="dxa"/>
            <w:vAlign w:val="bottom"/>
          </w:tcPr>
          <w:p>
            <w:pPr>
              <w:ind w:left="100"/>
              <w:spacing w:after="0" w:line="104" w:lineRule="exact"/>
              <w:rPr>
                <w:sz w:val="20"/>
                <w:szCs w:val="20"/>
                <w:color w:val="auto"/>
              </w:rPr>
            </w:pPr>
            <w:r>
              <w:rPr>
                <w:rFonts w:ascii="Times New Roman" w:cs="Times New Roman" w:eastAsia="Times New Roman" w:hAnsi="Times New Roman"/>
                <w:sz w:val="10"/>
                <w:szCs w:val="10"/>
                <w:color w:val="auto"/>
              </w:rPr>
              <w:t xml:space="preserve">Sales and marketing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21"/>
        </w:trPr>
        <w:tc>
          <w:tcPr>
            <w:tcW w:w="5200" w:type="dxa"/>
            <w:vAlign w:val="bottom"/>
          </w:tcPr>
          <w:p>
            <w:pPr>
              <w:ind w:left="180"/>
              <w:spacing w:after="0"/>
              <w:rPr>
                <w:sz w:val="20"/>
                <w:szCs w:val="20"/>
                <w:color w:val="auto"/>
              </w:rPr>
            </w:pPr>
            <w:r>
              <w:rPr>
                <w:rFonts w:ascii="Times New Roman" w:cs="Times New Roman" w:eastAsia="Times New Roman" w:hAnsi="Times New Roman"/>
                <w:sz w:val="10"/>
                <w:szCs w:val="10"/>
                <w:i w:val="1"/>
                <w:iCs w:val="1"/>
                <w:color w:val="auto"/>
              </w:rPr>
              <w:t>2,072,224 and 869,777 refer to Note 14)</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6,731,254</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4,338,557</w:t>
            </w:r>
          </w:p>
        </w:tc>
      </w:tr>
      <w:tr>
        <w:trPr>
          <w:trHeight w:val="104"/>
        </w:trPr>
        <w:tc>
          <w:tcPr>
            <w:tcW w:w="5200" w:type="dxa"/>
            <w:vAlign w:val="bottom"/>
            <w:shd w:val="clear" w:color="auto" w:fill="CFF0FC"/>
          </w:tcPr>
          <w:p>
            <w:pPr>
              <w:ind w:left="100"/>
              <w:spacing w:after="0" w:line="104" w:lineRule="exact"/>
              <w:rPr>
                <w:sz w:val="20"/>
                <w:szCs w:val="20"/>
                <w:color w:val="auto"/>
              </w:rPr>
            </w:pPr>
            <w:r>
              <w:rPr>
                <w:rFonts w:ascii="Times New Roman" w:cs="Times New Roman" w:eastAsia="Times New Roman" w:hAnsi="Times New Roman"/>
                <w:sz w:val="10"/>
                <w:szCs w:val="10"/>
                <w:color w:val="auto"/>
              </w:rPr>
              <w:t xml:space="preserve">General and administrative expenses </w:t>
            </w:r>
            <w:r>
              <w:rPr>
                <w:rFonts w:ascii="Times New Roman" w:cs="Times New Roman" w:eastAsia="Times New Roman" w:hAnsi="Times New Roman"/>
                <w:sz w:val="10"/>
                <w:szCs w:val="10"/>
                <w:i w:val="1"/>
                <w:iCs w:val="1"/>
                <w:color w:val="auto"/>
              </w:rPr>
              <w:t>(Including related party transactions of</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1"/>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0"/>
                <w:szCs w:val="10"/>
                <w:i w:val="1"/>
                <w:iCs w:val="1"/>
                <w:color w:val="auto"/>
              </w:rPr>
              <w:t>3,831,291 and 41,231,704, refer to Note 14)</w:t>
            </w:r>
          </w:p>
        </w:tc>
        <w:tc>
          <w:tcPr>
            <w:tcW w:w="2320" w:type="dxa"/>
            <w:vAlign w:val="bottom"/>
            <w:shd w:val="clear" w:color="auto" w:fill="CFF0FC"/>
          </w:tcPr>
          <w:p>
            <w:pPr>
              <w:spacing w:after="0"/>
              <w:rPr>
                <w:sz w:val="10"/>
                <w:szCs w:val="10"/>
                <w:color w:val="auto"/>
              </w:rPr>
            </w:pPr>
          </w:p>
        </w:tc>
        <w:tc>
          <w:tcPr>
            <w:tcW w:w="14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0"/>
                <w:szCs w:val="10"/>
                <w:color w:val="auto"/>
              </w:rPr>
              <w:t>17,986,528</w:t>
            </w:r>
          </w:p>
        </w:tc>
        <w:tc>
          <w:tcPr>
            <w:tcW w:w="340" w:type="dxa"/>
            <w:vAlign w:val="bottom"/>
            <w:shd w:val="clear" w:color="auto" w:fill="CFF0FC"/>
          </w:tcPr>
          <w:p>
            <w:pPr>
              <w:spacing w:after="0"/>
              <w:rPr>
                <w:sz w:val="10"/>
                <w:szCs w:val="10"/>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86,640,500</w:t>
            </w:r>
          </w:p>
        </w:tc>
      </w:tr>
      <w:tr>
        <w:trPr>
          <w:trHeight w:val="113"/>
        </w:trPr>
        <w:tc>
          <w:tcPr>
            <w:tcW w:w="52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235,797</w:t>
            </w:r>
          </w:p>
        </w:tc>
      </w:tr>
      <w:tr>
        <w:trPr>
          <w:trHeight w:val="113"/>
        </w:trPr>
        <w:tc>
          <w:tcPr>
            <w:tcW w:w="52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14,822,022</w:t>
            </w:r>
          </w:p>
        </w:tc>
      </w:tr>
      <w:tr>
        <w:trPr>
          <w:trHeight w:val="113"/>
        </w:trPr>
        <w:tc>
          <w:tcPr>
            <w:tcW w:w="52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b w:val="1"/>
                <w:bCs w:val="1"/>
                <w:color w:val="auto"/>
              </w:rPr>
              <w:t>26,151,325</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107,161,306</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(26,006,274 )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(107,046,147 )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w:t>
            </w:r>
          </w:p>
        </w:tc>
        <w:tc>
          <w:tcPr>
            <w:tcW w:w="23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(4,791,782 )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(3,884,695 )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320" w:type="dxa"/>
            <w:vAlign w:val="bottom"/>
          </w:tcPr>
          <w:p>
            <w:pPr>
              <w:spacing w:after="0"/>
              <w:rPr>
                <w:sz w:val="9"/>
                <w:szCs w:val="9"/>
                <w:color w:val="auto"/>
              </w:rPr>
            </w:pPr>
          </w:p>
        </w:tc>
        <w:tc>
          <w:tcPr>
            <w:tcW w:w="1420" w:type="dxa"/>
            <w:vAlign w:val="bottom"/>
          </w:tcPr>
          <w:p>
            <w:pPr>
              <w:jc w:val="right"/>
              <w:ind w:right="132"/>
              <w:spacing w:after="0" w:line="113" w:lineRule="exact"/>
              <w:rPr>
                <w:sz w:val="20"/>
                <w:szCs w:val="20"/>
                <w:color w:val="auto"/>
              </w:rPr>
            </w:pPr>
            <w:r>
              <w:rPr>
                <w:rFonts w:ascii="Times New Roman" w:cs="Times New Roman" w:eastAsia="Times New Roman" w:hAnsi="Times New Roman"/>
                <w:sz w:val="10"/>
                <w:szCs w:val="10"/>
                <w:color w:val="auto"/>
              </w:rPr>
              <w:t>125,366</w:t>
            </w:r>
          </w:p>
        </w:tc>
        <w:tc>
          <w:tcPr>
            <w:tcW w:w="34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256,659</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(4,666,416 )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(3,628,036 )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2320" w:type="dxa"/>
            <w:vAlign w:val="bottom"/>
          </w:tcPr>
          <w:p>
            <w:pPr>
              <w:spacing w:after="0"/>
              <w:rPr>
                <w:sz w:val="9"/>
                <w:szCs w:val="9"/>
                <w:color w:val="auto"/>
              </w:rPr>
            </w:pPr>
          </w:p>
        </w:tc>
        <w:tc>
          <w:tcPr>
            <w:tcW w:w="14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(30,672,690 )</w:t>
            </w:r>
          </w:p>
        </w:tc>
        <w:tc>
          <w:tcPr>
            <w:tcW w:w="34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(110,674,183 )</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320" w:type="dxa"/>
            <w:vAlign w:val="bottom"/>
            <w:shd w:val="clear" w:color="auto" w:fill="CFF0FC"/>
          </w:tcPr>
          <w:p>
            <w:pPr>
              <w:spacing w:after="0"/>
              <w:rPr>
                <w:sz w:val="9"/>
                <w:szCs w:val="9"/>
                <w:color w:val="auto"/>
              </w:rPr>
            </w:pP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34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(38,765 )</w:t>
            </w:r>
          </w:p>
        </w:tc>
      </w:tr>
      <w:tr>
        <w:trPr>
          <w:trHeight w:val="113"/>
        </w:trPr>
        <w:tc>
          <w:tcPr>
            <w:tcW w:w="52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for the year</w:t>
            </w:r>
          </w:p>
        </w:tc>
        <w:tc>
          <w:tcPr>
            <w:tcW w:w="232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42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(30,736,098 )</w:t>
            </w:r>
          </w:p>
        </w:tc>
        <w:tc>
          <w:tcPr>
            <w:tcW w:w="3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52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32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2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(0.03 )</w:t>
            </w:r>
          </w:p>
        </w:tc>
        <w:tc>
          <w:tcPr>
            <w:tcW w:w="34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(0.12 )</w:t>
            </w:r>
          </w:p>
        </w:tc>
      </w:tr>
      <w:tr>
        <w:trPr>
          <w:trHeight w:val="125"/>
        </w:trPr>
        <w:tc>
          <w:tcPr>
            <w:tcW w:w="52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320" w:type="dxa"/>
            <w:vAlign w:val="bottom"/>
          </w:tcPr>
          <w:p>
            <w:pPr>
              <w:spacing w:after="0"/>
              <w:rPr>
                <w:sz w:val="10"/>
                <w:szCs w:val="10"/>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927,204,508</w:t>
            </w:r>
          </w:p>
        </w:tc>
        <w:tc>
          <w:tcPr>
            <w:tcW w:w="34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Comprehensive Loss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220" w:type="dxa"/>
            <w:vAlign w:val="bottom"/>
          </w:tcPr>
          <w:p>
            <w:pPr>
              <w:spacing w:after="0"/>
              <w:rPr>
                <w:sz w:val="8"/>
                <w:szCs w:val="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24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24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220" w:type="dxa"/>
            <w:vAlign w:val="bottom"/>
          </w:tcPr>
          <w:p>
            <w:pPr>
              <w:spacing w:after="0"/>
              <w:rPr>
                <w:sz w:val="9"/>
                <w:szCs w:val="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2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5120" w:type="dxa"/>
            <w:vAlign w:val="bottom"/>
            <w:gridSpan w:val="2"/>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(30,736,098 )</w:t>
            </w:r>
          </w:p>
        </w:tc>
        <w:tc>
          <w:tcPr>
            <w:tcW w:w="2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2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4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2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Foreign currency translation loss</w:t>
            </w:r>
          </w:p>
        </w:tc>
        <w:tc>
          <w:tcPr>
            <w:tcW w:w="4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5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(69,565 )</w:t>
            </w:r>
          </w:p>
        </w:tc>
        <w:tc>
          <w:tcPr>
            <w:tcW w:w="220" w:type="dxa"/>
            <w:vAlign w:val="bottom"/>
            <w:shd w:val="clear" w:color="auto" w:fill="CFF0FC"/>
          </w:tcPr>
          <w:p>
            <w:pPr>
              <w:spacing w:after="0"/>
              <w:rPr>
                <w:sz w:val="9"/>
                <w:szCs w:val="9"/>
                <w:color w:val="auto"/>
              </w:rPr>
            </w:pPr>
          </w:p>
        </w:tc>
        <w:tc>
          <w:tcPr>
            <w:tcW w:w="13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(87,941 )</w:t>
            </w:r>
          </w:p>
        </w:tc>
      </w:tr>
      <w:tr>
        <w:trPr>
          <w:trHeight w:val="115"/>
        </w:trPr>
        <w:tc>
          <w:tcPr>
            <w:tcW w:w="24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Total comprehensive loss</w:t>
            </w:r>
          </w:p>
        </w:tc>
        <w:tc>
          <w:tcPr>
            <w:tcW w:w="4880" w:type="dxa"/>
            <w:vAlign w:val="bottom"/>
          </w:tcPr>
          <w:p>
            <w:pPr>
              <w:spacing w:after="0"/>
              <w:rPr>
                <w:sz w:val="10"/>
                <w:szCs w:val="10"/>
                <w:color w:val="auto"/>
              </w:rPr>
            </w:pPr>
          </w:p>
        </w:tc>
        <w:tc>
          <w:tcPr>
            <w:tcW w:w="240" w:type="dxa"/>
            <w:vAlign w:val="bottom"/>
          </w:tcPr>
          <w:p>
            <w:pPr>
              <w:jc w:val="right"/>
              <w:ind w:right="13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5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(30,805,663 </w:t>
            </w:r>
            <w:r>
              <w:rPr>
                <w:rFonts w:ascii="Times New Roman" w:cs="Times New Roman" w:eastAsia="Times New Roman" w:hAnsi="Times New Roman"/>
                <w:sz w:val="10"/>
                <w:szCs w:val="10"/>
                <w:b w:val="1"/>
                <w:bCs w:val="1"/>
                <w:color w:val="auto"/>
                <w:vertAlign w:val="subscript"/>
              </w:rPr>
              <w:t>)</w:t>
            </w:r>
          </w:p>
        </w:tc>
        <w:tc>
          <w:tcPr>
            <w:tcW w:w="220" w:type="dxa"/>
            <w:vAlign w:val="bottom"/>
          </w:tcPr>
          <w:p>
            <w:pPr>
              <w:jc w:val="right"/>
              <w:ind w:right="1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4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(110,800,889 </w:t>
            </w:r>
            <w:r>
              <w:rPr>
                <w:rFonts w:ascii="Times New Roman" w:cs="Times New Roman" w:eastAsia="Times New Roman" w:hAnsi="Times New Roman"/>
                <w:sz w:val="10"/>
                <w:szCs w:val="10"/>
                <w:b w:val="1"/>
                <w:bCs w:val="1"/>
                <w:color w:val="auto"/>
                <w:vertAlign w:val="subscript"/>
              </w:rPr>
              <w:t>)</w:t>
            </w:r>
          </w:p>
        </w:tc>
      </w:tr>
      <w:tr>
        <w:trPr>
          <w:trHeight w:val="261"/>
        </w:trPr>
        <w:tc>
          <w:tcPr>
            <w:tcW w:w="2400" w:type="dxa"/>
            <w:vAlign w:val="bottom"/>
          </w:tcPr>
          <w:p>
            <w:pPr>
              <w:spacing w:after="0"/>
              <w:rPr>
                <w:sz w:val="22"/>
                <w:szCs w:val="22"/>
                <w:color w:val="auto"/>
              </w:rPr>
            </w:pPr>
          </w:p>
        </w:tc>
        <w:tc>
          <w:tcPr>
            <w:tcW w:w="4880" w:type="dxa"/>
            <w:vAlign w:val="bottom"/>
          </w:tcPr>
          <w:p>
            <w:pPr>
              <w:jc w:val="right"/>
              <w:ind w:right="11"/>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2400" w:type="dxa"/>
            <w:vAlign w:val="bottom"/>
          </w:tcPr>
          <w:p>
            <w:pPr>
              <w:spacing w:after="0"/>
              <w:rPr>
                <w:sz w:val="20"/>
                <w:szCs w:val="20"/>
                <w:color w:val="auto"/>
              </w:rPr>
            </w:pPr>
          </w:p>
        </w:tc>
        <w:tc>
          <w:tcPr>
            <w:tcW w:w="5120" w:type="dxa"/>
            <w:vAlign w:val="bottom"/>
            <w:gridSpan w:val="2"/>
          </w:tcPr>
          <w:p>
            <w:pPr>
              <w:jc w:val="right"/>
              <w:ind w:right="2071"/>
              <w:spacing w:after="0"/>
              <w:rPr>
                <w:sz w:val="20"/>
                <w:szCs w:val="20"/>
                <w:color w:val="auto"/>
              </w:rPr>
            </w:pPr>
            <w:r>
              <w:rPr>
                <w:rFonts w:ascii="Times New Roman" w:cs="Times New Roman" w:eastAsia="Times New Roman" w:hAnsi="Times New Roman"/>
                <w:sz w:val="10"/>
                <w:szCs w:val="10"/>
                <w:color w:val="auto"/>
              </w:rPr>
              <w:t>F-30</w:t>
            </w: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2"/>
        </w:trPr>
        <w:tc>
          <w:tcPr>
            <w:tcW w:w="2400" w:type="dxa"/>
            <w:vAlign w:val="bottom"/>
            <w:tcBorders>
              <w:bottom w:val="single" w:sz="8" w:color="EEEEEE"/>
            </w:tcBorders>
          </w:tcPr>
          <w:p>
            <w:pPr>
              <w:spacing w:after="0"/>
              <w:rPr>
                <w:sz w:val="24"/>
                <w:szCs w:val="24"/>
                <w:color w:val="auto"/>
              </w:rPr>
            </w:pPr>
          </w:p>
        </w:tc>
        <w:tc>
          <w:tcPr>
            <w:tcW w:w="48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Changes in Shareholders’ Deficit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83"/>
        </w:trPr>
        <w:tc>
          <w:tcPr>
            <w:tcW w:w="2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tcPr>
          <w:p>
            <w:pPr>
              <w:jc w:val="center"/>
              <w:ind w:right="214"/>
              <w:spacing w:after="0"/>
              <w:rPr>
                <w:sz w:val="20"/>
                <w:szCs w:val="20"/>
                <w:color w:val="auto"/>
              </w:rPr>
            </w:pPr>
            <w:r>
              <w:rPr>
                <w:rFonts w:ascii="Times New Roman" w:cs="Times New Roman" w:eastAsia="Times New Roman" w:hAnsi="Times New Roman"/>
                <w:sz w:val="7"/>
                <w:szCs w:val="7"/>
                <w:b w:val="1"/>
                <w:bCs w:val="1"/>
                <w:color w:val="auto"/>
                <w:w w:val="95"/>
              </w:rPr>
              <w:t>Accumulated</w:t>
            </w: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1"/>
              </w:rPr>
              <w:t>Share</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rPr>
              <w:t>other</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87"/>
              </w:rPr>
              <w:t>Total</w:t>
            </w:r>
          </w:p>
        </w:tc>
      </w:tr>
      <w:tr>
        <w:trPr>
          <w:trHeight w:val="83"/>
        </w:trPr>
        <w:tc>
          <w:tcPr>
            <w:tcW w:w="2200" w:type="dxa"/>
            <w:vAlign w:val="bottom"/>
          </w:tcPr>
          <w:p>
            <w:pPr>
              <w:spacing w:after="0"/>
              <w:rPr>
                <w:sz w:val="7"/>
                <w:szCs w:val="7"/>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7"/>
                <w:szCs w:val="7"/>
                <w:b w:val="1"/>
                <w:bCs w:val="1"/>
                <w:color w:val="auto"/>
              </w:rPr>
              <w:t>Ordinary shares</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3"/>
          </w:tcPr>
          <w:p>
            <w:pPr>
              <w:ind w:left="480"/>
              <w:spacing w:after="0"/>
              <w:rPr>
                <w:sz w:val="20"/>
                <w:szCs w:val="20"/>
                <w:color w:val="auto"/>
              </w:rPr>
            </w:pPr>
            <w:r>
              <w:rPr>
                <w:rFonts w:ascii="Times New Roman" w:cs="Times New Roman" w:eastAsia="Times New Roman" w:hAnsi="Times New Roman"/>
                <w:sz w:val="7"/>
                <w:szCs w:val="7"/>
                <w:b w:val="1"/>
                <w:bCs w:val="1"/>
                <w:color w:val="auto"/>
              </w:rPr>
              <w:t>Series A shares</w:t>
            </w: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3"/>
              </w:rPr>
              <w:t>paid-in</w:t>
            </w:r>
          </w:p>
        </w:tc>
        <w:tc>
          <w:tcPr>
            <w:tcW w:w="940" w:type="dxa"/>
            <w:vAlign w:val="bottom"/>
            <w:gridSpan w:val="2"/>
          </w:tcPr>
          <w:p>
            <w:pPr>
              <w:jc w:val="right"/>
              <w:ind w:right="374"/>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7"/>
              </w:rPr>
              <w:t>subscription</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98"/>
              </w:rPr>
              <w:t>comprehensive</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95"/>
              </w:rPr>
              <w:t>Shareholders</w:t>
            </w:r>
          </w:p>
        </w:tc>
      </w:tr>
      <w:tr>
        <w:trPr>
          <w:trHeight w:val="83"/>
        </w:trPr>
        <w:tc>
          <w:tcPr>
            <w:tcW w:w="2200" w:type="dxa"/>
            <w:vAlign w:val="bottom"/>
          </w:tcPr>
          <w:p>
            <w:pPr>
              <w:spacing w:after="0"/>
              <w:rPr>
                <w:sz w:val="7"/>
                <w:szCs w:val="7"/>
                <w:color w:val="auto"/>
              </w:rPr>
            </w:pPr>
          </w:p>
        </w:tc>
        <w:tc>
          <w:tcPr>
            <w:tcW w:w="1100" w:type="dxa"/>
            <w:vAlign w:val="bottom"/>
            <w:gridSpan w:val="3"/>
          </w:tcPr>
          <w:p>
            <w:pPr>
              <w:ind w:left="260"/>
              <w:spacing w:after="0"/>
              <w:rPr>
                <w:sz w:val="20"/>
                <w:szCs w:val="20"/>
                <w:color w:val="auto"/>
              </w:rPr>
            </w:pPr>
            <w:r>
              <w:rPr>
                <w:rFonts w:ascii="Times New Roman" w:cs="Times New Roman" w:eastAsia="Times New Roman" w:hAnsi="Times New Roman"/>
                <w:sz w:val="7"/>
                <w:szCs w:val="7"/>
                <w:b w:val="1"/>
                <w:bCs w:val="1"/>
                <w:color w:val="auto"/>
              </w:rPr>
              <w:t>Shares</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7"/>
                <w:szCs w:val="7"/>
                <w:b w:val="1"/>
                <w:bCs w:val="1"/>
                <w:color w:val="auto"/>
              </w:rPr>
              <w:t>Amount</w:t>
            </w: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7"/>
                <w:szCs w:val="7"/>
                <w:b w:val="1"/>
                <w:bCs w:val="1"/>
                <w:color w:val="auto"/>
              </w:rPr>
              <w:t>Shares</w:t>
            </w: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7"/>
                <w:szCs w:val="7"/>
                <w:b w:val="1"/>
                <w:bCs w:val="1"/>
                <w:color w:val="auto"/>
              </w:rPr>
              <w:t>Amount</w:t>
            </w:r>
          </w:p>
        </w:tc>
        <w:tc>
          <w:tcPr>
            <w:tcW w:w="220" w:type="dxa"/>
            <w:vAlign w:val="bottom"/>
          </w:tcPr>
          <w:p>
            <w:pPr>
              <w:spacing w:after="0"/>
              <w:rPr>
                <w:sz w:val="7"/>
                <w:szCs w:val="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8"/>
              </w:rPr>
              <w:t>capital</w:t>
            </w:r>
          </w:p>
        </w:tc>
        <w:tc>
          <w:tcPr>
            <w:tcW w:w="940" w:type="dxa"/>
            <w:vAlign w:val="bottom"/>
            <w:gridSpan w:val="2"/>
          </w:tcPr>
          <w:p>
            <w:pPr>
              <w:jc w:val="right"/>
              <w:ind w:right="474"/>
              <w:spacing w:after="0"/>
              <w:rPr>
                <w:sz w:val="20"/>
                <w:szCs w:val="20"/>
                <w:color w:val="auto"/>
              </w:rPr>
            </w:pPr>
            <w:r>
              <w:rPr>
                <w:rFonts w:ascii="Times New Roman" w:cs="Times New Roman" w:eastAsia="Times New Roman" w:hAnsi="Times New Roman"/>
                <w:sz w:val="7"/>
                <w:szCs w:val="7"/>
                <w:b w:val="1"/>
                <w:bCs w:val="1"/>
                <w:color w:val="auto"/>
              </w:rPr>
              <w:t>deficit</w:t>
            </w:r>
          </w:p>
        </w:tc>
        <w:tc>
          <w:tcPr>
            <w:tcW w:w="960" w:type="dxa"/>
            <w:vAlign w:val="bottom"/>
            <w:gridSpan w:val="2"/>
          </w:tcPr>
          <w:p>
            <w:pPr>
              <w:jc w:val="center"/>
              <w:ind w:right="166"/>
              <w:spacing w:after="0"/>
              <w:rPr>
                <w:sz w:val="20"/>
                <w:szCs w:val="20"/>
                <w:color w:val="auto"/>
              </w:rPr>
            </w:pPr>
            <w:r>
              <w:rPr>
                <w:rFonts w:ascii="Times New Roman" w:cs="Times New Roman" w:eastAsia="Times New Roman" w:hAnsi="Times New Roman"/>
                <w:sz w:val="7"/>
                <w:szCs w:val="7"/>
                <w:b w:val="1"/>
                <w:bCs w:val="1"/>
                <w:color w:val="auto"/>
                <w:w w:val="92"/>
              </w:rPr>
              <w:t>receivable</w:t>
            </w:r>
          </w:p>
        </w:tc>
        <w:tc>
          <w:tcPr>
            <w:tcW w:w="1120" w:type="dxa"/>
            <w:vAlign w:val="bottom"/>
            <w:gridSpan w:val="2"/>
          </w:tcPr>
          <w:p>
            <w:pPr>
              <w:jc w:val="center"/>
              <w:ind w:right="194"/>
              <w:spacing w:after="0"/>
              <w:rPr>
                <w:sz w:val="20"/>
                <w:szCs w:val="20"/>
                <w:color w:val="auto"/>
              </w:rPr>
            </w:pPr>
            <w:r>
              <w:rPr>
                <w:rFonts w:ascii="Times New Roman" w:cs="Times New Roman" w:eastAsia="Times New Roman" w:hAnsi="Times New Roman"/>
                <w:sz w:val="7"/>
                <w:szCs w:val="7"/>
                <w:b w:val="1"/>
                <w:bCs w:val="1"/>
                <w:color w:val="auto"/>
                <w:w w:val="93"/>
              </w:rPr>
              <w:t>income</w:t>
            </w:r>
          </w:p>
        </w:tc>
        <w:tc>
          <w:tcPr>
            <w:tcW w:w="1040" w:type="dxa"/>
            <w:vAlign w:val="bottom"/>
            <w:gridSpan w:val="2"/>
          </w:tcPr>
          <w:p>
            <w:pPr>
              <w:jc w:val="center"/>
              <w:ind w:right="94"/>
              <w:spacing w:after="0"/>
              <w:rPr>
                <w:sz w:val="20"/>
                <w:szCs w:val="20"/>
                <w:color w:val="auto"/>
              </w:rPr>
            </w:pPr>
            <w:r>
              <w:rPr>
                <w:rFonts w:ascii="Times New Roman" w:cs="Times New Roman" w:eastAsia="Times New Roman" w:hAnsi="Times New Roman"/>
                <w:sz w:val="7"/>
                <w:szCs w:val="7"/>
                <w:b w:val="1"/>
                <w:bCs w:val="1"/>
                <w:color w:val="auto"/>
                <w:w w:val="96"/>
              </w:rPr>
              <w:t>deficit</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January 1, 2022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891,818,882</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122,427</w:t>
            </w: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83,692,381</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(84,842,384 )</w:t>
            </w:r>
          </w:p>
        </w:tc>
        <w:tc>
          <w:tcPr>
            <w:tcW w:w="96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7"/>
                <w:szCs w:val="7"/>
                <w:b w:val="1"/>
                <w:bCs w:val="1"/>
                <w:color w:val="auto"/>
              </w:rPr>
              <w:t>(175,505 )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6,762</w:t>
            </w:r>
          </w:p>
        </w:tc>
        <w:tc>
          <w:tcPr>
            <w:tcW w:w="200" w:type="dxa"/>
            <w:vAlign w:val="bottom"/>
            <w:shd w:val="clear" w:color="auto" w:fill="CFF0FC"/>
          </w:tcPr>
          <w:p>
            <w:pPr>
              <w:spacing w:after="0"/>
              <w:rPr>
                <w:sz w:val="7"/>
                <w:szCs w:val="7"/>
                <w:color w:val="auto"/>
              </w:rPr>
            </w:pP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(1,192,451 )</w:t>
            </w: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2,040,816</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166</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2,499,754</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2,499,920</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for ANY</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(note 2.20) (as restated)</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14,427,185</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14,858,007</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14,860,000</w:t>
            </w:r>
          </w:p>
        </w:tc>
        <w:tc>
          <w:tcPr>
            <w:tcW w:w="100" w:type="dxa"/>
            <w:vAlign w:val="bottom"/>
            <w:shd w:val="clear" w:color="auto" w:fill="CFF0FC"/>
          </w:tcPr>
          <w:p>
            <w:pPr>
              <w:spacing w:after="0"/>
              <w:rPr>
                <w:sz w:val="7"/>
                <w:szCs w:val="7"/>
                <w:color w:val="auto"/>
              </w:rPr>
            </w:pP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to</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consultant (note 11)</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677</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18,417,139</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18,417,816</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against</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warrants (note 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1,700,000</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192</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2,082,308</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2,082,500</w:t>
            </w:r>
          </w:p>
        </w:tc>
        <w:tc>
          <w:tcPr>
            <w:tcW w:w="100" w:type="dxa"/>
            <w:vAlign w:val="bottom"/>
            <w:shd w:val="clear" w:color="auto" w:fill="CFF0FC"/>
          </w:tcPr>
          <w:p>
            <w:pPr>
              <w:spacing w:after="0"/>
              <w:rPr>
                <w:sz w:val="7"/>
                <w:szCs w:val="7"/>
                <w:color w:val="auto"/>
              </w:rPr>
            </w:pP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 related parties (note 11)</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27,246,461</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3,215</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46"/>
              <w:spacing w:after="0"/>
              <w:rPr>
                <w:sz w:val="20"/>
                <w:szCs w:val="20"/>
                <w:color w:val="auto"/>
              </w:rPr>
            </w:pPr>
            <w:r>
              <w:rPr>
                <w:rFonts w:ascii="Times New Roman" w:cs="Times New Roman" w:eastAsia="Times New Roman" w:hAnsi="Times New Roman"/>
                <w:sz w:val="7"/>
                <w:szCs w:val="7"/>
                <w:color w:val="auto"/>
              </w:rPr>
              <w:t>(3,215 )</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39,498,486</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Employee share-based</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compensation (note 11)</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2,115,015</w:t>
            </w:r>
          </w:p>
        </w:tc>
        <w:tc>
          <w:tcPr>
            <w:tcW w:w="100" w:type="dxa"/>
            <w:vAlign w:val="bottom"/>
            <w:shd w:val="clear" w:color="auto" w:fill="CFF0FC"/>
          </w:tcPr>
          <w:p>
            <w:pPr>
              <w:spacing w:after="0"/>
              <w:rPr>
                <w:sz w:val="7"/>
                <w:szCs w:val="7"/>
                <w:color w:val="auto"/>
              </w:rPr>
            </w:pP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ANY shares reverted (note 2.20)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(14,427,185 )</w:t>
            </w:r>
          </w:p>
        </w:tc>
        <w:tc>
          <w:tcPr>
            <w:tcW w:w="160" w:type="dxa"/>
            <w:vAlign w:val="bottom"/>
          </w:tcPr>
          <w:p>
            <w:pPr>
              <w:spacing w:after="0"/>
              <w:rPr>
                <w:sz w:val="7"/>
                <w:szCs w:val="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(1,993 )</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1,993</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tcPr>
          <w:p>
            <w:pPr>
              <w:jc w:val="right"/>
              <w:ind w:right="94"/>
              <w:spacing w:after="0"/>
              <w:rPr>
                <w:sz w:val="20"/>
                <w:szCs w:val="20"/>
                <w:color w:val="auto"/>
              </w:rPr>
            </w:pPr>
            <w:r>
              <w:rPr>
                <w:rFonts w:ascii="Times New Roman" w:cs="Times New Roman" w:eastAsia="Times New Roman" w:hAnsi="Times New Roman"/>
                <w:sz w:val="7"/>
                <w:szCs w:val="7"/>
                <w:color w:val="auto"/>
              </w:rPr>
              <w:t>—</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 (as restated)</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color w:val="auto"/>
              </w:rPr>
              <w:t>(110,712,948 )</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color w:val="auto"/>
              </w:rPr>
              <w:t>(110,712,948 )</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Foreign currency translation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(loss) (as restated)</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tcPr>
          <w:p>
            <w:pPr>
              <w:spacing w:after="0"/>
              <w:rPr>
                <w:sz w:val="7"/>
                <w:szCs w:val="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174"/>
              <w:spacing w:after="0"/>
              <w:rPr>
                <w:sz w:val="20"/>
                <w:szCs w:val="20"/>
                <w:color w:val="auto"/>
              </w:rPr>
            </w:pPr>
            <w:r>
              <w:rPr>
                <w:rFonts w:ascii="Times New Roman" w:cs="Times New Roman" w:eastAsia="Times New Roman" w:hAnsi="Times New Roman"/>
                <w:sz w:val="7"/>
                <w:szCs w:val="7"/>
                <w:color w:val="auto"/>
              </w:rPr>
              <w:t>(87,941 )</w:t>
            </w:r>
          </w:p>
        </w:tc>
        <w:tc>
          <w:tcPr>
            <w:tcW w:w="1040" w:type="dxa"/>
            <w:vAlign w:val="bottom"/>
            <w:gridSpan w:val="2"/>
          </w:tcPr>
          <w:p>
            <w:pPr>
              <w:jc w:val="right"/>
              <w:ind w:right="74"/>
              <w:spacing w:after="0"/>
              <w:rPr>
                <w:sz w:val="20"/>
                <w:szCs w:val="20"/>
                <w:color w:val="auto"/>
              </w:rPr>
            </w:pPr>
            <w:r>
              <w:rPr>
                <w:rFonts w:ascii="Times New Roman" w:cs="Times New Roman" w:eastAsia="Times New Roman" w:hAnsi="Times New Roman"/>
                <w:sz w:val="7"/>
                <w:szCs w:val="7"/>
                <w:color w:val="auto"/>
              </w:rPr>
              <w:t>(87,941 )</w:t>
            </w: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b w:val="1"/>
                <w:bCs w:val="1"/>
                <w:color w:val="auto"/>
              </w:rPr>
              <w:t>Balance as at December 31, 2022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927,806,159</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126,677</w:t>
            </w: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3,868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b w:val="1"/>
                <w:bCs w:val="1"/>
                <w:color w:val="auto"/>
              </w:rPr>
              <w:t>163,165,083</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(195,555,332 )</w:t>
            </w:r>
          </w:p>
        </w:tc>
        <w:tc>
          <w:tcPr>
            <w:tcW w:w="96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7"/>
                <w:szCs w:val="7"/>
                <w:b w:val="1"/>
                <w:bCs w:val="1"/>
                <w:color w:val="auto"/>
              </w:rPr>
              <w:t>(178,720 )</w:t>
            </w:r>
          </w:p>
        </w:tc>
        <w:tc>
          <w:tcPr>
            <w:tcW w:w="112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(81,179 )</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(32,519,603 )</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Ordinary shares issued to related</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163,265</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w:t>
            </w:r>
          </w:p>
        </w:tc>
        <w:tc>
          <w:tcPr>
            <w:tcW w:w="220" w:type="dxa"/>
            <w:vAlign w:val="bottom"/>
          </w:tcPr>
          <w:p>
            <w:pPr>
              <w:spacing w:after="0"/>
              <w:rPr>
                <w:sz w:val="7"/>
                <w:szCs w:val="7"/>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199,954</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199,974</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Ordinary shares issued from</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exercise of share-options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5,000,000</w:t>
            </w: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613</w:t>
            </w:r>
          </w:p>
        </w:tc>
        <w:tc>
          <w:tcPr>
            <w:tcW w:w="220" w:type="dxa"/>
            <w:vAlign w:val="bottom"/>
            <w:shd w:val="clear" w:color="auto" w:fill="CFF0FC"/>
          </w:tcPr>
          <w:p>
            <w:pPr>
              <w:spacing w:after="0"/>
              <w:rPr>
                <w:sz w:val="7"/>
                <w:szCs w:val="7"/>
                <w:color w:val="auto"/>
              </w:rPr>
            </w:pP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7"/>
                <w:szCs w:val="7"/>
                <w:color w:val="auto"/>
              </w:rPr>
              <w:t>(613 )</w:t>
            </w: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7"/>
                <w:szCs w:val="7"/>
                <w:color w:val="auto"/>
              </w:rPr>
              <w:t>—</w:t>
            </w:r>
          </w:p>
        </w:tc>
      </w:tr>
      <w:tr>
        <w:trPr>
          <w:trHeight w:val="84"/>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Share-based compensation in lieu</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1"/>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color w:val="auto"/>
              </w:rPr>
              <w:t>of services</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115,190</w:t>
            </w:r>
          </w:p>
        </w:tc>
        <w:tc>
          <w:tcPr>
            <w:tcW w:w="100" w:type="dxa"/>
            <w:vAlign w:val="bottom"/>
          </w:tcPr>
          <w:p>
            <w:pPr>
              <w:spacing w:after="0"/>
              <w:rPr>
                <w:sz w:val="7"/>
                <w:szCs w:val="7"/>
                <w:color w:val="auto"/>
              </w:rPr>
            </w:pPr>
          </w:p>
        </w:tc>
      </w:tr>
      <w:tr>
        <w:trPr>
          <w:trHeight w:val="84"/>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Share-based compensation related</w:t>
            </w: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r>
      <w:tr>
        <w:trPr>
          <w:trHeight w:val="81"/>
        </w:trPr>
        <w:tc>
          <w:tcPr>
            <w:tcW w:w="2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7"/>
                <w:szCs w:val="7"/>
                <w:color w:val="auto"/>
              </w:rPr>
              <w:t>parties</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220" w:type="dxa"/>
            <w:vAlign w:val="bottom"/>
            <w:shd w:val="clear" w:color="auto" w:fill="CFF0FC"/>
          </w:tcPr>
          <w:p>
            <w:pPr>
              <w:spacing w:after="0"/>
              <w:rPr>
                <w:sz w:val="7"/>
                <w:szCs w:val="7"/>
                <w:color w:val="auto"/>
              </w:rPr>
            </w:pPr>
          </w:p>
        </w:tc>
        <w:tc>
          <w:tcPr>
            <w:tcW w:w="94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3,646,017</w:t>
            </w:r>
          </w:p>
        </w:tc>
        <w:tc>
          <w:tcPr>
            <w:tcW w:w="100" w:type="dxa"/>
            <w:vAlign w:val="bottom"/>
            <w:shd w:val="clear" w:color="auto" w:fill="CFF0FC"/>
          </w:tcPr>
          <w:p>
            <w:pPr>
              <w:spacing w:after="0"/>
              <w:rPr>
                <w:sz w:val="7"/>
                <w:szCs w:val="7"/>
                <w:color w:val="auto"/>
              </w:rPr>
            </w:pPr>
          </w:p>
        </w:tc>
      </w:tr>
      <w:tr>
        <w:trPr>
          <w:trHeight w:val="83"/>
        </w:trPr>
        <w:tc>
          <w:tcPr>
            <w:tcW w:w="2200" w:type="dxa"/>
            <w:vAlign w:val="bottom"/>
          </w:tcPr>
          <w:p>
            <w:pPr>
              <w:spacing w:after="0"/>
              <w:rPr>
                <w:sz w:val="20"/>
                <w:szCs w:val="20"/>
                <w:color w:val="auto"/>
              </w:rPr>
            </w:pPr>
            <w:r>
              <w:rPr>
                <w:rFonts w:ascii="Times New Roman" w:cs="Times New Roman" w:eastAsia="Times New Roman" w:hAnsi="Times New Roman"/>
                <w:sz w:val="7"/>
                <w:szCs w:val="7"/>
                <w:color w:val="auto"/>
              </w:rPr>
              <w:t>Employee share-based compensation</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220" w:type="dxa"/>
            <w:vAlign w:val="bottom"/>
          </w:tcPr>
          <w:p>
            <w:pPr>
              <w:spacing w:after="0"/>
              <w:rPr>
                <w:sz w:val="7"/>
                <w:szCs w:val="7"/>
                <w:color w:val="auto"/>
              </w:rPr>
            </w:pP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5,079,201</w:t>
            </w:r>
          </w:p>
        </w:tc>
        <w:tc>
          <w:tcPr>
            <w:tcW w:w="100" w:type="dxa"/>
            <w:vAlign w:val="bottom"/>
          </w:tcPr>
          <w:p>
            <w:pPr>
              <w:spacing w:after="0"/>
              <w:rPr>
                <w:sz w:val="7"/>
                <w:szCs w:val="7"/>
                <w:color w:val="auto"/>
              </w:rPr>
            </w:pPr>
          </w:p>
        </w:tc>
      </w:tr>
      <w:tr>
        <w:trPr>
          <w:trHeight w:val="83"/>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Net loss</w:t>
            </w:r>
          </w:p>
        </w:tc>
        <w:tc>
          <w:tcPr>
            <w:tcW w:w="1100" w:type="dxa"/>
            <w:vAlign w:val="bottom"/>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7"/>
                <w:szCs w:val="7"/>
                <w:color w:val="auto"/>
              </w:rPr>
              <w:t>—</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20" w:type="dxa"/>
            <w:vAlign w:val="bottom"/>
            <w:shd w:val="clear" w:color="auto" w:fill="CFF0FC"/>
          </w:tcPr>
          <w:p>
            <w:pPr>
              <w:spacing w:after="0"/>
              <w:rPr>
                <w:sz w:val="7"/>
                <w:szCs w:val="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940" w:type="dxa"/>
            <w:vAlign w:val="bottom"/>
            <w:gridSpan w:val="2"/>
            <w:shd w:val="clear" w:color="auto" w:fill="CFF0FC"/>
          </w:tcPr>
          <w:p>
            <w:pPr>
              <w:jc w:val="right"/>
              <w:ind w:right="174"/>
              <w:spacing w:after="0"/>
              <w:rPr>
                <w:sz w:val="20"/>
                <w:szCs w:val="20"/>
                <w:color w:val="auto"/>
              </w:rPr>
            </w:pPr>
            <w:r>
              <w:rPr>
                <w:rFonts w:ascii="Times New Roman" w:cs="Times New Roman" w:eastAsia="Times New Roman" w:hAnsi="Times New Roman"/>
                <w:sz w:val="7"/>
                <w:szCs w:val="7"/>
                <w:color w:val="auto"/>
              </w:rPr>
              <w:t>(30,736,098 )</w:t>
            </w:r>
          </w:p>
        </w:tc>
        <w:tc>
          <w:tcPr>
            <w:tcW w:w="960" w:type="dxa"/>
            <w:vAlign w:val="bottom"/>
            <w:gridSpan w:val="2"/>
            <w:shd w:val="clear" w:color="auto" w:fill="CFF0FC"/>
          </w:tcPr>
          <w:p>
            <w:pPr>
              <w:jc w:val="right"/>
              <w:ind w:right="186"/>
              <w:spacing w:after="0"/>
              <w:rPr>
                <w:sz w:val="20"/>
                <w:szCs w:val="20"/>
                <w:color w:val="auto"/>
              </w:rPr>
            </w:pPr>
            <w:r>
              <w:rPr>
                <w:rFonts w:ascii="Times New Roman" w:cs="Times New Roman" w:eastAsia="Times New Roman" w:hAnsi="Times New Roman"/>
                <w:sz w:val="7"/>
                <w:szCs w:val="7"/>
                <w:color w:val="auto"/>
              </w:rPr>
              <w:t>—</w:t>
            </w:r>
          </w:p>
        </w:tc>
        <w:tc>
          <w:tcPr>
            <w:tcW w:w="112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7"/>
                <w:szCs w:val="7"/>
                <w:color w:val="auto"/>
              </w:rPr>
              <w:t>—</w:t>
            </w:r>
          </w:p>
        </w:tc>
        <w:tc>
          <w:tcPr>
            <w:tcW w:w="104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7"/>
                <w:szCs w:val="7"/>
                <w:color w:val="auto"/>
              </w:rPr>
              <w:t>(30,736,098 )</w:t>
            </w:r>
          </w:p>
        </w:tc>
      </w:tr>
      <w:tr>
        <w:trPr>
          <w:trHeight w:val="82"/>
        </w:trPr>
        <w:tc>
          <w:tcPr>
            <w:tcW w:w="2200" w:type="dxa"/>
            <w:vAlign w:val="bottom"/>
          </w:tcPr>
          <w:p>
            <w:pPr>
              <w:spacing w:after="0"/>
              <w:rPr>
                <w:sz w:val="20"/>
                <w:szCs w:val="20"/>
                <w:color w:val="auto"/>
              </w:rPr>
            </w:pPr>
            <w:r>
              <w:rPr>
                <w:rFonts w:ascii="Times New Roman" w:cs="Times New Roman" w:eastAsia="Times New Roman" w:hAnsi="Times New Roman"/>
                <w:sz w:val="7"/>
                <w:szCs w:val="7"/>
                <w:b w:val="1"/>
                <w:bCs w:val="1"/>
                <w:color w:val="auto"/>
              </w:rPr>
              <w:t>Foreign currency translation</w:t>
            </w: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3"/>
        </w:trPr>
        <w:tc>
          <w:tcPr>
            <w:tcW w:w="2200" w:type="dxa"/>
            <w:vAlign w:val="bottom"/>
          </w:tcPr>
          <w:p>
            <w:pPr>
              <w:ind w:left="40"/>
              <w:spacing w:after="0"/>
              <w:rPr>
                <w:sz w:val="20"/>
                <w:szCs w:val="20"/>
                <w:color w:val="auto"/>
              </w:rPr>
            </w:pPr>
            <w:r>
              <w:rPr>
                <w:rFonts w:ascii="Times New Roman" w:cs="Times New Roman" w:eastAsia="Times New Roman" w:hAnsi="Times New Roman"/>
                <w:sz w:val="7"/>
                <w:szCs w:val="7"/>
                <w:b w:val="1"/>
                <w:bCs w:val="1"/>
                <w:color w:val="auto"/>
              </w:rPr>
              <w:t>(loss)</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7"/>
                <w:szCs w:val="7"/>
                <w:b w:val="1"/>
                <w:bCs w:val="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b w:val="1"/>
                <w:bCs w:val="1"/>
                <w:color w:val="auto"/>
              </w:rPr>
              <w:t>—</w:t>
            </w:r>
          </w:p>
        </w:tc>
        <w:tc>
          <w:tcPr>
            <w:tcW w:w="220" w:type="dxa"/>
            <w:vAlign w:val="bottom"/>
          </w:tcPr>
          <w:p>
            <w:pPr>
              <w:spacing w:after="0"/>
              <w:rPr>
                <w:sz w:val="7"/>
                <w:szCs w:val="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b w:val="1"/>
                <w:bCs w:val="1"/>
                <w:color w:val="auto"/>
              </w:rPr>
              <w:t>—</w:t>
            </w:r>
          </w:p>
        </w:tc>
        <w:tc>
          <w:tcPr>
            <w:tcW w:w="940" w:type="dxa"/>
            <w:vAlign w:val="bottom"/>
            <w:gridSpan w:val="2"/>
          </w:tcPr>
          <w:p>
            <w:pPr>
              <w:jc w:val="right"/>
              <w:ind w:right="214"/>
              <w:spacing w:after="0"/>
              <w:rPr>
                <w:sz w:val="20"/>
                <w:szCs w:val="20"/>
                <w:color w:val="auto"/>
              </w:rPr>
            </w:pPr>
            <w:r>
              <w:rPr>
                <w:rFonts w:ascii="Times New Roman" w:cs="Times New Roman" w:eastAsia="Times New Roman" w:hAnsi="Times New Roman"/>
                <w:sz w:val="7"/>
                <w:szCs w:val="7"/>
                <w:b w:val="1"/>
                <w:bCs w:val="1"/>
                <w:color w:val="auto"/>
              </w:rPr>
              <w:t>—</w:t>
            </w:r>
          </w:p>
        </w:tc>
        <w:tc>
          <w:tcPr>
            <w:tcW w:w="960" w:type="dxa"/>
            <w:vAlign w:val="bottom"/>
            <w:gridSpan w:val="2"/>
          </w:tcPr>
          <w:p>
            <w:pPr>
              <w:jc w:val="right"/>
              <w:ind w:right="186"/>
              <w:spacing w:after="0"/>
              <w:rPr>
                <w:sz w:val="20"/>
                <w:szCs w:val="20"/>
                <w:color w:val="auto"/>
              </w:rPr>
            </w:pPr>
            <w:r>
              <w:rPr>
                <w:rFonts w:ascii="Times New Roman" w:cs="Times New Roman" w:eastAsia="Times New Roman" w:hAnsi="Times New Roman"/>
                <w:sz w:val="7"/>
                <w:szCs w:val="7"/>
                <w:b w:val="1"/>
                <w:bCs w:val="1"/>
                <w:color w:val="auto"/>
              </w:rPr>
              <w:t>—</w:t>
            </w:r>
          </w:p>
        </w:tc>
        <w:tc>
          <w:tcPr>
            <w:tcW w:w="1120" w:type="dxa"/>
            <w:vAlign w:val="bottom"/>
            <w:gridSpan w:val="2"/>
          </w:tcPr>
          <w:p>
            <w:pPr>
              <w:jc w:val="right"/>
              <w:ind w:right="174"/>
              <w:spacing w:after="0"/>
              <w:rPr>
                <w:sz w:val="20"/>
                <w:szCs w:val="20"/>
                <w:color w:val="auto"/>
              </w:rPr>
            </w:pPr>
            <w:r>
              <w:rPr>
                <w:rFonts w:ascii="Times New Roman" w:cs="Times New Roman" w:eastAsia="Times New Roman" w:hAnsi="Times New Roman"/>
                <w:sz w:val="7"/>
                <w:szCs w:val="7"/>
                <w:b w:val="1"/>
                <w:bCs w:val="1"/>
                <w:color w:val="auto"/>
              </w:rPr>
              <w:t>(69,565 )</w:t>
            </w:r>
          </w:p>
        </w:tc>
        <w:tc>
          <w:tcPr>
            <w:tcW w:w="1040" w:type="dxa"/>
            <w:vAlign w:val="bottom"/>
            <w:gridSpan w:val="2"/>
          </w:tcPr>
          <w:p>
            <w:pPr>
              <w:jc w:val="right"/>
              <w:ind w:right="74"/>
              <w:spacing w:after="0"/>
              <w:rPr>
                <w:sz w:val="20"/>
                <w:szCs w:val="20"/>
                <w:color w:val="auto"/>
              </w:rPr>
            </w:pPr>
            <w:r>
              <w:rPr>
                <w:rFonts w:ascii="Times New Roman" w:cs="Times New Roman" w:eastAsia="Times New Roman" w:hAnsi="Times New Roman"/>
                <w:sz w:val="7"/>
                <w:szCs w:val="7"/>
                <w:b w:val="1"/>
                <w:bCs w:val="1"/>
                <w:color w:val="auto"/>
              </w:rPr>
              <w:t>(69,565 )</w:t>
            </w:r>
          </w:p>
        </w:tc>
      </w:tr>
      <w:tr>
        <w:trPr>
          <w:trHeight w:val="85"/>
        </w:trPr>
        <w:tc>
          <w:tcPr>
            <w:tcW w:w="2200" w:type="dxa"/>
            <w:vAlign w:val="bottom"/>
            <w:tcBorders>
              <w:bottom w:val="single" w:sz="8" w:color="CFF0FC"/>
            </w:tcBorders>
            <w:shd w:val="clear" w:color="auto" w:fill="CFF0FC"/>
          </w:tcPr>
          <w:p>
            <w:pPr>
              <w:spacing w:after="0" w:line="70" w:lineRule="exact"/>
              <w:rPr>
                <w:sz w:val="20"/>
                <w:szCs w:val="20"/>
                <w:color w:val="auto"/>
              </w:rPr>
            </w:pPr>
            <w:r>
              <w:rPr>
                <w:rFonts w:ascii="Times New Roman" w:cs="Times New Roman" w:eastAsia="Times New Roman" w:hAnsi="Times New Roman"/>
                <w:sz w:val="7"/>
                <w:szCs w:val="7"/>
                <w:b w:val="1"/>
                <w:bCs w:val="1"/>
                <w:color w:val="auto"/>
              </w:rPr>
              <w:t>Balance as at December 31, 2023</w:t>
            </w: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932,969,424</w:t>
            </w:r>
          </w:p>
        </w:tc>
        <w:tc>
          <w:tcPr>
            <w:tcW w:w="200" w:type="dxa"/>
            <w:vAlign w:val="bottom"/>
            <w:tcBorders>
              <w:bottom w:val="single" w:sz="8" w:color="CFF0FC"/>
            </w:tcBorders>
            <w:shd w:val="clear" w:color="auto" w:fill="CFF0FC"/>
          </w:tcPr>
          <w:p>
            <w:pPr>
              <w:spacing w:after="0"/>
              <w:rPr>
                <w:sz w:val="7"/>
                <w:szCs w:val="7"/>
                <w:color w:val="auto"/>
              </w:rPr>
            </w:pPr>
          </w:p>
        </w:tc>
        <w:tc>
          <w:tcPr>
            <w:tcW w:w="160" w:type="dxa"/>
            <w:vAlign w:val="bottom"/>
            <w:tcBorders>
              <w:bottom w:val="single" w:sz="8" w:color="auto"/>
            </w:tcBorders>
            <w:shd w:val="clear" w:color="auto" w:fill="CFF0FC"/>
          </w:tcPr>
          <w:p>
            <w:pPr>
              <w:spacing w:after="0"/>
              <w:rPr>
                <w:sz w:val="7"/>
                <w:szCs w:val="7"/>
                <w:color w:val="auto"/>
              </w:rPr>
            </w:pPr>
          </w:p>
        </w:tc>
        <w:tc>
          <w:tcPr>
            <w:tcW w:w="5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127,310</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28,039,517</w:t>
            </w:r>
          </w:p>
        </w:tc>
        <w:tc>
          <w:tcPr>
            <w:tcW w:w="20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auto"/>
            </w:tcBorders>
            <w:shd w:val="clear" w:color="auto" w:fill="CFF0FC"/>
          </w:tcPr>
          <w:p>
            <w:pPr>
              <w:spacing w:after="0"/>
              <w:rPr>
                <w:sz w:val="7"/>
                <w:szCs w:val="7"/>
                <w:color w:val="auto"/>
              </w:rPr>
            </w:pPr>
          </w:p>
        </w:tc>
        <w:tc>
          <w:tcPr>
            <w:tcW w:w="4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3,868</w:t>
            </w:r>
          </w:p>
        </w:tc>
        <w:tc>
          <w:tcPr>
            <w:tcW w:w="220" w:type="dxa"/>
            <w:vAlign w:val="bottom"/>
            <w:tcBorders>
              <w:bottom w:val="single" w:sz="8" w:color="CFF0FC"/>
            </w:tcBorders>
            <w:shd w:val="clear" w:color="auto" w:fill="CFF0FC"/>
          </w:tcPr>
          <w:p>
            <w:pPr>
              <w:spacing w:after="0"/>
              <w:rPr>
                <w:sz w:val="7"/>
                <w:szCs w:val="7"/>
                <w:color w:val="auto"/>
              </w:rPr>
            </w:pPr>
          </w:p>
        </w:tc>
        <w:tc>
          <w:tcPr>
            <w:tcW w:w="68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172,204,832</w:t>
            </w:r>
          </w:p>
        </w:tc>
        <w:tc>
          <w:tcPr>
            <w:tcW w:w="220" w:type="dxa"/>
            <w:vAlign w:val="bottom"/>
            <w:tcBorders>
              <w:bottom w:val="single" w:sz="8" w:color="CFF0FC"/>
            </w:tcBorders>
            <w:shd w:val="clear" w:color="auto" w:fill="CFF0FC"/>
          </w:tcPr>
          <w:p>
            <w:pPr>
              <w:spacing w:after="0"/>
              <w:rPr>
                <w:sz w:val="7"/>
                <w:szCs w:val="7"/>
                <w:color w:val="auto"/>
              </w:rPr>
            </w:pP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(226,291,430</w:t>
            </w:r>
          </w:p>
        </w:tc>
        <w:tc>
          <w:tcPr>
            <w:tcW w:w="200" w:type="dxa"/>
            <w:vAlign w:val="bottom"/>
            <w:tcBorders>
              <w:bottom w:val="single" w:sz="8" w:color="CFF0FC"/>
            </w:tcBorders>
            <w:shd w:val="clear" w:color="auto" w:fill="CFF0FC"/>
          </w:tcPr>
          <w:p>
            <w:pPr>
              <w:jc w:val="right"/>
              <w:ind w:right="17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7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(178,720</w:t>
            </w:r>
          </w:p>
        </w:tc>
        <w:tc>
          <w:tcPr>
            <w:tcW w:w="220" w:type="dxa"/>
            <w:vAlign w:val="bottom"/>
            <w:tcBorders>
              <w:bottom w:val="single" w:sz="8" w:color="CFF0FC"/>
            </w:tcBorders>
            <w:shd w:val="clear" w:color="auto" w:fill="CFF0FC"/>
          </w:tcPr>
          <w:p>
            <w:pPr>
              <w:jc w:val="right"/>
              <w:ind w:right="146"/>
              <w:spacing w:after="0" w:line="70" w:lineRule="exact"/>
              <w:rPr>
                <w:sz w:val="20"/>
                <w:szCs w:val="20"/>
                <w:color w:val="auto"/>
              </w:rPr>
            </w:pPr>
            <w:r>
              <w:rPr>
                <w:rFonts w:ascii="Times New Roman" w:cs="Times New Roman" w:eastAsia="Times New Roman" w:hAnsi="Times New Roman"/>
                <w:sz w:val="7"/>
                <w:szCs w:val="7"/>
                <w:b w:val="1"/>
                <w:bCs w:val="1"/>
                <w:color w:val="auto"/>
                <w:w w:val="83"/>
              </w:rPr>
              <w:t>)</w:t>
            </w:r>
          </w:p>
        </w:tc>
        <w:tc>
          <w:tcPr>
            <w:tcW w:w="92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(150,744</w:t>
            </w:r>
          </w:p>
        </w:tc>
        <w:tc>
          <w:tcPr>
            <w:tcW w:w="200" w:type="dxa"/>
            <w:vAlign w:val="bottom"/>
            <w:tcBorders>
              <w:bottom w:val="single" w:sz="8" w:color="CFF0FC"/>
            </w:tcBorders>
            <w:shd w:val="clear" w:color="auto" w:fill="CFF0FC"/>
          </w:tcPr>
          <w:p>
            <w:pPr>
              <w:jc w:val="right"/>
              <w:ind w:right="17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940" w:type="dxa"/>
            <w:vAlign w:val="bottom"/>
            <w:tcBorders>
              <w:bottom w:val="single" w:sz="8" w:color="auto"/>
            </w:tcBorders>
            <w:shd w:val="clear" w:color="auto" w:fill="CFF0FC"/>
          </w:tcPr>
          <w:p>
            <w:pPr>
              <w:jc w:val="right"/>
              <w:spacing w:after="0" w:line="63" w:lineRule="exact"/>
              <w:rPr>
                <w:sz w:val="20"/>
                <w:szCs w:val="20"/>
                <w:color w:val="auto"/>
              </w:rPr>
            </w:pPr>
            <w:r>
              <w:rPr>
                <w:rFonts w:ascii="Times New Roman" w:cs="Times New Roman" w:eastAsia="Times New Roman" w:hAnsi="Times New Roman"/>
                <w:sz w:val="7"/>
                <w:szCs w:val="7"/>
                <w:b w:val="1"/>
                <w:bCs w:val="1"/>
                <w:color w:val="auto"/>
              </w:rPr>
              <w:t>(54,284,884</w:t>
            </w:r>
          </w:p>
        </w:tc>
        <w:tc>
          <w:tcPr>
            <w:tcW w:w="100" w:type="dxa"/>
            <w:vAlign w:val="bottom"/>
            <w:tcBorders>
              <w:bottom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1"/>
              </w:rPr>
              <w:t>)</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Carve-out Consolidated 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Year ended</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Year ended</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77"/>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5180" w:type="dxa"/>
            <w:vAlign w:val="bottom"/>
          </w:tcPr>
          <w:p>
            <w:pPr>
              <w:spacing w:after="0"/>
              <w:rPr>
                <w:sz w:val="8"/>
                <w:szCs w:val="8"/>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rPr>
              <w:t>2023</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5180" w:type="dxa"/>
            <w:vAlign w:val="bottom"/>
          </w:tcPr>
          <w:p>
            <w:pPr>
              <w:spacing w:after="0"/>
              <w:rPr>
                <w:sz w:val="9"/>
                <w:szCs w:val="9"/>
                <w:color w:val="auto"/>
              </w:rPr>
            </w:pPr>
          </w:p>
        </w:tc>
        <w:tc>
          <w:tcPr>
            <w:tcW w:w="3100" w:type="dxa"/>
            <w:vAlign w:val="bottom"/>
          </w:tcPr>
          <w:p>
            <w:pPr>
              <w:jc w:val="center"/>
              <w:ind w:left="2557"/>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3100" w:type="dxa"/>
            <w:vAlign w:val="bottom"/>
          </w:tcPr>
          <w:p>
            <w:pPr>
              <w:jc w:val="right"/>
              <w:ind w:right="897"/>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95"/>
              </w:rPr>
              <w:t>(30,736,098 )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242,436</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244,208</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(gain)/loss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375,298</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(277,838 )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issued to related parties for consultancy services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3,646,017</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39,501,701</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18,417,816</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Employee share based compensation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5,079,201</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2,115,015</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46,236</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731,940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accounts receivable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loans receivable</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1,156,316</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14,600,000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4,791,782</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3,884,695</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Decrease/(increase) in accounts receivable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(3,679 )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712,554</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(416,069 )</w:t>
            </w:r>
          </w:p>
        </w:tc>
        <w:tc>
          <w:tcPr>
            <w:tcW w:w="380" w:type="dxa"/>
            <w:vAlign w:val="bottom"/>
          </w:tcPr>
          <w:p>
            <w:pPr>
              <w:spacing w:after="0"/>
              <w:rPr>
                <w:sz w:val="9"/>
                <w:szCs w:val="9"/>
                <w:color w:val="auto"/>
              </w:rPr>
            </w:pP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(56,523 )</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 in operating lease liability</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(46,236 )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168,754</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Increase in accounts payable, accrued expenses and other payables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2,310,465</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3,340,539</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552,456</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161,791</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(13,001,875 )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(26,788,906 )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(36,854 )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(36,854 )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rights issuance</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7,767,674</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ordinary shares</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2,499,920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common stock to related parties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199,974</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Repayment of short-term debt obligation from related parties</w:t>
            </w:r>
          </w:p>
        </w:tc>
        <w:tc>
          <w:tcPr>
            <w:tcW w:w="310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(250,000 )</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short-term debt from related party</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4,369,413</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long-term debt obligation</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2,625,000</w:t>
            </w:r>
          </w:p>
        </w:tc>
        <w:tc>
          <w:tcPr>
            <w:tcW w:w="380" w:type="dxa"/>
            <w:vAlign w:val="bottom"/>
          </w:tcPr>
          <w:p>
            <w:pPr>
              <w:spacing w:after="0"/>
              <w:rPr>
                <w:sz w:val="9"/>
                <w:szCs w:val="9"/>
                <w:color w:val="auto"/>
              </w:rPr>
            </w:pPr>
          </w:p>
        </w:tc>
        <w:tc>
          <w:tcPr>
            <w:tcW w:w="13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21,500,000</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14,712,061</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42,399</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177,287</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(28,939 )</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(2,648,553 )</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39,380</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2,687,933</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b w:val="1"/>
                <w:bCs w:val="1"/>
                <w:color w:val="auto"/>
              </w:rPr>
              <w:t>10,441</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39,380</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disclosures</w:t>
            </w:r>
          </w:p>
        </w:tc>
        <w:tc>
          <w:tcPr>
            <w:tcW w:w="3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Share-based payment for development of intangible asset</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115,190</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paid for interest</w:t>
            </w:r>
          </w:p>
        </w:tc>
        <w:tc>
          <w:tcPr>
            <w:tcW w:w="3100" w:type="dxa"/>
            <w:vAlign w:val="bottom"/>
          </w:tcPr>
          <w:p>
            <w:pPr>
              <w:spacing w:after="0"/>
              <w:rPr>
                <w:sz w:val="9"/>
                <w:szCs w:val="9"/>
                <w:color w:val="auto"/>
              </w:rPr>
            </w:pPr>
          </w:p>
        </w:tc>
        <w:tc>
          <w:tcPr>
            <w:tcW w:w="66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0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51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paid for taxes</w:t>
            </w:r>
          </w:p>
        </w:tc>
        <w:tc>
          <w:tcPr>
            <w:tcW w:w="310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0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5180" w:type="dxa"/>
            <w:vAlign w:val="bottom"/>
          </w:tcPr>
          <w:p>
            <w:pPr>
              <w:spacing w:after="0"/>
              <w:rPr>
                <w:sz w:val="20"/>
                <w:szCs w:val="20"/>
                <w:color w:val="auto"/>
              </w:rPr>
            </w:pPr>
            <w:r>
              <w:rPr>
                <w:rFonts w:ascii="Times New Roman" w:cs="Times New Roman" w:eastAsia="Times New Roman" w:hAnsi="Times New Roman"/>
                <w:sz w:val="10"/>
                <w:szCs w:val="10"/>
                <w:color w:val="auto"/>
              </w:rPr>
              <w:t>Accrued interest payable converted to principal</w:t>
            </w:r>
          </w:p>
        </w:tc>
        <w:tc>
          <w:tcPr>
            <w:tcW w:w="310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4,040,989</w:t>
            </w:r>
          </w:p>
        </w:tc>
        <w:tc>
          <w:tcPr>
            <w:tcW w:w="380" w:type="dxa"/>
            <w:vAlign w:val="bottom"/>
          </w:tcPr>
          <w:p>
            <w:pPr>
              <w:spacing w:after="0"/>
              <w:rPr>
                <w:sz w:val="10"/>
                <w:szCs w:val="10"/>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carve-out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1.Organization and nature of operations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Rezolve Group Limited (“Rezolve” or “the Company”) was incorporated in England and Wales on January 5, 2023 and changed its name on June 5, 2023 to Rezolve AI Limited.</w:t>
      </w:r>
    </w:p>
    <w:p>
      <w:pPr>
        <w:spacing w:after="0" w:line="126" w:lineRule="exact"/>
        <w:rPr>
          <w:sz w:val="20"/>
          <w:szCs w:val="20"/>
          <w:color w:val="auto"/>
        </w:rPr>
      </w:pPr>
    </w:p>
    <w:p>
      <w:pPr>
        <w:ind w:right="280" w:firstLine="480"/>
        <w:spacing w:after="0" w:line="221" w:lineRule="auto"/>
        <w:rPr>
          <w:sz w:val="20"/>
          <w:szCs w:val="20"/>
          <w:color w:val="auto"/>
        </w:rPr>
      </w:pPr>
      <w:r>
        <w:rPr>
          <w:rFonts w:ascii="Times New Roman" w:cs="Times New Roman" w:eastAsia="Times New Roman" w:hAnsi="Times New Roman"/>
          <w:sz w:val="10"/>
          <w:szCs w:val="10"/>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13"/>
          <w:szCs w:val="13"/>
          <w:color w:val="auto"/>
          <w:vertAlign w:val="superscript"/>
        </w:rPr>
        <w:t>rd</w:t>
      </w:r>
      <w:r>
        <w:rPr>
          <w:rFonts w:ascii="Times New Roman" w:cs="Times New Roman" w:eastAsia="Times New Roman" w:hAnsi="Times New Roman"/>
          <w:sz w:val="10"/>
          <w:szCs w:val="10"/>
          <w:color w:val="auto"/>
        </w:rPr>
        <w:t xml:space="preserve"> Floor, 80 New Bond Street, London, United Kingdom, W1S 1SB.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2.Basis of presentation and summary of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2.1.Basis of presentation</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Carve -out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05"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1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These Carve -out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 xml:space="preserve">Consolidated Statement of Operations in accordance with </w:t>
      </w:r>
      <w:r>
        <w:rPr>
          <w:rFonts w:ascii="Times New Roman" w:cs="Times New Roman" w:eastAsia="Times New Roman" w:hAnsi="Times New Roman"/>
          <w:sz w:val="10"/>
          <w:szCs w:val="10"/>
          <w:i w:val="1"/>
          <w:iCs w:val="1"/>
          <w:color w:val="auto"/>
        </w:rPr>
        <w:t>Staff Accounting Bulletin Topic 1-B1, Costs Reflected in Historical Financial Statements</w:t>
      </w:r>
      <w:r>
        <w:rPr>
          <w:rFonts w:ascii="Times New Roman" w:cs="Times New Roman" w:eastAsia="Times New Roman" w:hAnsi="Times New Roman"/>
          <w:sz w:val="10"/>
          <w:szCs w:val="10"/>
          <w:color w:val="auto"/>
        </w:rPr>
        <w:t xml:space="preserve"> (“SAB 1-B1”). Management asserts that this method used is reasonable.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2.2.Basis of consolidation</w:t>
      </w:r>
    </w:p>
    <w:p>
      <w:pPr>
        <w:spacing w:after="0" w:line="60"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921" w:right="60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 intercompany balances and transactions have been eliminated.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list of subsidiaries and Rezolve Limited’s holding as of December 31, 2023 and 2022 is as follows: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520" w:type="dxa"/>
            <w:vAlign w:val="bottom"/>
          </w:tcPr>
          <w:p>
            <w:pPr>
              <w:jc w:val="center"/>
              <w:ind w:left="13"/>
              <w:spacing w:after="0"/>
              <w:rPr>
                <w:sz w:val="20"/>
                <w:szCs w:val="20"/>
                <w:color w:val="auto"/>
              </w:rPr>
            </w:pPr>
            <w:r>
              <w:rPr>
                <w:rFonts w:ascii="Times New Roman" w:cs="Times New Roman" w:eastAsia="Times New Roman" w:hAnsi="Times New Roman"/>
                <w:sz w:val="8"/>
                <w:szCs w:val="8"/>
                <w:b w:val="1"/>
                <w:bCs w:val="1"/>
                <w:color w:val="auto"/>
              </w:rPr>
              <w:t>Country of</w:t>
            </w:r>
          </w:p>
        </w:tc>
        <w:tc>
          <w:tcPr>
            <w:tcW w:w="1440" w:type="dxa"/>
            <w:vAlign w:val="bottom"/>
          </w:tcPr>
          <w:p>
            <w:pPr>
              <w:jc w:val="right"/>
              <w:ind w:right="574"/>
              <w:spacing w:after="0"/>
              <w:rPr>
                <w:sz w:val="20"/>
                <w:szCs w:val="20"/>
                <w:color w:val="auto"/>
              </w:rPr>
            </w:pPr>
            <w:r>
              <w:rPr>
                <w:rFonts w:ascii="Times New Roman" w:cs="Times New Roman" w:eastAsia="Times New Roman" w:hAnsi="Times New Roman"/>
                <w:sz w:val="8"/>
                <w:szCs w:val="8"/>
                <w:b w:val="1"/>
                <w:bCs w:val="1"/>
                <w:color w:val="auto"/>
              </w:rPr>
              <w:t>Group</w:t>
            </w:r>
          </w:p>
        </w:tc>
      </w:tr>
      <w:tr>
        <w:trPr>
          <w:trHeight w:val="106"/>
        </w:trPr>
        <w:tc>
          <w:tcPr>
            <w:tcW w:w="3240" w:type="dxa"/>
            <w:vAlign w:val="bottom"/>
          </w:tcPr>
          <w:p>
            <w:pPr>
              <w:ind w:left="1540"/>
              <w:spacing w:after="0"/>
              <w:rPr>
                <w:sz w:val="20"/>
                <w:szCs w:val="20"/>
                <w:color w:val="auto"/>
              </w:rPr>
            </w:pPr>
            <w:r>
              <w:rPr>
                <w:rFonts w:ascii="Times New Roman" w:cs="Times New Roman" w:eastAsia="Times New Roman" w:hAnsi="Times New Roman"/>
                <w:sz w:val="8"/>
                <w:szCs w:val="8"/>
                <w:b w:val="1"/>
                <w:bCs w:val="1"/>
                <w:color w:val="auto"/>
              </w:rPr>
              <w:t>Name of the entity</w:t>
            </w:r>
          </w:p>
        </w:tc>
        <w:tc>
          <w:tcPr>
            <w:tcW w:w="2300" w:type="dxa"/>
            <w:vAlign w:val="bottom"/>
          </w:tcPr>
          <w:p>
            <w:pPr>
              <w:jc w:val="center"/>
              <w:ind w:left="533"/>
              <w:spacing w:after="0"/>
              <w:rPr>
                <w:sz w:val="20"/>
                <w:szCs w:val="20"/>
                <w:color w:val="auto"/>
              </w:rPr>
            </w:pPr>
            <w:r>
              <w:rPr>
                <w:rFonts w:ascii="Times New Roman" w:cs="Times New Roman" w:eastAsia="Times New Roman" w:hAnsi="Times New Roman"/>
                <w:sz w:val="8"/>
                <w:szCs w:val="8"/>
                <w:b w:val="1"/>
                <w:bCs w:val="1"/>
                <w:color w:val="auto"/>
              </w:rPr>
              <w:t>Date of incorporation</w:t>
            </w:r>
          </w:p>
        </w:tc>
        <w:tc>
          <w:tcPr>
            <w:tcW w:w="1520" w:type="dxa"/>
            <w:vAlign w:val="bottom"/>
          </w:tcPr>
          <w:p>
            <w:pPr>
              <w:jc w:val="center"/>
              <w:ind w:left="13"/>
              <w:spacing w:after="0"/>
              <w:rPr>
                <w:sz w:val="20"/>
                <w:szCs w:val="20"/>
                <w:color w:val="auto"/>
              </w:rPr>
            </w:pPr>
            <w:r>
              <w:rPr>
                <w:rFonts w:ascii="Times New Roman" w:cs="Times New Roman" w:eastAsia="Times New Roman" w:hAnsi="Times New Roman"/>
                <w:sz w:val="8"/>
                <w:szCs w:val="8"/>
                <w:b w:val="1"/>
                <w:bCs w:val="1"/>
                <w:color w:val="auto"/>
              </w:rPr>
              <w:t>incorporation</w:t>
            </w: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shareholding (%)</w:t>
            </w:r>
          </w:p>
        </w:tc>
      </w:tr>
      <w:tr>
        <w:trPr>
          <w:trHeight w:val="106"/>
        </w:trPr>
        <w:tc>
          <w:tcPr>
            <w:tcW w:w="3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Rezolve Mobile Commerce Inc.</w:t>
            </w:r>
          </w:p>
        </w:tc>
        <w:tc>
          <w:tcPr>
            <w:tcW w:w="2300" w:type="dxa"/>
            <w:vAlign w:val="bottom"/>
            <w:shd w:val="clear" w:color="auto" w:fill="CFF0FC"/>
          </w:tcPr>
          <w:p>
            <w:pPr>
              <w:spacing w:after="0"/>
              <w:rPr>
                <w:sz w:val="9"/>
                <w:szCs w:val="9"/>
                <w:color w:val="auto"/>
              </w:rPr>
            </w:pPr>
          </w:p>
        </w:tc>
        <w:tc>
          <w:tcPr>
            <w:tcW w:w="1520" w:type="dxa"/>
            <w:vAlign w:val="bottom"/>
            <w:shd w:val="clear" w:color="auto" w:fill="CFF0FC"/>
          </w:tcPr>
          <w:p>
            <w:pPr>
              <w:jc w:val="center"/>
              <w:ind w:left="13"/>
              <w:spacing w:after="0" w:line="106" w:lineRule="exact"/>
              <w:rPr>
                <w:sz w:val="20"/>
                <w:szCs w:val="20"/>
                <w:color w:val="auto"/>
              </w:rPr>
            </w:pPr>
            <w:r>
              <w:rPr>
                <w:rFonts w:ascii="Times New Roman" w:cs="Times New Roman" w:eastAsia="Times New Roman" w:hAnsi="Times New Roman"/>
                <w:sz w:val="10"/>
                <w:szCs w:val="10"/>
                <w:color w:val="auto"/>
                <w:w w:val="96"/>
              </w:rPr>
              <w:t>United States of</w:t>
            </w:r>
          </w:p>
        </w:tc>
        <w:tc>
          <w:tcPr>
            <w:tcW w:w="1440" w:type="dxa"/>
            <w:vAlign w:val="bottom"/>
            <w:shd w:val="clear" w:color="auto" w:fill="CFF0FC"/>
          </w:tcPr>
          <w:p>
            <w:pPr>
              <w:spacing w:after="0"/>
              <w:rPr>
                <w:sz w:val="9"/>
                <w:szCs w:val="9"/>
                <w:color w:val="auto"/>
              </w:rPr>
            </w:pPr>
          </w:p>
        </w:tc>
      </w:tr>
      <w:tr>
        <w:trPr>
          <w:trHeight w:val="119"/>
        </w:trPr>
        <w:tc>
          <w:tcPr>
            <w:tcW w:w="3240" w:type="dxa"/>
            <w:vAlign w:val="bottom"/>
            <w:shd w:val="clear" w:color="auto" w:fill="CFF0FC"/>
          </w:tcPr>
          <w:p>
            <w:pPr>
              <w:spacing w:after="0"/>
              <w:rPr>
                <w:sz w:val="10"/>
                <w:szCs w:val="10"/>
                <w:color w:val="auto"/>
              </w:rPr>
            </w:pPr>
          </w:p>
        </w:tc>
        <w:tc>
          <w:tcPr>
            <w:tcW w:w="2300" w:type="dxa"/>
            <w:vAlign w:val="bottom"/>
            <w:shd w:val="clear" w:color="auto" w:fill="CFF0FC"/>
          </w:tcPr>
          <w:p>
            <w:pPr>
              <w:jc w:val="center"/>
              <w:ind w:left="533"/>
              <w:spacing w:after="0"/>
              <w:rPr>
                <w:sz w:val="20"/>
                <w:szCs w:val="20"/>
                <w:color w:val="auto"/>
              </w:rPr>
            </w:pPr>
            <w:r>
              <w:rPr>
                <w:rFonts w:ascii="Times New Roman" w:cs="Times New Roman" w:eastAsia="Times New Roman" w:hAnsi="Times New Roman"/>
                <w:sz w:val="10"/>
                <w:szCs w:val="10"/>
                <w:color w:val="auto"/>
                <w:w w:val="95"/>
              </w:rPr>
              <w:t>April 20, 2016</w:t>
            </w:r>
          </w:p>
        </w:tc>
        <w:tc>
          <w:tcPr>
            <w:tcW w:w="1520" w:type="dxa"/>
            <w:vAlign w:val="bottom"/>
            <w:shd w:val="clear" w:color="auto" w:fill="CFF0FC"/>
          </w:tcPr>
          <w:p>
            <w:pPr>
              <w:jc w:val="center"/>
              <w:ind w:left="13"/>
              <w:spacing w:after="0"/>
              <w:rPr>
                <w:sz w:val="20"/>
                <w:szCs w:val="20"/>
                <w:color w:val="auto"/>
              </w:rPr>
            </w:pPr>
            <w:r>
              <w:rPr>
                <w:rFonts w:ascii="Times New Roman" w:cs="Times New Roman" w:eastAsia="Times New Roman" w:hAnsi="Times New Roman"/>
                <w:sz w:val="10"/>
                <w:szCs w:val="10"/>
                <w:color w:val="auto"/>
                <w:w w:val="98"/>
              </w:rPr>
              <w:t>America</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100 %</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Rezolve Technology S.L.</w:t>
            </w:r>
          </w:p>
        </w:tc>
        <w:tc>
          <w:tcPr>
            <w:tcW w:w="2300" w:type="dxa"/>
            <w:vAlign w:val="bottom"/>
          </w:tcPr>
          <w:p>
            <w:pPr>
              <w:jc w:val="center"/>
              <w:ind w:left="533"/>
              <w:spacing w:after="0" w:line="113" w:lineRule="exact"/>
              <w:rPr>
                <w:sz w:val="20"/>
                <w:szCs w:val="20"/>
                <w:color w:val="auto"/>
              </w:rPr>
            </w:pPr>
            <w:r>
              <w:rPr>
                <w:rFonts w:ascii="Times New Roman" w:cs="Times New Roman" w:eastAsia="Times New Roman" w:hAnsi="Times New Roman"/>
                <w:sz w:val="10"/>
                <w:szCs w:val="10"/>
                <w:color w:val="auto"/>
                <w:w w:val="96"/>
              </w:rPr>
              <w:t>August 25, 2020</w:t>
            </w:r>
          </w:p>
        </w:tc>
        <w:tc>
          <w:tcPr>
            <w:tcW w:w="1520" w:type="dxa"/>
            <w:vAlign w:val="bottom"/>
          </w:tcPr>
          <w:p>
            <w:pPr>
              <w:jc w:val="center"/>
              <w:ind w:left="13"/>
              <w:spacing w:after="0" w:line="113" w:lineRule="exact"/>
              <w:rPr>
                <w:sz w:val="20"/>
                <w:szCs w:val="20"/>
                <w:color w:val="auto"/>
              </w:rPr>
            </w:pPr>
            <w:r>
              <w:rPr>
                <w:rFonts w:ascii="Times New Roman" w:cs="Times New Roman" w:eastAsia="Times New Roman" w:hAnsi="Times New Roman"/>
                <w:sz w:val="10"/>
                <w:szCs w:val="10"/>
                <w:color w:val="auto"/>
                <w:w w:val="96"/>
              </w:rPr>
              <w:t>Spain</w:t>
            </w:r>
          </w:p>
        </w:tc>
        <w:tc>
          <w:tcPr>
            <w:tcW w:w="1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Rezolve Taiwan Limited</w:t>
            </w:r>
          </w:p>
        </w:tc>
        <w:tc>
          <w:tcPr>
            <w:tcW w:w="2300" w:type="dxa"/>
            <w:vAlign w:val="bottom"/>
            <w:shd w:val="clear" w:color="auto" w:fill="CFF0FC"/>
          </w:tcPr>
          <w:p>
            <w:pPr>
              <w:jc w:val="center"/>
              <w:ind w:left="533"/>
              <w:spacing w:after="0" w:line="113" w:lineRule="exact"/>
              <w:rPr>
                <w:sz w:val="20"/>
                <w:szCs w:val="20"/>
                <w:color w:val="auto"/>
              </w:rPr>
            </w:pPr>
            <w:r>
              <w:rPr>
                <w:rFonts w:ascii="Times New Roman" w:cs="Times New Roman" w:eastAsia="Times New Roman" w:hAnsi="Times New Roman"/>
                <w:sz w:val="10"/>
                <w:szCs w:val="10"/>
                <w:color w:val="auto"/>
                <w:w w:val="96"/>
              </w:rPr>
              <w:t>November 9, 2000</w:t>
            </w:r>
          </w:p>
        </w:tc>
        <w:tc>
          <w:tcPr>
            <w:tcW w:w="1520" w:type="dxa"/>
            <w:vAlign w:val="bottom"/>
            <w:shd w:val="clear" w:color="auto" w:fill="CFF0FC"/>
          </w:tcPr>
          <w:p>
            <w:pPr>
              <w:jc w:val="center"/>
              <w:ind w:left="13"/>
              <w:spacing w:after="0" w:line="113" w:lineRule="exact"/>
              <w:rPr>
                <w:sz w:val="20"/>
                <w:szCs w:val="20"/>
                <w:color w:val="auto"/>
              </w:rPr>
            </w:pPr>
            <w:r>
              <w:rPr>
                <w:rFonts w:ascii="Times New Roman" w:cs="Times New Roman" w:eastAsia="Times New Roman" w:hAnsi="Times New Roman"/>
                <w:sz w:val="10"/>
                <w:szCs w:val="10"/>
                <w:color w:val="auto"/>
                <w:w w:val="99"/>
              </w:rPr>
              <w:t>Taiwan</w:t>
            </w:r>
          </w:p>
        </w:tc>
        <w:tc>
          <w:tcPr>
            <w:tcW w:w="1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100 %</w:t>
            </w:r>
          </w:p>
        </w:tc>
      </w:tr>
      <w:tr>
        <w:trPr>
          <w:trHeight w:val="125"/>
        </w:trPr>
        <w:tc>
          <w:tcPr>
            <w:tcW w:w="3240" w:type="dxa"/>
            <w:vAlign w:val="bottom"/>
          </w:tcPr>
          <w:p>
            <w:pPr>
              <w:spacing w:after="0"/>
              <w:rPr>
                <w:sz w:val="20"/>
                <w:szCs w:val="20"/>
                <w:color w:val="auto"/>
              </w:rPr>
            </w:pPr>
            <w:r>
              <w:rPr>
                <w:rFonts w:ascii="Times New Roman" w:cs="Times New Roman" w:eastAsia="Times New Roman" w:hAnsi="Times New Roman"/>
                <w:sz w:val="10"/>
                <w:szCs w:val="10"/>
                <w:color w:val="auto"/>
              </w:rPr>
              <w:t>Rezolve Technology (India) Private Limited</w:t>
            </w:r>
          </w:p>
        </w:tc>
        <w:tc>
          <w:tcPr>
            <w:tcW w:w="2300" w:type="dxa"/>
            <w:vAlign w:val="bottom"/>
          </w:tcPr>
          <w:p>
            <w:pPr>
              <w:jc w:val="center"/>
              <w:ind w:left="513"/>
              <w:spacing w:after="0"/>
              <w:rPr>
                <w:sz w:val="20"/>
                <w:szCs w:val="20"/>
                <w:color w:val="auto"/>
              </w:rPr>
            </w:pPr>
            <w:r>
              <w:rPr>
                <w:rFonts w:ascii="Times New Roman" w:cs="Times New Roman" w:eastAsia="Times New Roman" w:hAnsi="Times New Roman"/>
                <w:sz w:val="10"/>
                <w:szCs w:val="10"/>
                <w:color w:val="auto"/>
                <w:w w:val="97"/>
              </w:rPr>
              <w:t>March 19, 2021</w:t>
            </w:r>
          </w:p>
        </w:tc>
        <w:tc>
          <w:tcPr>
            <w:tcW w:w="1520" w:type="dxa"/>
            <w:vAlign w:val="bottom"/>
          </w:tcPr>
          <w:p>
            <w:pPr>
              <w:jc w:val="center"/>
              <w:ind w:left="33"/>
              <w:spacing w:after="0"/>
              <w:rPr>
                <w:sz w:val="20"/>
                <w:szCs w:val="20"/>
                <w:color w:val="auto"/>
              </w:rPr>
            </w:pPr>
            <w:r>
              <w:rPr>
                <w:rFonts w:ascii="Times New Roman" w:cs="Times New Roman" w:eastAsia="Times New Roman" w:hAnsi="Times New Roman"/>
                <w:sz w:val="10"/>
                <w:szCs w:val="10"/>
                <w:color w:val="auto"/>
                <w:w w:val="97"/>
              </w:rPr>
              <w:t>India</w:t>
            </w:r>
          </w:p>
        </w:tc>
        <w:tc>
          <w:tcPr>
            <w:tcW w:w="1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100 %</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financial statements have been prepared using the United Stated Dollar ($) as its reporting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2.3.Emerging Growth Company</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2.4.Liquidity</w:t>
      </w:r>
    </w:p>
    <w:p>
      <w:pPr>
        <w:spacing w:after="0" w:line="60"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Pursuant to ASC 205-40, Presentation of Financial Statements—Going Concern (“ASC 205- 40”),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08"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•Seeking additional capital through the issuance of debt or equity securities.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•Generating revenue by execution of successful trials and long-term partner arrangements.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ability to generate revenue from our technology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•Reducing expenses by taking restructuring actions and reducing the number of employees and consultants.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•Controlling expenses and limiting capital expenditures.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Assumptions underlying the Company’s business plan are highly sensitive to the signing of revenue generating contracts, the successful outcome of trials for our services and the ability to control expenses.</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2.5.Use of estimates</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 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2.6.Foreign currency translation and transactions</w:t>
      </w:r>
    </w:p>
    <w:p>
      <w:pPr>
        <w:spacing w:after="0" w:line="60"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05" w:lineRule="exact"/>
        <w:rPr>
          <w:sz w:val="20"/>
          <w:szCs w:val="20"/>
          <w:color w:val="auto"/>
        </w:rPr>
      </w:pPr>
    </w:p>
    <w:p>
      <w:pPr>
        <w:ind w:right="200" w:firstLine="480"/>
        <w:spacing w:after="0" w:line="239" w:lineRule="auto"/>
        <w:rPr>
          <w:sz w:val="20"/>
          <w:szCs w:val="20"/>
          <w:color w:val="auto"/>
        </w:rPr>
      </w:pPr>
      <w:r>
        <w:rPr>
          <w:rFonts w:ascii="Times New Roman" w:cs="Times New Roman" w:eastAsia="Times New Roman" w:hAnsi="Times New Roman"/>
          <w:sz w:val="10"/>
          <w:szCs w:val="10"/>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1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2.7.Cash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Cash comprises cash on hand and in current accounts which are readily available. Our cash is held in creditworthy financial institutions and is insured up to GBP 85,000 in accordance with the regulations of the United Kingdom’s Financial Conduct Authority.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The Company has not experienced any losses associated with cash held with financial institutions.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2.8.Accounts receivable, net</w:t>
      </w:r>
    </w:p>
    <w:p>
      <w:pPr>
        <w:spacing w:after="0" w:line="6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Company has adopted ASC 326 “Financial Instruments—Credit Losses” as of January 31, 2023 (refer to note 3.) Account receivable consists primarily of amounts related to fees charged to customers. Credit is 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2.9.Property and equipment</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Property and equipment are stated at cost of acquisition less accumulated depreciation and accumulated impairment provisions, however, there have been no indicators identified during the reporting periods.</w:t>
      </w:r>
    </w:p>
    <w:p>
      <w:pPr>
        <w:spacing w:after="0" w:line="11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Depreciation on property and equipment is charged to expense on a systematic basis over the useful life of assets as estimated by the management. Depreciation is computed using the straight-line method. The useful lives estimated by the management are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follows:</w:t>
      </w:r>
    </w:p>
    <w:p>
      <w:pPr>
        <w:spacing w:after="0" w:line="143"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29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b w:val="1"/>
                <w:bCs w:val="1"/>
                <w:color w:val="auto"/>
              </w:rPr>
              <w:t>Useful life</w:t>
            </w:r>
          </w:p>
        </w:tc>
      </w:tr>
      <w:tr>
        <w:trPr>
          <w:trHeight w:val="98"/>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Computers</w:t>
            </w:r>
          </w:p>
        </w:tc>
        <w:tc>
          <w:tcPr>
            <w:tcW w:w="3460" w:type="dxa"/>
            <w:vAlign w:val="bottom"/>
            <w:shd w:val="clear" w:color="auto" w:fill="CFF0FC"/>
          </w:tcPr>
          <w:p>
            <w:pPr>
              <w:ind w:left="2340"/>
              <w:spacing w:after="0"/>
              <w:rPr>
                <w:sz w:val="20"/>
                <w:szCs w:val="20"/>
                <w:color w:val="auto"/>
              </w:rPr>
            </w:pPr>
            <w:r>
              <w:rPr>
                <w:rFonts w:ascii="Times New Roman" w:cs="Times New Roman" w:eastAsia="Times New Roman" w:hAnsi="Times New Roman"/>
                <w:sz w:val="8"/>
                <w:szCs w:val="8"/>
                <w:color w:val="auto"/>
              </w:rPr>
              <w:t>3 years</w:t>
            </w:r>
          </w:p>
        </w:tc>
      </w:tr>
      <w:tr>
        <w:trPr>
          <w:trHeight w:val="106"/>
        </w:trPr>
        <w:tc>
          <w:tcPr>
            <w:tcW w:w="2920" w:type="dxa"/>
            <w:vAlign w:val="bottom"/>
          </w:tcPr>
          <w:p>
            <w:pPr>
              <w:spacing w:after="0"/>
              <w:rPr>
                <w:sz w:val="20"/>
                <w:szCs w:val="20"/>
                <w:color w:val="auto"/>
              </w:rPr>
            </w:pPr>
            <w:r>
              <w:rPr>
                <w:rFonts w:ascii="Times New Roman" w:cs="Times New Roman" w:eastAsia="Times New Roman" w:hAnsi="Times New Roman"/>
                <w:sz w:val="8"/>
                <w:szCs w:val="8"/>
                <w:color w:val="auto"/>
              </w:rPr>
              <w:t>Office equipment</w:t>
            </w:r>
          </w:p>
        </w:tc>
        <w:tc>
          <w:tcPr>
            <w:tcW w:w="3460" w:type="dxa"/>
            <w:vAlign w:val="bottom"/>
          </w:tcPr>
          <w:p>
            <w:pPr>
              <w:ind w:left="2340"/>
              <w:spacing w:after="0"/>
              <w:rPr>
                <w:sz w:val="20"/>
                <w:szCs w:val="20"/>
                <w:color w:val="auto"/>
              </w:rPr>
            </w:pPr>
            <w:r>
              <w:rPr>
                <w:rFonts w:ascii="Times New Roman" w:cs="Times New Roman" w:eastAsia="Times New Roman" w:hAnsi="Times New Roman"/>
                <w:sz w:val="8"/>
                <w:szCs w:val="8"/>
                <w:color w:val="auto"/>
              </w:rPr>
              <w:t>3 years</w:t>
            </w:r>
          </w:p>
        </w:tc>
      </w:tr>
    </w:tbl>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Repairs and maintenance of property and equipment are expensed as incurred; enhancements and improvements that extend the life of property and equipment are capitalized into their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2.10.Intangible assets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Intangible assets consist of computer software, customer lists and goodwill.</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Computer software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101"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initial useful lives of computer software assets as estimated by management are summarized as follows:</w:t>
      </w:r>
    </w:p>
    <w:p>
      <w:pPr>
        <w:sectPr>
          <w:pgSz w:w="11900" w:h="16840" w:orient="portrait"/>
          <w:cols w:equalWidth="0" w:num="1">
            <w:col w:w="10620"/>
          </w:cols>
          <w:pgMar w:left="640" w:top="921" w:right="640" w:bottom="1440" w:gutter="0" w:footer="0" w:header="0"/>
        </w:sectPr>
      </w:pPr>
    </w:p>
    <w:p>
      <w:pPr>
        <w:spacing w:after="0" w:line="15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8"/>
          <w:szCs w:val="8"/>
          <w:b w:val="1"/>
          <w:bCs w:val="1"/>
          <w:color w:val="auto"/>
        </w:rPr>
        <w:t>Assets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b w:val="1"/>
          <w:bCs w:val="1"/>
          <w:color w:val="auto"/>
        </w:rPr>
        <w:t>Useful life</w:t>
      </w:r>
    </w:p>
    <w:p>
      <w:pPr>
        <w:spacing w:after="0" w:line="27"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8"/>
          <w:szCs w:val="8"/>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5 years</w:t>
      </w:r>
    </w:p>
    <w:p>
      <w:pPr>
        <w:spacing w:after="0" w:line="181" w:lineRule="exact"/>
        <w:rPr>
          <w:sz w:val="20"/>
          <w:szCs w:val="20"/>
          <w:color w:val="auto"/>
        </w:rPr>
      </w:pPr>
    </w:p>
    <w:p>
      <w:pPr>
        <w:sectPr>
          <w:pgSz w:w="11900" w:h="16840" w:orient="portrait"/>
          <w:cols w:equalWidth="0" w:num="2">
            <w:col w:w="6660" w:space="720"/>
            <w:col w:w="3240"/>
          </w:cols>
          <w:pgMar w:left="640" w:top="921" w:right="6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9"/>
          <w:szCs w:val="9"/>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264160</wp:posOffset>
            </wp:positionV>
            <wp:extent cx="6778625"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i w:val="1"/>
          <w:iCs w:val="1"/>
          <w:color w:val="auto"/>
        </w:rPr>
        <w:t>Internal-use software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We capitalize internal and external costs directly associated with the development of internal-use software. Maintenance and training costs, as well as costs incurred during the preliminary stage of an internal-use software development project, are expensed 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incurred.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2.11.Impairment of assets</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108" w:lineRule="exact"/>
        <w:rPr>
          <w:sz w:val="20"/>
          <w:szCs w:val="20"/>
          <w:color w:val="auto"/>
        </w:rPr>
      </w:pPr>
    </w:p>
    <w:p>
      <w:pPr>
        <w:ind w:firstLine="480"/>
        <w:spacing w:after="0" w:line="310" w:lineRule="auto"/>
        <w:rPr>
          <w:sz w:val="20"/>
          <w:szCs w:val="20"/>
          <w:color w:val="auto"/>
        </w:rPr>
      </w:pPr>
      <w:r>
        <w:rPr>
          <w:rFonts w:ascii="Times New Roman" w:cs="Times New Roman" w:eastAsia="Times New Roman" w:hAnsi="Times New Roman"/>
          <w:sz w:val="9"/>
          <w:szCs w:val="9"/>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other indicators of impairment for any of the long-lived assets as of December 31, 2023 and December 31, 2022 and the years then 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2.12.Convertible Debt</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2.13.Deferred financing costs</w:t>
      </w:r>
    </w:p>
    <w:p>
      <w:pPr>
        <w:spacing w:after="0" w:line="60"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2.14.Revenue recognition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Under ASC 606, the Company determines revenue recognition through the following steps: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contract, or contracts, with the customer;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•Identifying the performance obligations in the contract;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•Determining the transaction price;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•Allocating the transaction price to performance obligations in the contract;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•Recognizing revenue when, or as, the Company satisfies performance obligations by transferring the promised goods or services.</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Ticketing Commissions (Spain)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single source of revenue is for the commission from sales of football tickets for La Liga in Spain through our platform technology. La Liga pays a commission for each football ticket sold through our platform technology.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Revenue is recognized in accordance with ASC 606 “Revenue from Contracts with Customers” at the point in time when a football ticket is sold on our platform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2.15.Cost of revenue</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Cost of revenues consists of expenses incurred directly in relation to the earning of revenues such as partner’s fees and inventory plus the impairment of current assets (see note 2.11).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2.16.Operating segments</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2.17.Research and development credits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2.18.Share-based compensation</w:t>
      </w:r>
    </w:p>
    <w:p>
      <w:pPr>
        <w:spacing w:after="0" w:line="6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2.19.Shareholders’ deficit and reserves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Authorized and Outstanding Shares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and 2022, there were 932,969,424 and 927,806,159 common shares, and 28,039,517 Series A shares outstanding, respectively.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Employee Shares</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Shares at</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Requiring Additional</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49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Par Value</w:t>
            </w:r>
          </w:p>
        </w:tc>
        <w:tc>
          <w:tcPr>
            <w:tcW w:w="160" w:type="dxa"/>
            <w:vAlign w:val="bottom"/>
          </w:tcPr>
          <w:p>
            <w:pPr>
              <w:spacing w:after="0"/>
              <w:rPr>
                <w:sz w:val="8"/>
                <w:szCs w:val="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Paid in Capital</w:t>
            </w: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6"/>
        </w:trPr>
        <w:tc>
          <w:tcPr>
            <w:tcW w:w="49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Exercise 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£0.0001</w:t>
            </w:r>
          </w:p>
        </w:tc>
        <w:tc>
          <w:tcPr>
            <w:tcW w:w="1200" w:type="dxa"/>
            <w:vAlign w:val="bottom"/>
            <w:gridSpan w:val="2"/>
          </w:tcPr>
          <w:p>
            <w:pPr>
              <w:jc w:val="center"/>
              <w:ind w:left="134"/>
              <w:spacing w:after="0"/>
              <w:rPr>
                <w:sz w:val="20"/>
                <w:szCs w:val="20"/>
                <w:color w:val="auto"/>
              </w:rPr>
            </w:pPr>
            <w:r>
              <w:rPr>
                <w:rFonts w:ascii="Times New Roman" w:cs="Times New Roman" w:eastAsia="Times New Roman" w:hAnsi="Times New Roman"/>
                <w:sz w:val="8"/>
                <w:szCs w:val="8"/>
                <w:b w:val="1"/>
                <w:bCs w:val="1"/>
                <w:color w:val="auto"/>
                <w:w w:val="99"/>
              </w:rPr>
              <w:t>£0.016</w:t>
            </w:r>
          </w:p>
        </w:tc>
        <w:tc>
          <w:tcPr>
            <w:tcW w:w="1220" w:type="dxa"/>
            <w:vAlign w:val="bottom"/>
            <w:gridSpan w:val="2"/>
          </w:tcPr>
          <w:p>
            <w:pPr>
              <w:jc w:val="right"/>
              <w:ind w:right="431"/>
              <w:spacing w:after="0"/>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9"/>
                <w:szCs w:val="9"/>
                <w:color w:val="auto"/>
              </w:rPr>
            </w:pP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Balance as on January 1, 2022</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2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80" w:type="dxa"/>
            <w:vAlign w:val="bottom"/>
            <w:shd w:val="clear" w:color="auto" w:fill="CFF0FC"/>
          </w:tcPr>
          <w:p>
            <w:pPr>
              <w:spacing w:after="0"/>
              <w:rPr>
                <w:sz w:val="9"/>
                <w:szCs w:val="9"/>
                <w:color w:val="auto"/>
              </w:rPr>
            </w:pP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year December 31, 2022</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Forfeited during the year December 31, 2022</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As at December 31, 2022</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58,315,800</w:t>
            </w:r>
          </w:p>
        </w:tc>
        <w:tc>
          <w:tcPr>
            <w:tcW w:w="120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10,700,000</w:t>
            </w:r>
          </w:p>
        </w:tc>
        <w:tc>
          <w:tcPr>
            <w:tcW w:w="122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215,448</w:t>
            </w:r>
          </w:p>
        </w:tc>
        <w:tc>
          <w:tcPr>
            <w:tcW w:w="80" w:type="dxa"/>
            <w:vAlign w:val="bottom"/>
          </w:tcPr>
          <w:p>
            <w:pPr>
              <w:spacing w:after="0"/>
              <w:rPr>
                <w:sz w:val="9"/>
                <w:szCs w:val="9"/>
                <w:color w:val="auto"/>
              </w:rPr>
            </w:pPr>
          </w:p>
        </w:tc>
      </w:tr>
      <w:tr>
        <w:trPr>
          <w:trHeight w:val="113"/>
        </w:trPr>
        <w:tc>
          <w:tcPr>
            <w:tcW w:w="49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Issued during the year December 31, 2023</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96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Forfeited during the year December 31, 2023</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5"/>
        </w:trPr>
        <w:tc>
          <w:tcPr>
            <w:tcW w:w="496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at December 31, 2023</w:t>
            </w: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58,315,800</w:t>
            </w:r>
          </w:p>
        </w:tc>
        <w:tc>
          <w:tcPr>
            <w:tcW w:w="160" w:type="dxa"/>
            <w:vAlign w:val="bottom"/>
            <w:tcBorders>
              <w:bottom w:val="single" w:sz="8" w:color="CFF0FC"/>
            </w:tcBorders>
            <w:shd w:val="clear" w:color="auto" w:fill="CFF0FC"/>
          </w:tcPr>
          <w:p>
            <w:pPr>
              <w:spacing w:after="0"/>
              <w:rPr>
                <w:sz w:val="10"/>
                <w:szCs w:val="10"/>
                <w:color w:val="auto"/>
              </w:rPr>
            </w:pP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10,700,000</w:t>
            </w:r>
          </w:p>
        </w:tc>
        <w:tc>
          <w:tcPr>
            <w:tcW w:w="16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215,448</w:t>
            </w:r>
          </w:p>
        </w:tc>
        <w:tc>
          <w:tcPr>
            <w:tcW w:w="8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05"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2.20.Restatement of error in previously filed consolidated combined carve-out financial statements:</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16"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9"/>
          <w:szCs w:val="9"/>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12"/>
          <w:szCs w:val="12"/>
          <w:color w:val="auto"/>
          <w:vertAlign w:val="superscript"/>
        </w:rPr>
        <w:t>th</w:t>
      </w:r>
      <w:r>
        <w:rPr>
          <w:rFonts w:ascii="Times New Roman" w:cs="Times New Roman" w:eastAsia="Times New Roman" w:hAnsi="Times New Roman"/>
          <w:sz w:val="9"/>
          <w:szCs w:val="9"/>
          <w:color w:val="auto"/>
        </w:rPr>
        <w:t xml:space="preserve"> , 2022 at which point all of the outstanding shares of ANY were transferred from the Radio Group to the Company. On December 28, 2022 the legal ownership of ANY reverted back to the sellers of ANY, the consideration shares were reverted back</w:t>
      </w:r>
    </w:p>
    <w:p>
      <w:pPr>
        <w:spacing w:after="0" w:line="1" w:lineRule="exact"/>
        <w:rPr>
          <w:sz w:val="20"/>
          <w:szCs w:val="20"/>
          <w:color w:val="auto"/>
        </w:rPr>
      </w:pPr>
    </w:p>
    <w:p>
      <w:pPr>
        <w:ind w:right="200"/>
        <w:spacing w:after="0" w:line="216" w:lineRule="auto"/>
        <w:rPr>
          <w:sz w:val="20"/>
          <w:szCs w:val="20"/>
          <w:color w:val="auto"/>
        </w:rPr>
      </w:pPr>
      <w:r>
        <w:rPr>
          <w:rFonts w:ascii="Times New Roman" w:cs="Times New Roman" w:eastAsia="Times New Roman" w:hAnsi="Times New Roman"/>
          <w:sz w:val="10"/>
          <w:szCs w:val="10"/>
          <w:color w:val="auto"/>
        </w:rPr>
        <w:t>to Rezolve. On April 13</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investment in ANY of $14,600,000 plus loans to ANY of $222,022 was impaired as the Company abandoned its plans to complete the acquisition of ANY.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4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840" w:type="dxa"/>
            <w:vAlign w:val="bottom"/>
          </w:tcPr>
          <w:p>
            <w:pPr>
              <w:spacing w:after="0"/>
              <w:rPr>
                <w:sz w:val="8"/>
                <w:szCs w:val="8"/>
                <w:color w:val="auto"/>
              </w:rPr>
            </w:pPr>
          </w:p>
        </w:tc>
        <w:tc>
          <w:tcPr>
            <w:tcW w:w="1540" w:type="dxa"/>
            <w:vAlign w:val="bottom"/>
          </w:tcPr>
          <w:p>
            <w:pPr>
              <w:jc w:val="right"/>
              <w:ind w:right="51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4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920" w:type="dxa"/>
            <w:vAlign w:val="bottom"/>
          </w:tcPr>
          <w:p>
            <w:pPr>
              <w:ind w:left="260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840" w:type="dxa"/>
            <w:vAlign w:val="bottom"/>
          </w:tcPr>
          <w:p>
            <w:pPr>
              <w:spacing w:after="0"/>
              <w:rPr>
                <w:sz w:val="9"/>
                <w:szCs w:val="9"/>
                <w:color w:val="auto"/>
              </w:rPr>
            </w:pP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41,709</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(2,329 )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39,380</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receivable</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74,748</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(65,893 )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8,855</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Receivables from related party</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607,726</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(607,726 )</w:t>
            </w: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1,202,572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(163,312 )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1,039,260</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1,926,755</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(839,260 )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1,087,495</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assets</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Property and equipment, net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139,560</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(28,562 )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110,998</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Goodwill</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1,061,763</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(1,061,763 )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Intangible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6,237,443</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(5,786,997 )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450,446</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7,438,766</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(6,877,322 )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561,444</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9,365,521</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(7,716,582 )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1,648,939</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Short term debt to related party</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697,067</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4,262,476</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(533,502 )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3,728,974</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Due to related party</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225,120</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396,671</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621,791</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Accrued expenses and other payables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3,488,909</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(848,525 )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2,640,384</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8,673,572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(985,356 )</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(7,688,216 )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25,302,709</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1,177,616</w:t>
            </w:r>
          </w:p>
        </w:tc>
        <w:tc>
          <w:tcPr>
            <w:tcW w:w="84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1,177,617</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Deferred tax liability</w:t>
            </w:r>
          </w:p>
        </w:tc>
        <w:tc>
          <w:tcPr>
            <w:tcW w:w="2920" w:type="dxa"/>
            <w:vAlign w:val="bottom"/>
          </w:tcPr>
          <w:p>
            <w:pPr>
              <w:spacing w:after="0"/>
              <w:rPr>
                <w:sz w:val="9"/>
                <w:szCs w:val="9"/>
                <w:color w:val="auto"/>
              </w:rPr>
            </w:pPr>
          </w:p>
        </w:tc>
        <w:tc>
          <w:tcPr>
            <w:tcW w:w="1880" w:type="dxa"/>
            <w:vAlign w:val="bottom"/>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1,526,622</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(1,526,622 )</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b w:val="1"/>
                <w:bCs w:val="1"/>
                <w:color w:val="auto"/>
              </w:rPr>
              <w:t>28,006,947</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(1,526,622 )</w:t>
            </w:r>
          </w:p>
        </w:tc>
        <w:tc>
          <w:tcPr>
            <w:tcW w:w="15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26,480,326</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(36,680,519 )</w:t>
            </w:r>
          </w:p>
        </w:tc>
        <w:tc>
          <w:tcPr>
            <w:tcW w:w="84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(2,511,978 )</w:t>
            </w:r>
          </w:p>
        </w:tc>
        <w:tc>
          <w:tcPr>
            <w:tcW w:w="15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34,168,542</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Liabilities and Shareholder’s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540" w:type="dxa"/>
            <w:vAlign w:val="bottom"/>
            <w:shd w:val="clear" w:color="auto" w:fill="CFF0FC"/>
          </w:tcPr>
          <w:p>
            <w:pPr>
              <w:spacing w:after="0"/>
              <w:rPr>
                <w:sz w:val="9"/>
                <w:szCs w:val="9"/>
                <w:color w:val="auto"/>
              </w:rPr>
            </w:pP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Ordinary shares</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126,677</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126,677</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(1,993 )</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Series A shares</w:t>
            </w:r>
          </w:p>
        </w:tc>
        <w:tc>
          <w:tcPr>
            <w:tcW w:w="2920" w:type="dxa"/>
            <w:vAlign w:val="bottom"/>
          </w:tcPr>
          <w:p>
            <w:pPr>
              <w:spacing w:after="0"/>
              <w:rPr>
                <w:sz w:val="9"/>
                <w:szCs w:val="9"/>
                <w:color w:val="auto"/>
              </w:rPr>
            </w:pPr>
          </w:p>
        </w:tc>
        <w:tc>
          <w:tcPr>
            <w:tcW w:w="188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3,868</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3,868</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252"/>
              <w:spacing w:after="0" w:line="113" w:lineRule="exact"/>
              <w:rPr>
                <w:sz w:val="20"/>
                <w:szCs w:val="20"/>
                <w:color w:val="auto"/>
              </w:rPr>
            </w:pPr>
            <w:r>
              <w:rPr>
                <w:rFonts w:ascii="Times New Roman" w:cs="Times New Roman" w:eastAsia="Times New Roman" w:hAnsi="Times New Roman"/>
                <w:sz w:val="10"/>
                <w:szCs w:val="10"/>
                <w:color w:val="auto"/>
              </w:rPr>
              <w:t>163,163,090</w:t>
            </w:r>
          </w:p>
        </w:tc>
        <w:tc>
          <w:tcPr>
            <w:tcW w:w="840" w:type="dxa"/>
            <w:vAlign w:val="bottom"/>
            <w:shd w:val="clear" w:color="auto" w:fill="CFF0FC"/>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15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163,165,083</w:t>
            </w:r>
          </w:p>
        </w:tc>
      </w:tr>
      <w:tr>
        <w:trPr>
          <w:trHeight w:val="113"/>
        </w:trPr>
        <w:tc>
          <w:tcPr>
            <w:tcW w:w="344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Share subscription receivable</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(178,720 )</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(178,720 )</w:t>
            </w:r>
          </w:p>
        </w:tc>
      </w:tr>
      <w:tr>
        <w:trPr>
          <w:trHeight w:val="113"/>
        </w:trPr>
        <w:tc>
          <w:tcPr>
            <w:tcW w:w="344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(189,171,542 )</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(6,383,790 )</w:t>
            </w:r>
          </w:p>
        </w:tc>
        <w:tc>
          <w:tcPr>
            <w:tcW w:w="15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(195,555,332 )</w:t>
            </w:r>
          </w:p>
        </w:tc>
      </w:tr>
      <w:tr>
        <w:trPr>
          <w:trHeight w:val="113"/>
        </w:trPr>
        <w:tc>
          <w:tcPr>
            <w:tcW w:w="3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2920" w:type="dxa"/>
            <w:vAlign w:val="bottom"/>
          </w:tcPr>
          <w:p>
            <w:pPr>
              <w:spacing w:after="0"/>
              <w:rPr>
                <w:sz w:val="9"/>
                <w:szCs w:val="9"/>
                <w:color w:val="auto"/>
              </w:rPr>
            </w:pPr>
          </w:p>
        </w:tc>
        <w:tc>
          <w:tcPr>
            <w:tcW w:w="188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(1,260,364 )</w:t>
            </w:r>
          </w:p>
        </w:tc>
        <w:tc>
          <w:tcPr>
            <w:tcW w:w="840" w:type="dxa"/>
            <w:vAlign w:val="bottom"/>
          </w:tcPr>
          <w:p>
            <w:pPr>
              <w:jc w:val="right"/>
              <w:ind w:right="311"/>
              <w:spacing w:after="0" w:line="113" w:lineRule="exact"/>
              <w:rPr>
                <w:sz w:val="20"/>
                <w:szCs w:val="20"/>
                <w:color w:val="auto"/>
              </w:rPr>
            </w:pPr>
            <w:r>
              <w:rPr>
                <w:rFonts w:ascii="Times New Roman" w:cs="Times New Roman" w:eastAsia="Times New Roman" w:hAnsi="Times New Roman"/>
                <w:sz w:val="10"/>
                <w:szCs w:val="10"/>
                <w:color w:val="auto"/>
              </w:rPr>
              <w:t>1,179,185</w:t>
            </w:r>
          </w:p>
        </w:tc>
        <w:tc>
          <w:tcPr>
            <w:tcW w:w="15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(81,179 )</w:t>
            </w:r>
          </w:p>
        </w:tc>
      </w:tr>
      <w:tr>
        <w:trPr>
          <w:trHeight w:val="113"/>
        </w:trPr>
        <w:tc>
          <w:tcPr>
            <w:tcW w:w="3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shareholders’ deficit</w:t>
            </w:r>
          </w:p>
        </w:tc>
        <w:tc>
          <w:tcPr>
            <w:tcW w:w="2920" w:type="dxa"/>
            <w:vAlign w:val="bottom"/>
            <w:shd w:val="clear" w:color="auto" w:fill="CFF0FC"/>
          </w:tcPr>
          <w:p>
            <w:pPr>
              <w:spacing w:after="0"/>
              <w:rPr>
                <w:sz w:val="9"/>
                <w:szCs w:val="9"/>
                <w:color w:val="auto"/>
              </w:rPr>
            </w:pPr>
          </w:p>
        </w:tc>
        <w:tc>
          <w:tcPr>
            <w:tcW w:w="188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(27,314,998 )</w:t>
            </w:r>
          </w:p>
        </w:tc>
        <w:tc>
          <w:tcPr>
            <w:tcW w:w="84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b w:val="1"/>
                <w:bCs w:val="1"/>
                <w:color w:val="auto"/>
              </w:rPr>
              <w:t>(5,204,605 )</w:t>
            </w:r>
          </w:p>
        </w:tc>
        <w:tc>
          <w:tcPr>
            <w:tcW w:w="15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(32,519,603 )</w:t>
            </w:r>
          </w:p>
        </w:tc>
      </w:tr>
      <w:tr>
        <w:trPr>
          <w:trHeight w:val="127"/>
        </w:trPr>
        <w:tc>
          <w:tcPr>
            <w:tcW w:w="34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shareholders’ deficit</w:t>
            </w:r>
          </w:p>
        </w:tc>
        <w:tc>
          <w:tcPr>
            <w:tcW w:w="2920" w:type="dxa"/>
            <w:vAlign w:val="bottom"/>
          </w:tcPr>
          <w:p>
            <w:pPr>
              <w:spacing w:after="0"/>
              <w:rPr>
                <w:sz w:val="11"/>
                <w:szCs w:val="11"/>
                <w:color w:val="auto"/>
              </w:rPr>
            </w:pPr>
          </w:p>
        </w:tc>
        <w:tc>
          <w:tcPr>
            <w:tcW w:w="1880" w:type="dxa"/>
            <w:vAlign w:val="bottom"/>
          </w:tcPr>
          <w:p>
            <w:pPr>
              <w:jc w:val="right"/>
              <w:ind w:right="1252"/>
              <w:spacing w:after="0"/>
              <w:rPr>
                <w:sz w:val="20"/>
                <w:szCs w:val="20"/>
                <w:color w:val="auto"/>
              </w:rPr>
            </w:pPr>
            <w:r>
              <w:rPr>
                <w:rFonts w:ascii="Times New Roman" w:cs="Times New Roman" w:eastAsia="Times New Roman" w:hAnsi="Times New Roman"/>
                <w:sz w:val="10"/>
                <w:szCs w:val="10"/>
                <w:b w:val="1"/>
                <w:bCs w:val="1"/>
                <w:color w:val="auto"/>
              </w:rPr>
              <w:t>9,365,521</w:t>
            </w: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(7,716,583 )</w:t>
            </w: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1,648,939</w:t>
            </w:r>
          </w:p>
        </w:tc>
      </w:tr>
      <w:tr>
        <w:trPr>
          <w:trHeight w:val="276"/>
        </w:trPr>
        <w:tc>
          <w:tcPr>
            <w:tcW w:w="3440" w:type="dxa"/>
            <w:vAlign w:val="bottom"/>
          </w:tcPr>
          <w:p>
            <w:pPr>
              <w:spacing w:after="0"/>
              <w:rPr>
                <w:sz w:val="24"/>
                <w:szCs w:val="24"/>
                <w:color w:val="auto"/>
              </w:rPr>
            </w:pPr>
          </w:p>
        </w:tc>
        <w:tc>
          <w:tcPr>
            <w:tcW w:w="2920" w:type="dxa"/>
            <w:vAlign w:val="bottom"/>
          </w:tcPr>
          <w:p>
            <w:pPr>
              <w:ind w:left="1780"/>
              <w:spacing w:after="0"/>
              <w:rPr>
                <w:sz w:val="20"/>
                <w:szCs w:val="20"/>
                <w:color w:val="auto"/>
              </w:rPr>
            </w:pPr>
            <w:r>
              <w:rPr>
                <w:rFonts w:ascii="Times New Roman" w:cs="Times New Roman" w:eastAsia="Times New Roman" w:hAnsi="Times New Roman"/>
                <w:sz w:val="10"/>
                <w:szCs w:val="10"/>
                <w:color w:val="auto"/>
              </w:rPr>
              <w:t>F-40</w:t>
            </w: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2"/>
        </w:trPr>
        <w:tc>
          <w:tcPr>
            <w:tcW w:w="3440" w:type="dxa"/>
            <w:vAlign w:val="bottom"/>
            <w:tcBorders>
              <w:bottom w:val="single" w:sz="8" w:color="EEEEEE"/>
            </w:tcBorders>
          </w:tcPr>
          <w:p>
            <w:pPr>
              <w:spacing w:after="0"/>
              <w:rPr>
                <w:sz w:val="24"/>
                <w:szCs w:val="24"/>
                <w:color w:val="auto"/>
              </w:rPr>
            </w:pPr>
          </w:p>
        </w:tc>
        <w:tc>
          <w:tcPr>
            <w:tcW w:w="292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15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37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37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financial statements</w:t>
            </w:r>
          </w:p>
        </w:tc>
        <w:tc>
          <w:tcPr>
            <w:tcW w:w="26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740" w:type="dxa"/>
            <w:vAlign w:val="bottom"/>
          </w:tcPr>
          <w:p>
            <w:pPr>
              <w:spacing w:after="0"/>
              <w:rPr>
                <w:sz w:val="9"/>
                <w:szCs w:val="9"/>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Revenue</w:t>
            </w:r>
          </w:p>
        </w:tc>
        <w:tc>
          <w:tcPr>
            <w:tcW w:w="2680" w:type="dxa"/>
            <w:vAlign w:val="bottom"/>
            <w:shd w:val="clear" w:color="auto" w:fill="CFF0FC"/>
          </w:tcPr>
          <w:p>
            <w:pPr>
              <w:jc w:val="right"/>
              <w:ind w:right="8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11,879,343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95"/>
              </w:rPr>
              <w:t>(11,764,184 )</w:t>
            </w:r>
          </w:p>
        </w:tc>
        <w:tc>
          <w:tcPr>
            <w:tcW w:w="3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115,159</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expenses</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Cost of revenue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5,604,129</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(4,859,089 )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745,040</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Sales and marketing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6,827,211</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(2,488,654 )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4,338,557</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General and administrative expenses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91,604,396</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(4,963,896 )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86,640,500</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Other operating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1120" w:type="dxa"/>
            <w:vAlign w:val="bottom"/>
          </w:tcPr>
          <w:p>
            <w:pPr>
              <w:spacing w:after="0"/>
              <w:rPr>
                <w:sz w:val="9"/>
                <w:szCs w:val="9"/>
                <w:color w:val="auto"/>
              </w:rPr>
            </w:pP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Depreciation and amortization expenses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742,113</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(506,316 )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235,797</w:t>
            </w:r>
          </w:p>
        </w:tc>
      </w:tr>
      <w:tr>
        <w:trPr>
          <w:trHeight w:val="113"/>
        </w:trPr>
        <w:tc>
          <w:tcPr>
            <w:tcW w:w="3700" w:type="dxa"/>
            <w:vAlign w:val="bottom"/>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14,822,022</w:t>
            </w:r>
          </w:p>
        </w:tc>
        <w:tc>
          <w:tcPr>
            <w:tcW w:w="38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14,822,022</w:t>
            </w:r>
          </w:p>
        </w:tc>
      </w:tr>
      <w:tr>
        <w:trPr>
          <w:trHeight w:val="113"/>
        </w:trPr>
        <w:tc>
          <w:tcPr>
            <w:tcW w:w="370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7,418,302</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(7,373,864 )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112,531,103</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(5,369,797 )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107,161,306</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Operating loss</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(100,651,760 )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(6,394,387 )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(107,046,147 )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expenses</w:t>
            </w:r>
          </w:p>
        </w:tc>
        <w:tc>
          <w:tcPr>
            <w:tcW w:w="2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(3,884,698 )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(3,884,695 )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Other non-operating income (expense), net</w:t>
            </w:r>
          </w:p>
        </w:tc>
        <w:tc>
          <w:tcPr>
            <w:tcW w:w="2680" w:type="dxa"/>
            <w:vAlign w:val="bottom"/>
          </w:tcPr>
          <w:p>
            <w:pPr>
              <w:spacing w:after="0"/>
              <w:rPr>
                <w:sz w:val="9"/>
                <w:szCs w:val="9"/>
                <w:color w:val="auto"/>
              </w:rPr>
            </w:pPr>
          </w:p>
        </w:tc>
        <w:tc>
          <w:tcPr>
            <w:tcW w:w="74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315,574</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(58,915 )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256,659</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expenses, net</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(3,569,124 )</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(58,912 )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(3,628,036 )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before taxes</w:t>
            </w:r>
          </w:p>
        </w:tc>
        <w:tc>
          <w:tcPr>
            <w:tcW w:w="2680" w:type="dxa"/>
            <w:vAlign w:val="bottom"/>
          </w:tcPr>
          <w:p>
            <w:pPr>
              <w:spacing w:after="0"/>
              <w:rPr>
                <w:sz w:val="9"/>
                <w:szCs w:val="9"/>
                <w:color w:val="auto"/>
              </w:rPr>
            </w:pPr>
          </w:p>
        </w:tc>
        <w:tc>
          <w:tcPr>
            <w:tcW w:w="74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(104,220,884 )</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(31,521,733 )</w:t>
            </w:r>
          </w:p>
        </w:tc>
        <w:tc>
          <w:tcPr>
            <w:tcW w:w="38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(110,674,183 )</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expense</w:t>
            </w:r>
          </w:p>
        </w:tc>
        <w:tc>
          <w:tcPr>
            <w:tcW w:w="2680" w:type="dxa"/>
            <w:vAlign w:val="bottom"/>
            <w:shd w:val="clear" w:color="auto" w:fill="CFF0FC"/>
          </w:tcPr>
          <w:p>
            <w:pPr>
              <w:spacing w:after="0"/>
              <w:rPr>
                <w:sz w:val="9"/>
                <w:szCs w:val="9"/>
                <w:color w:val="auto"/>
              </w:rPr>
            </w:pPr>
          </w:p>
        </w:tc>
        <w:tc>
          <w:tcPr>
            <w:tcW w:w="74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115,447</w:t>
            </w:r>
          </w:p>
        </w:tc>
        <w:tc>
          <w:tcPr>
            <w:tcW w:w="1120" w:type="dxa"/>
            <w:vAlign w:val="bottom"/>
            <w:shd w:val="clear" w:color="auto" w:fill="CFF0FC"/>
          </w:tcPr>
          <w:p>
            <w:pPr>
              <w:spacing w:after="0"/>
              <w:rPr>
                <w:sz w:val="9"/>
                <w:szCs w:val="9"/>
                <w:color w:val="auto"/>
              </w:rPr>
            </w:pP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(63,408 )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(38,765 )</w:t>
            </w:r>
          </w:p>
        </w:tc>
      </w:tr>
      <w:tr>
        <w:trPr>
          <w:trHeight w:val="113"/>
        </w:trPr>
        <w:tc>
          <w:tcPr>
            <w:tcW w:w="37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for the year</w:t>
            </w:r>
          </w:p>
        </w:tc>
        <w:tc>
          <w:tcPr>
            <w:tcW w:w="2680" w:type="dxa"/>
            <w:vAlign w:val="bottom"/>
          </w:tcPr>
          <w:p>
            <w:pPr>
              <w:spacing w:after="0"/>
              <w:rPr>
                <w:sz w:val="9"/>
                <w:szCs w:val="9"/>
                <w:color w:val="auto"/>
              </w:rPr>
            </w:pPr>
          </w:p>
        </w:tc>
        <w:tc>
          <w:tcPr>
            <w:tcW w:w="74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(104,105,437 )</w:t>
            </w:r>
          </w:p>
        </w:tc>
        <w:tc>
          <w:tcPr>
            <w:tcW w:w="1120" w:type="dxa"/>
            <w:vAlign w:val="bottom"/>
          </w:tcPr>
          <w:p>
            <w:pPr>
              <w:spacing w:after="0"/>
              <w:rPr>
                <w:sz w:val="9"/>
                <w:szCs w:val="9"/>
                <w:color w:val="auto"/>
              </w:rPr>
            </w:pP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95"/>
              </w:rPr>
              <w:t>(31,585,141 )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(110,712,948 )</w:t>
            </w:r>
          </w:p>
        </w:tc>
      </w:tr>
      <w:tr>
        <w:trPr>
          <w:trHeight w:val="113"/>
        </w:trPr>
        <w:tc>
          <w:tcPr>
            <w:tcW w:w="37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loss per share – Basic and diluted</w:t>
            </w:r>
          </w:p>
        </w:tc>
        <w:tc>
          <w:tcPr>
            <w:tcW w:w="2680" w:type="dxa"/>
            <w:vAlign w:val="bottom"/>
            <w:shd w:val="clear" w:color="auto" w:fill="CFF0FC"/>
          </w:tcPr>
          <w:p>
            <w:pPr>
              <w:jc w:val="right"/>
              <w:ind w:right="8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(0.11 )</w:t>
            </w:r>
          </w:p>
        </w:tc>
        <w:tc>
          <w:tcPr>
            <w:tcW w:w="1120" w:type="dxa"/>
            <w:vAlign w:val="bottom"/>
            <w:shd w:val="clear" w:color="auto" w:fill="CFF0FC"/>
          </w:tcPr>
          <w:p>
            <w:pPr>
              <w:jc w:val="right"/>
              <w:ind w:right="916"/>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(0.01 )</w:t>
            </w:r>
          </w:p>
        </w:tc>
        <w:tc>
          <w:tcPr>
            <w:tcW w:w="3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(0.12 )</w:t>
            </w:r>
          </w:p>
        </w:tc>
      </w:tr>
      <w:tr>
        <w:trPr>
          <w:trHeight w:val="125"/>
        </w:trPr>
        <w:tc>
          <w:tcPr>
            <w:tcW w:w="3700" w:type="dxa"/>
            <w:vAlign w:val="bottom"/>
          </w:tcPr>
          <w:p>
            <w:pPr>
              <w:spacing w:after="0"/>
              <w:rPr>
                <w:sz w:val="20"/>
                <w:szCs w:val="20"/>
                <w:color w:val="auto"/>
              </w:rPr>
            </w:pPr>
            <w:r>
              <w:rPr>
                <w:rFonts w:ascii="Times New Roman" w:cs="Times New Roman" w:eastAsia="Times New Roman" w:hAnsi="Times New Roman"/>
                <w:sz w:val="10"/>
                <w:szCs w:val="10"/>
                <w:color w:val="auto"/>
              </w:rPr>
              <w:t>Weighted average number of shares – Basic and diluted</w:t>
            </w:r>
          </w:p>
        </w:tc>
        <w:tc>
          <w:tcPr>
            <w:tcW w:w="2680" w:type="dxa"/>
            <w:vAlign w:val="bottom"/>
          </w:tcPr>
          <w:p>
            <w:pPr>
              <w:spacing w:after="0"/>
              <w:rPr>
                <w:sz w:val="10"/>
                <w:szCs w:val="1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913,109,577</w:t>
            </w:r>
          </w:p>
        </w:tc>
        <w:tc>
          <w:tcPr>
            <w:tcW w:w="1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913,109,577</w:t>
            </w:r>
          </w:p>
        </w:tc>
      </w:tr>
      <w:tr>
        <w:trPr>
          <w:trHeight w:val="278"/>
        </w:trPr>
        <w:tc>
          <w:tcPr>
            <w:tcW w:w="3700" w:type="dxa"/>
            <w:vAlign w:val="bottom"/>
          </w:tcPr>
          <w:p>
            <w:pPr>
              <w:spacing w:after="0"/>
              <w:rPr>
                <w:sz w:val="24"/>
                <w:szCs w:val="24"/>
                <w:color w:val="auto"/>
              </w:rPr>
            </w:pPr>
          </w:p>
        </w:tc>
        <w:tc>
          <w:tcPr>
            <w:tcW w:w="2680" w:type="dxa"/>
            <w:vAlign w:val="bottom"/>
          </w:tcPr>
          <w:p>
            <w:pPr>
              <w:jc w:val="right"/>
              <w:ind w:right="933"/>
              <w:spacing w:after="0"/>
              <w:rPr>
                <w:sz w:val="20"/>
                <w:szCs w:val="20"/>
                <w:color w:val="auto"/>
              </w:rPr>
            </w:pPr>
            <w:r>
              <w:rPr>
                <w:rFonts w:ascii="Times New Roman" w:cs="Times New Roman" w:eastAsia="Times New Roman" w:hAnsi="Times New Roman"/>
                <w:sz w:val="10"/>
                <w:szCs w:val="10"/>
                <w:color w:val="auto"/>
              </w:rPr>
              <w:t>F-41</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2"/>
        </w:trPr>
        <w:tc>
          <w:tcPr>
            <w:tcW w:w="3700" w:type="dxa"/>
            <w:vAlign w:val="bottom"/>
            <w:tcBorders>
              <w:bottom w:val="single" w:sz="8" w:color="EEEEEE"/>
            </w:tcBorders>
          </w:tcPr>
          <w:p>
            <w:pPr>
              <w:spacing w:after="0"/>
              <w:rPr>
                <w:sz w:val="24"/>
                <w:szCs w:val="24"/>
                <w:color w:val="auto"/>
              </w:rPr>
            </w:pPr>
          </w:p>
        </w:tc>
        <w:tc>
          <w:tcPr>
            <w:tcW w:w="268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98"/>
        </w:trPr>
        <w:tc>
          <w:tcPr>
            <w:tcW w:w="41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w w:val="99"/>
              </w:rPr>
              <w:t>2022</w:t>
            </w:r>
          </w:p>
        </w:tc>
      </w:tr>
      <w:tr>
        <w:trPr>
          <w:trHeight w:val="106"/>
        </w:trPr>
        <w:tc>
          <w:tcPr>
            <w:tcW w:w="41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statement of cash flows</w:t>
            </w:r>
          </w:p>
        </w:tc>
        <w:tc>
          <w:tcPr>
            <w:tcW w:w="2260" w:type="dxa"/>
            <w:vAlign w:val="bottom"/>
          </w:tcPr>
          <w:p>
            <w:pPr>
              <w:ind w:left="192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860" w:type="dxa"/>
            <w:vAlign w:val="bottom"/>
          </w:tcPr>
          <w:p>
            <w:pPr>
              <w:ind w:left="136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jc w:val="center"/>
              <w:ind w:right="33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(104,105,438 )</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(6,607,510 )</w:t>
            </w:r>
          </w:p>
        </w:tc>
        <w:tc>
          <w:tcPr>
            <w:tcW w:w="3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04"/>
        </w:trPr>
        <w:tc>
          <w:tcPr>
            <w:tcW w:w="412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Adjustments to reconcile net loss to net cash (used in)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21"/>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226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742,113</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(497,905 )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244,208</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Unrealized foreign exchange (gain)/loss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(277,838 )</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(277,838 )</w:t>
            </w:r>
          </w:p>
        </w:tc>
      </w:tr>
      <w:tr>
        <w:trPr>
          <w:trHeight w:val="106"/>
        </w:trPr>
        <w:tc>
          <w:tcPr>
            <w:tcW w:w="412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Share based compensation issued to related parties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9"/>
        </w:trPr>
        <w:tc>
          <w:tcPr>
            <w:tcW w:w="41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for consultancy services</w:t>
            </w:r>
          </w:p>
        </w:tc>
        <w:tc>
          <w:tcPr>
            <w:tcW w:w="2260" w:type="dxa"/>
            <w:vAlign w:val="bottom"/>
          </w:tcPr>
          <w:p>
            <w:pPr>
              <w:spacing w:after="0"/>
              <w:rPr>
                <w:sz w:val="10"/>
                <w:szCs w:val="10"/>
                <w:color w:val="auto"/>
              </w:rPr>
            </w:pPr>
          </w:p>
        </w:tc>
        <w:tc>
          <w:tcPr>
            <w:tcW w:w="1860" w:type="dxa"/>
            <w:vAlign w:val="bottom"/>
          </w:tcPr>
          <w:p>
            <w:pPr>
              <w:jc w:val="right"/>
              <w:ind w:right="1232"/>
              <w:spacing w:after="0"/>
              <w:rPr>
                <w:sz w:val="20"/>
                <w:szCs w:val="20"/>
                <w:color w:val="auto"/>
              </w:rPr>
            </w:pPr>
            <w:r>
              <w:rPr>
                <w:rFonts w:ascii="Times New Roman" w:cs="Times New Roman" w:eastAsia="Times New Roman" w:hAnsi="Times New Roman"/>
                <w:sz w:val="10"/>
                <w:szCs w:val="10"/>
                <w:color w:val="auto"/>
              </w:rPr>
              <w:t>39,501,701</w:t>
            </w: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39,501,701</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Share based compensation for consultancy services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18,417,816</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Employee share based compensation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2,115,015</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2,115,015</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ROU asset, net of lease termination</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46,236</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46,236</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prepayments and other current assets</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731,940</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731,940</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accounts receivable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334,952</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334,952</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Impairment of goodwill</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7,418,302</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(7,373,864 )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44,438</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Impairment of investment in ANY</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14,600,000</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14,600,000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Deferred tax benefit</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(243,835 )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243,835</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3,884,695</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3,884,695</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Changes in operating assets and liabilities: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Decrease/(increase) in accounts receivable</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646,661</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65,893</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712,554</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in prepayment and other current assets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(215,468 )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158,945</w:t>
            </w:r>
          </w:p>
        </w:tc>
        <w:tc>
          <w:tcPr>
            <w:tcW w:w="380" w:type="dxa"/>
            <w:vAlign w:val="bottom"/>
          </w:tcPr>
          <w:p>
            <w:pPr>
              <w:spacing w:after="0"/>
              <w:rPr>
                <w:sz w:val="9"/>
                <w:szCs w:val="9"/>
                <w:color w:val="auto"/>
              </w:rPr>
            </w:pPr>
          </w:p>
        </w:tc>
        <w:tc>
          <w:tcPr>
            <w:tcW w:w="134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(56,523 )</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(Decrease) in operating lease liability</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(46,236 )</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(46,236 )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Decrease in receivable with related parties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(245,266 )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414,020</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168,754</w:t>
            </w:r>
          </w:p>
        </w:tc>
      </w:tr>
      <w:tr>
        <w:trPr>
          <w:trHeight w:val="106"/>
        </w:trPr>
        <w:tc>
          <w:tcPr>
            <w:tcW w:w="412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Increase in accounts payable, accrued expenses and</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r>
      <w:tr>
        <w:trPr>
          <w:trHeight w:val="119"/>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other payables</w:t>
            </w:r>
          </w:p>
        </w:tc>
        <w:tc>
          <w:tcPr>
            <w:tcW w:w="2260" w:type="dxa"/>
            <w:vAlign w:val="bottom"/>
            <w:shd w:val="clear" w:color="auto" w:fill="CFF0FC"/>
          </w:tcPr>
          <w:p>
            <w:pPr>
              <w:spacing w:after="0"/>
              <w:rPr>
                <w:sz w:val="10"/>
                <w:szCs w:val="10"/>
                <w:color w:val="auto"/>
              </w:rPr>
            </w:pPr>
          </w:p>
        </w:tc>
        <w:tc>
          <w:tcPr>
            <w:tcW w:w="1860" w:type="dxa"/>
            <w:vAlign w:val="bottom"/>
            <w:shd w:val="clear" w:color="auto" w:fill="CFF0FC"/>
          </w:tcPr>
          <w:p>
            <w:pPr>
              <w:jc w:val="right"/>
              <w:ind w:right="1232"/>
              <w:spacing w:after="0"/>
              <w:rPr>
                <w:sz w:val="20"/>
                <w:szCs w:val="20"/>
                <w:color w:val="auto"/>
              </w:rPr>
            </w:pPr>
            <w:r>
              <w:rPr>
                <w:rFonts w:ascii="Times New Roman" w:cs="Times New Roman" w:eastAsia="Times New Roman" w:hAnsi="Times New Roman"/>
                <w:sz w:val="10"/>
                <w:szCs w:val="10"/>
                <w:color w:val="auto"/>
              </w:rPr>
              <w:t>4,766,607</w:t>
            </w:r>
          </w:p>
        </w:tc>
        <w:tc>
          <w:tcPr>
            <w:tcW w:w="6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color w:val="auto"/>
              </w:rPr>
              <w:t>(1,426,068 )</w:t>
            </w:r>
          </w:p>
        </w:tc>
        <w:tc>
          <w:tcPr>
            <w:tcW w:w="380" w:type="dxa"/>
            <w:vAlign w:val="bottom"/>
            <w:shd w:val="clear" w:color="auto" w:fill="CFF0FC"/>
          </w:tcPr>
          <w:p>
            <w:pPr>
              <w:spacing w:after="0"/>
              <w:rPr>
                <w:sz w:val="10"/>
                <w:szCs w:val="10"/>
                <w:color w:val="auto"/>
              </w:rPr>
            </w:pPr>
          </w:p>
        </w:tc>
        <w:tc>
          <w:tcPr>
            <w:tcW w:w="13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3,340,539</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Increase (decrease) in payables to related parties</w:t>
            </w:r>
          </w:p>
        </w:tc>
        <w:tc>
          <w:tcPr>
            <w:tcW w:w="2260" w:type="dxa"/>
            <w:vAlign w:val="bottom"/>
          </w:tcPr>
          <w:p>
            <w:pPr>
              <w:spacing w:after="0"/>
              <w:rPr>
                <w:sz w:val="9"/>
                <w:szCs w:val="9"/>
                <w:color w:val="auto"/>
              </w:rPr>
            </w:pPr>
          </w:p>
        </w:tc>
        <w:tc>
          <w:tcPr>
            <w:tcW w:w="1860" w:type="dxa"/>
            <w:vAlign w:val="bottom"/>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(234,880 )</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396,671</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161,791</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(26,762,923 )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(25,983 )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(26,788,906 )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color w:val="auto"/>
              </w:rPr>
              <w:t>(25,973 )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(14,376 )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(36,854 )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Development of intangible assets</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(1,767,148 )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(25,973 )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(1,781,524 )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(36,854 )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2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ordinary shares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2,499,920</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2,499,920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long-term debt obligation</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21,500,000</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9"/>
                <w:szCs w:val="9"/>
                <w:color w:val="auto"/>
              </w:rPr>
            </w:pPr>
          </w:p>
        </w:tc>
        <w:tc>
          <w:tcPr>
            <w:tcW w:w="134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21,500,000</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flow generated from financing activities</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c>
          <w:tcPr>
            <w:tcW w:w="66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b w:val="1"/>
                <w:bCs w:val="1"/>
                <w:color w:val="auto"/>
              </w:rPr>
              <w:t>23,999,920</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140,658</w:t>
            </w:r>
          </w:p>
        </w:tc>
        <w:tc>
          <w:tcPr>
            <w:tcW w:w="66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0"/>
                <w:szCs w:val="10"/>
                <w:b w:val="1"/>
                <w:bCs w:val="1"/>
                <w:color w:val="auto"/>
              </w:rPr>
              <w:t>36,639</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177,287</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192"/>
              <w:spacing w:after="0" w:line="113" w:lineRule="exact"/>
              <w:rPr>
                <w:sz w:val="20"/>
                <w:szCs w:val="20"/>
                <w:color w:val="auto"/>
              </w:rPr>
            </w:pPr>
            <w:r>
              <w:rPr>
                <w:rFonts w:ascii="Times New Roman" w:cs="Times New Roman" w:eastAsia="Times New Roman" w:hAnsi="Times New Roman"/>
                <w:sz w:val="10"/>
                <w:szCs w:val="10"/>
                <w:b w:val="1"/>
                <w:bCs w:val="1"/>
                <w:color w:val="auto"/>
              </w:rPr>
              <w:t>(2,648,318 )</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(235 )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b w:val="1"/>
                <w:bCs w:val="1"/>
                <w:color w:val="auto"/>
              </w:rPr>
              <w:t>(2,648,553 )</w:t>
            </w:r>
          </w:p>
        </w:tc>
      </w:tr>
      <w:tr>
        <w:trPr>
          <w:trHeight w:val="113"/>
        </w:trPr>
        <w:tc>
          <w:tcPr>
            <w:tcW w:w="41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and cash equivalents, beginning of year</w:t>
            </w:r>
          </w:p>
        </w:tc>
        <w:tc>
          <w:tcPr>
            <w:tcW w:w="2260" w:type="dxa"/>
            <w:vAlign w:val="bottom"/>
          </w:tcPr>
          <w:p>
            <w:pPr>
              <w:spacing w:after="0"/>
              <w:rPr>
                <w:sz w:val="9"/>
                <w:szCs w:val="9"/>
                <w:color w:val="auto"/>
              </w:rPr>
            </w:pPr>
          </w:p>
        </w:tc>
        <w:tc>
          <w:tcPr>
            <w:tcW w:w="1860" w:type="dxa"/>
            <w:vAlign w:val="bottom"/>
          </w:tcPr>
          <w:p>
            <w:pPr>
              <w:jc w:val="right"/>
              <w:ind w:right="1232"/>
              <w:spacing w:after="0" w:line="113" w:lineRule="exact"/>
              <w:rPr>
                <w:sz w:val="20"/>
                <w:szCs w:val="20"/>
                <w:color w:val="auto"/>
              </w:rPr>
            </w:pPr>
            <w:r>
              <w:rPr>
                <w:rFonts w:ascii="Times New Roman" w:cs="Times New Roman" w:eastAsia="Times New Roman" w:hAnsi="Times New Roman"/>
                <w:sz w:val="10"/>
                <w:szCs w:val="10"/>
                <w:color w:val="auto"/>
              </w:rPr>
              <w:t>2,690,024</w:t>
            </w:r>
          </w:p>
        </w:tc>
        <w:tc>
          <w:tcPr>
            <w:tcW w:w="66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(2,091 )</w:t>
            </w:r>
          </w:p>
        </w:tc>
        <w:tc>
          <w:tcPr>
            <w:tcW w:w="380" w:type="dxa"/>
            <w:vAlign w:val="bottom"/>
          </w:tcPr>
          <w:p>
            <w:pPr>
              <w:spacing w:after="0"/>
              <w:rPr>
                <w:sz w:val="9"/>
                <w:szCs w:val="9"/>
                <w:color w:val="auto"/>
              </w:rPr>
            </w:pPr>
          </w:p>
        </w:tc>
        <w:tc>
          <w:tcPr>
            <w:tcW w:w="134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2,687,933</w:t>
            </w:r>
          </w:p>
        </w:tc>
      </w:tr>
      <w:tr>
        <w:trPr>
          <w:trHeight w:val="113"/>
        </w:trPr>
        <w:tc>
          <w:tcPr>
            <w:tcW w:w="41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and cash equivalents, end of year</w:t>
            </w:r>
          </w:p>
        </w:tc>
        <w:tc>
          <w:tcPr>
            <w:tcW w:w="2260" w:type="dxa"/>
            <w:vAlign w:val="bottom"/>
            <w:shd w:val="clear" w:color="auto" w:fill="CFF0FC"/>
          </w:tcPr>
          <w:p>
            <w:pPr>
              <w:spacing w:after="0"/>
              <w:rPr>
                <w:sz w:val="9"/>
                <w:szCs w:val="9"/>
                <w:color w:val="auto"/>
              </w:rPr>
            </w:pPr>
          </w:p>
        </w:tc>
        <w:tc>
          <w:tcPr>
            <w:tcW w:w="1860" w:type="dxa"/>
            <w:vAlign w:val="bottom"/>
            <w:shd w:val="clear" w:color="auto" w:fill="CFF0FC"/>
          </w:tcPr>
          <w:p>
            <w:pPr>
              <w:jc w:val="right"/>
              <w:ind w:right="1232"/>
              <w:spacing w:after="0" w:line="113" w:lineRule="exact"/>
              <w:rPr>
                <w:sz w:val="20"/>
                <w:szCs w:val="20"/>
                <w:color w:val="auto"/>
              </w:rPr>
            </w:pPr>
            <w:r>
              <w:rPr>
                <w:rFonts w:ascii="Times New Roman" w:cs="Times New Roman" w:eastAsia="Times New Roman" w:hAnsi="Times New Roman"/>
                <w:sz w:val="10"/>
                <w:szCs w:val="10"/>
                <w:b w:val="1"/>
                <w:bCs w:val="1"/>
                <w:color w:val="auto"/>
              </w:rPr>
              <w:t>41,709</w:t>
            </w:r>
          </w:p>
        </w:tc>
        <w:tc>
          <w:tcPr>
            <w:tcW w:w="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(2,329 )</w:t>
            </w:r>
          </w:p>
        </w:tc>
        <w:tc>
          <w:tcPr>
            <w:tcW w:w="380" w:type="dxa"/>
            <w:vAlign w:val="bottom"/>
            <w:shd w:val="clear" w:color="auto" w:fill="CFF0FC"/>
          </w:tcPr>
          <w:p>
            <w:pPr>
              <w:spacing w:after="0"/>
              <w:rPr>
                <w:sz w:val="9"/>
                <w:szCs w:val="9"/>
                <w:color w:val="auto"/>
              </w:rPr>
            </w:pPr>
          </w:p>
        </w:tc>
        <w:tc>
          <w:tcPr>
            <w:tcW w:w="134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b w:val="1"/>
                <w:bCs w:val="1"/>
                <w:color w:val="auto"/>
              </w:rPr>
              <w:t>39,380</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Management also reclassified amounts Due to related party, previously disclosed in the related party note disclosure as at December 31, 2022. The amounts were reclassified from Accounts payable.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36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8"/>
                <w:szCs w:val="8"/>
                <w:b w:val="1"/>
                <w:bCs w:val="1"/>
                <w:color w:val="auto"/>
              </w:rPr>
              <w:t>Restatement</w:t>
            </w:r>
          </w:p>
        </w:tc>
        <w:tc>
          <w:tcPr>
            <w:tcW w:w="760" w:type="dxa"/>
            <w:vAlign w:val="bottom"/>
          </w:tcPr>
          <w:p>
            <w:pPr>
              <w:spacing w:after="0"/>
              <w:rPr>
                <w:sz w:val="8"/>
                <w:szCs w:val="8"/>
                <w:color w:val="auto"/>
              </w:rPr>
            </w:pPr>
          </w:p>
        </w:tc>
        <w:tc>
          <w:tcPr>
            <w:tcW w:w="154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December 31, 2023</w:t>
            </w:r>
          </w:p>
        </w:tc>
      </w:tr>
      <w:tr>
        <w:trPr>
          <w:trHeight w:val="106"/>
        </w:trPr>
        <w:tc>
          <w:tcPr>
            <w:tcW w:w="366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Carve-out consolidated balance sheet</w:t>
            </w:r>
          </w:p>
        </w:tc>
        <w:tc>
          <w:tcPr>
            <w:tcW w:w="2740" w:type="dxa"/>
            <w:vAlign w:val="bottom"/>
          </w:tcPr>
          <w:p>
            <w:pPr>
              <w:ind w:left="2360"/>
              <w:spacing w:after="0"/>
              <w:rPr>
                <w:sz w:val="20"/>
                <w:szCs w:val="20"/>
                <w:color w:val="auto"/>
              </w:rPr>
            </w:pPr>
            <w:r>
              <w:rPr>
                <w:rFonts w:ascii="Times New Roman" w:cs="Times New Roman" w:eastAsia="Times New Roman" w:hAnsi="Times New Roman"/>
                <w:sz w:val="8"/>
                <w:szCs w:val="8"/>
                <w:b w:val="1"/>
                <w:bCs w:val="1"/>
                <w:color w:val="auto"/>
              </w:rPr>
              <w:t>As Filed</w:t>
            </w:r>
          </w:p>
        </w:tc>
        <w:tc>
          <w:tcPr>
            <w:tcW w:w="1920" w:type="dxa"/>
            <w:vAlign w:val="bottom"/>
          </w:tcPr>
          <w:p>
            <w:pPr>
              <w:ind w:left="1320"/>
              <w:spacing w:after="0"/>
              <w:rPr>
                <w:sz w:val="20"/>
                <w:szCs w:val="20"/>
                <w:color w:val="auto"/>
              </w:rPr>
            </w:pPr>
            <w:r>
              <w:rPr>
                <w:rFonts w:ascii="Times New Roman" w:cs="Times New Roman" w:eastAsia="Times New Roman" w:hAnsi="Times New Roman"/>
                <w:sz w:val="8"/>
                <w:szCs w:val="8"/>
                <w:b w:val="1"/>
                <w:bCs w:val="1"/>
                <w:color w:val="auto"/>
              </w:rPr>
              <w:t>Adjustments</w:t>
            </w:r>
          </w:p>
        </w:tc>
        <w:tc>
          <w:tcPr>
            <w:tcW w:w="760" w:type="dxa"/>
            <w:vAlign w:val="bottom"/>
          </w:tcPr>
          <w:p>
            <w:pPr>
              <w:spacing w:after="0"/>
              <w:rPr>
                <w:sz w:val="9"/>
                <w:szCs w:val="9"/>
                <w:color w:val="auto"/>
              </w:rPr>
            </w:pPr>
          </w:p>
        </w:tc>
        <w:tc>
          <w:tcPr>
            <w:tcW w:w="1540" w:type="dxa"/>
            <w:vAlign w:val="bottom"/>
          </w:tcPr>
          <w:p>
            <w:pPr>
              <w:jc w:val="right"/>
              <w:ind w:right="615"/>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66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Deferred shares</w:t>
            </w:r>
          </w:p>
        </w:tc>
        <w:tc>
          <w:tcPr>
            <w:tcW w:w="2740" w:type="dxa"/>
            <w:vAlign w:val="bottom"/>
            <w:shd w:val="clear" w:color="auto" w:fill="CFF0FC"/>
          </w:tcPr>
          <w:p>
            <w:pPr>
              <w:spacing w:after="0"/>
              <w:rPr>
                <w:sz w:val="9"/>
                <w:szCs w:val="9"/>
                <w:color w:val="auto"/>
              </w:rPr>
            </w:pPr>
          </w:p>
        </w:tc>
        <w:tc>
          <w:tcPr>
            <w:tcW w:w="1920" w:type="dxa"/>
            <w:vAlign w:val="bottom"/>
            <w:shd w:val="clear" w:color="auto" w:fill="CFF0FC"/>
          </w:tcPr>
          <w:p>
            <w:pPr>
              <w:jc w:val="right"/>
              <w:ind w:right="1315"/>
              <w:spacing w:after="0" w:line="113" w:lineRule="exact"/>
              <w:rPr>
                <w:sz w:val="20"/>
                <w:szCs w:val="20"/>
                <w:color w:val="auto"/>
              </w:rPr>
            </w:pPr>
            <w:r>
              <w:rPr>
                <w:rFonts w:ascii="Times New Roman" w:cs="Times New Roman" w:eastAsia="Times New Roman" w:hAnsi="Times New Roman"/>
                <w:sz w:val="10"/>
                <w:szCs w:val="10"/>
                <w:color w:val="auto"/>
              </w:rPr>
              <w:t>1,993</w:t>
            </w:r>
          </w:p>
        </w:tc>
        <w:tc>
          <w:tcPr>
            <w:tcW w:w="760" w:type="dxa"/>
            <w:vAlign w:val="bottom"/>
            <w:shd w:val="clear" w:color="auto" w:fill="CFF0FC"/>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(1,993 )</w:t>
            </w:r>
          </w:p>
        </w:tc>
        <w:tc>
          <w:tcPr>
            <w:tcW w:w="15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25"/>
        </w:trPr>
        <w:tc>
          <w:tcPr>
            <w:tcW w:w="3660" w:type="dxa"/>
            <w:vAlign w:val="bottom"/>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740" w:type="dxa"/>
            <w:vAlign w:val="bottom"/>
          </w:tcPr>
          <w:p>
            <w:pPr>
              <w:spacing w:after="0"/>
              <w:rPr>
                <w:sz w:val="10"/>
                <w:szCs w:val="10"/>
                <w:color w:val="auto"/>
              </w:rPr>
            </w:pPr>
          </w:p>
        </w:tc>
        <w:tc>
          <w:tcPr>
            <w:tcW w:w="1920" w:type="dxa"/>
            <w:vAlign w:val="bottom"/>
          </w:tcPr>
          <w:p>
            <w:pPr>
              <w:jc w:val="right"/>
              <w:ind w:right="1335"/>
              <w:spacing w:after="0"/>
              <w:rPr>
                <w:sz w:val="20"/>
                <w:szCs w:val="20"/>
                <w:color w:val="auto"/>
              </w:rPr>
            </w:pPr>
            <w:r>
              <w:rPr>
                <w:rFonts w:ascii="Times New Roman" w:cs="Times New Roman" w:eastAsia="Times New Roman" w:hAnsi="Times New Roman"/>
                <w:sz w:val="10"/>
                <w:szCs w:val="10"/>
                <w:color w:val="auto"/>
              </w:rPr>
              <w:t>172,202,839</w:t>
            </w: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0"/>
                <w:szCs w:val="10"/>
                <w:color w:val="auto"/>
              </w:rPr>
              <w:t>1,993</w:t>
            </w: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172,204,832</w:t>
            </w:r>
          </w:p>
        </w:tc>
      </w:tr>
    </w:tbl>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carve-out consolidated balance sheet for December 31, 2023 was restated only to reflect the return of the deferred shares and the cancellation of the shares.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 addition, amounts were restated in the following</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4 – Prepayments and other current assets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6 – Property and equipment, net</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7 – Intangible assets,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12 – Accrued expenses and other payables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13 – Expenses and other Non-operating (income) expense, net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14 – Related party disclosures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•Note 16 –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2.21.Fair value measurement and concentration of credit risk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05"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1—Inputs are quoted prices (unadjusted) in active markets for identical assets or liabilities that the Company has the ability to access at the measurement date.</w:t>
      </w:r>
    </w:p>
    <w:p>
      <w:pPr>
        <w:spacing w:after="0" w:line="58" w:lineRule="exact"/>
        <w:rPr>
          <w:sz w:val="20"/>
          <w:szCs w:val="20"/>
          <w:color w:val="auto"/>
        </w:rPr>
      </w:pPr>
    </w:p>
    <w:p>
      <w:pPr>
        <w:ind w:left="480" w:right="460"/>
        <w:spacing w:after="0" w:line="255" w:lineRule="auto"/>
        <w:rPr>
          <w:sz w:val="20"/>
          <w:szCs w:val="20"/>
          <w:color w:val="auto"/>
        </w:rPr>
      </w:pPr>
      <w:r>
        <w:rPr>
          <w:rFonts w:ascii="Times New Roman" w:cs="Times New Roman" w:eastAsia="Times New Roman" w:hAnsi="Times New Roman"/>
          <w:sz w:val="10"/>
          <w:szCs w:val="10"/>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3—Inputs are unobservable inputs for the asset or liability.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level in the fair value hierarchy within which a fair value measurement in its entirety falls is based on the lowest-level input that is significant to the fair value measurement in its entirety.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Fair value measurement at reporting date:</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106"/>
        </w:trPr>
        <w:tc>
          <w:tcPr>
            <w:tcW w:w="32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Description</w:t>
            </w:r>
          </w:p>
        </w:tc>
        <w:tc>
          <w:tcPr>
            <w:tcW w:w="2920" w:type="dxa"/>
            <w:vAlign w:val="bottom"/>
          </w:tcPr>
          <w:p>
            <w:pPr>
              <w:ind w:left="1900"/>
              <w:spacing w:after="0"/>
              <w:rPr>
                <w:sz w:val="20"/>
                <w:szCs w:val="20"/>
                <w:color w:val="auto"/>
              </w:rPr>
            </w:pPr>
            <w:r>
              <w:rPr>
                <w:rFonts w:ascii="Times New Roman" w:cs="Times New Roman" w:eastAsia="Times New Roman" w:hAnsi="Times New Roman"/>
                <w:sz w:val="8"/>
                <w:szCs w:val="8"/>
                <w:b w:val="1"/>
                <w:bCs w:val="1"/>
                <w:color w:val="auto"/>
              </w:rPr>
              <w:t>Level 1</w:t>
            </w:r>
          </w:p>
        </w:tc>
        <w:tc>
          <w:tcPr>
            <w:tcW w:w="1100" w:type="dxa"/>
            <w:vAlign w:val="bottom"/>
          </w:tcPr>
          <w:p>
            <w:pPr>
              <w:ind w:left="300"/>
              <w:spacing w:after="0"/>
              <w:rPr>
                <w:sz w:val="20"/>
                <w:szCs w:val="20"/>
                <w:color w:val="auto"/>
              </w:rPr>
            </w:pPr>
            <w:r>
              <w:rPr>
                <w:rFonts w:ascii="Times New Roman" w:cs="Times New Roman" w:eastAsia="Times New Roman" w:hAnsi="Times New Roman"/>
                <w:sz w:val="8"/>
                <w:szCs w:val="8"/>
                <w:b w:val="1"/>
                <w:bCs w:val="1"/>
                <w:color w:val="auto"/>
              </w:rPr>
              <w:t>Level 2</w:t>
            </w:r>
          </w:p>
        </w:tc>
        <w:tc>
          <w:tcPr>
            <w:tcW w:w="340" w:type="dxa"/>
            <w:vAlign w:val="bottom"/>
          </w:tcPr>
          <w:p>
            <w:pPr>
              <w:spacing w:after="0"/>
              <w:rPr>
                <w:sz w:val="9"/>
                <w:szCs w:val="9"/>
                <w:color w:val="auto"/>
              </w:rPr>
            </w:pPr>
          </w:p>
        </w:tc>
        <w:tc>
          <w:tcPr>
            <w:tcW w:w="940" w:type="dxa"/>
            <w:vAlign w:val="bottom"/>
          </w:tcPr>
          <w:p>
            <w:pPr>
              <w:jc w:val="right"/>
              <w:ind w:right="454"/>
              <w:spacing w:after="0"/>
              <w:rPr>
                <w:sz w:val="20"/>
                <w:szCs w:val="20"/>
                <w:color w:val="auto"/>
              </w:rPr>
            </w:pPr>
            <w:r>
              <w:rPr>
                <w:rFonts w:ascii="Times New Roman" w:cs="Times New Roman" w:eastAsia="Times New Roman" w:hAnsi="Times New Roman"/>
                <w:sz w:val="8"/>
                <w:szCs w:val="8"/>
                <w:b w:val="1"/>
                <w:bCs w:val="1"/>
                <w:color w:val="auto"/>
              </w:rPr>
              <w:t>Level 3</w:t>
            </w:r>
          </w:p>
        </w:tc>
      </w:tr>
      <w:tr>
        <w:trPr>
          <w:trHeight w:val="104"/>
        </w:trPr>
        <w:tc>
          <w:tcPr>
            <w:tcW w:w="32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2023</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r>
      <w:tr>
        <w:trPr>
          <w:trHeight w:val="113"/>
        </w:trPr>
        <w:tc>
          <w:tcPr>
            <w:tcW w:w="32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1,311,028</w:t>
            </w:r>
          </w:p>
        </w:tc>
      </w:tr>
      <w:tr>
        <w:trPr>
          <w:trHeight w:val="104"/>
        </w:trPr>
        <w:tc>
          <w:tcPr>
            <w:tcW w:w="32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December 31, 2022</w:t>
            </w:r>
          </w:p>
        </w:tc>
        <w:tc>
          <w:tcPr>
            <w:tcW w:w="29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21"/>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i w:val="1"/>
                <w:iCs w:val="1"/>
                <w:color w:val="auto"/>
              </w:rPr>
              <w:t>Fair value on recurring basis</w:t>
            </w:r>
          </w:p>
        </w:tc>
        <w:tc>
          <w:tcPr>
            <w:tcW w:w="29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r>
      <w:tr>
        <w:trPr>
          <w:trHeight w:val="125"/>
        </w:trPr>
        <w:tc>
          <w:tcPr>
            <w:tcW w:w="3200" w:type="dxa"/>
            <w:vAlign w:val="bottom"/>
          </w:tcPr>
          <w:p>
            <w:pPr>
              <w:spacing w:after="0"/>
              <w:rPr>
                <w:sz w:val="20"/>
                <w:szCs w:val="20"/>
                <w:color w:val="auto"/>
              </w:rPr>
            </w:pPr>
            <w:r>
              <w:rPr>
                <w:rFonts w:ascii="Times New Roman" w:cs="Times New Roman" w:eastAsia="Times New Roman" w:hAnsi="Times New Roman"/>
                <w:sz w:val="10"/>
                <w:szCs w:val="10"/>
                <w:color w:val="auto"/>
              </w:rPr>
              <w:t>(1) Share-based payment liability</w:t>
            </w:r>
          </w:p>
        </w:tc>
        <w:tc>
          <w:tcPr>
            <w:tcW w:w="2920" w:type="dxa"/>
            <w:vAlign w:val="bottom"/>
          </w:tcPr>
          <w:p>
            <w:pPr>
              <w:ind w:left="250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1,177,617</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(1)The fair value of the share-based payment liability was valued using a discounted cash flow method using a risk adjusted discount rate of 10.8%. Please also refer to note 7.4.</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Company’s cash, accounts receivable, accounts payable and accrued expenses approximated their fair values due to their short term to maturity.</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Credit risk</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5800" w:type="dxa"/>
            <w:vAlign w:val="bottom"/>
          </w:tcPr>
          <w:p>
            <w:pPr>
              <w:ind w:left="506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460" w:type="dxa"/>
            <w:vAlign w:val="bottom"/>
          </w:tcPr>
          <w:p>
            <w:pPr>
              <w:spacing w:after="0"/>
              <w:rPr>
                <w:sz w:val="9"/>
                <w:szCs w:val="9"/>
                <w:color w:val="auto"/>
              </w:rPr>
            </w:pPr>
          </w:p>
        </w:tc>
        <w:tc>
          <w:tcPr>
            <w:tcW w:w="1180" w:type="dxa"/>
            <w:vAlign w:val="bottom"/>
          </w:tcPr>
          <w:p>
            <w:pPr>
              <w:jc w:val="right"/>
              <w:ind w:right="2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13"/>
        </w:trPr>
        <w:tc>
          <w:tcPr>
            <w:tcW w:w="58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KPMG LLP</w:t>
            </w:r>
          </w:p>
        </w:tc>
        <w:tc>
          <w:tcPr>
            <w:tcW w:w="46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10 %</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14 %</w:t>
            </w:r>
          </w:p>
        </w:tc>
      </w:tr>
      <w:tr>
        <w:trPr>
          <w:trHeight w:val="113"/>
        </w:trPr>
        <w:tc>
          <w:tcPr>
            <w:tcW w:w="58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Taylor Wessing LLP</w:t>
            </w:r>
          </w:p>
        </w:tc>
        <w:tc>
          <w:tcPr>
            <w:tcW w:w="46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13 %</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17 %</w:t>
            </w:r>
          </w:p>
        </w:tc>
      </w:tr>
      <w:tr>
        <w:trPr>
          <w:trHeight w:val="113"/>
        </w:trPr>
        <w:tc>
          <w:tcPr>
            <w:tcW w:w="58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Wilson Sonsini Goodrich &amp; Rosati</w:t>
            </w:r>
          </w:p>
        </w:tc>
        <w:tc>
          <w:tcPr>
            <w:tcW w:w="46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14 %</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15 %</w:t>
            </w:r>
          </w:p>
        </w:tc>
      </w:tr>
      <w:tr>
        <w:trPr>
          <w:trHeight w:val="125"/>
        </w:trPr>
        <w:tc>
          <w:tcPr>
            <w:tcW w:w="58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SThree Partnership LLP</w:t>
            </w:r>
          </w:p>
        </w:tc>
        <w:tc>
          <w:tcPr>
            <w:tcW w:w="4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13 %</w:t>
            </w:r>
          </w:p>
        </w:tc>
      </w:tr>
    </w:tbl>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Foreign currency risk</w:t>
      </w:r>
    </w:p>
    <w:p>
      <w:pPr>
        <w:spacing w:after="0" w:line="60" w:lineRule="exact"/>
        <w:rPr>
          <w:sz w:val="20"/>
          <w:szCs w:val="20"/>
          <w:color w:val="auto"/>
        </w:rPr>
      </w:pPr>
    </w:p>
    <w:p>
      <w:pPr>
        <w:ind w:right="460" w:firstLine="480"/>
        <w:spacing w:after="0" w:line="255" w:lineRule="auto"/>
        <w:rPr>
          <w:sz w:val="20"/>
          <w:szCs w:val="20"/>
          <w:color w:val="auto"/>
        </w:rPr>
      </w:pPr>
      <w:r>
        <w:rPr>
          <w:rFonts w:ascii="Times New Roman" w:cs="Times New Roman" w:eastAsia="Times New Roman" w:hAnsi="Times New Roman"/>
          <w:sz w:val="10"/>
          <w:szCs w:val="10"/>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Revenue risk</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2.22.Income taxes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2.23.Loss and earnings per share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108"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0"/>
          <w:szCs w:val="10"/>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4840" w:type="dxa"/>
            <w:vAlign w:val="bottom"/>
          </w:tcPr>
          <w:p>
            <w:pPr>
              <w:spacing w:after="0"/>
              <w:rPr>
                <w:sz w:val="8"/>
                <w:szCs w:val="8"/>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60" w:type="dxa"/>
            <w:vAlign w:val="bottom"/>
          </w:tcPr>
          <w:p>
            <w:pPr>
              <w:spacing w:after="0"/>
              <w:rPr>
                <w:sz w:val="8"/>
                <w:szCs w:val="8"/>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4840" w:type="dxa"/>
            <w:vAlign w:val="bottom"/>
          </w:tcPr>
          <w:p>
            <w:pPr>
              <w:spacing w:after="0"/>
              <w:rPr>
                <w:sz w:val="9"/>
                <w:szCs w:val="9"/>
                <w:color w:val="auto"/>
              </w:rPr>
            </w:pPr>
          </w:p>
        </w:tc>
        <w:tc>
          <w:tcPr>
            <w:tcW w:w="1180" w:type="dxa"/>
            <w:vAlign w:val="bottom"/>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 w:type="dxa"/>
            <w:vAlign w:val="bottom"/>
          </w:tcPr>
          <w:p>
            <w:pPr>
              <w:spacing w:after="0"/>
              <w:rPr>
                <w:sz w:val="9"/>
                <w:szCs w:val="9"/>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(note 7.3)</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3,929,566</w:t>
            </w:r>
          </w:p>
        </w:tc>
        <w:tc>
          <w:tcPr>
            <w:tcW w:w="13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3,428,571</w:t>
            </w:r>
          </w:p>
        </w:tc>
        <w:tc>
          <w:tcPr>
            <w:tcW w:w="6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Shares payable (note 7.4)</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1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140,000</w:t>
            </w:r>
          </w:p>
        </w:tc>
        <w:tc>
          <w:tcPr>
            <w:tcW w:w="6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 options</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6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5,200,000</w:t>
            </w:r>
          </w:p>
        </w:tc>
        <w:tc>
          <w:tcPr>
            <w:tcW w:w="60" w:type="dxa"/>
            <w:vAlign w:val="bottom"/>
            <w:shd w:val="clear" w:color="auto" w:fill="CFF0FC"/>
          </w:tcPr>
          <w:p>
            <w:pPr>
              <w:spacing w:after="0"/>
              <w:rPr>
                <w:sz w:val="9"/>
                <w:szCs w:val="9"/>
                <w:color w:val="auto"/>
              </w:rPr>
            </w:pPr>
          </w:p>
        </w:tc>
      </w:tr>
      <w:tr>
        <w:trPr>
          <w:trHeight w:val="113"/>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Series A preferred shares</w:t>
            </w: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136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28,039,517</w:t>
            </w:r>
          </w:p>
        </w:tc>
        <w:tc>
          <w:tcPr>
            <w:tcW w:w="60" w:type="dxa"/>
            <w:vAlign w:val="bottom"/>
          </w:tcPr>
          <w:p>
            <w:pPr>
              <w:spacing w:after="0"/>
              <w:rPr>
                <w:sz w:val="9"/>
                <w:szCs w:val="9"/>
                <w:color w:val="auto"/>
              </w:rPr>
            </w:pPr>
          </w:p>
        </w:tc>
      </w:tr>
      <w:tr>
        <w:trPr>
          <w:trHeight w:val="113"/>
        </w:trPr>
        <w:tc>
          <w:tcPr>
            <w:tcW w:w="48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party (note 7.1)</w:t>
            </w:r>
          </w:p>
        </w:tc>
        <w:tc>
          <w:tcPr>
            <w:tcW w:w="1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1,037,575</w:t>
            </w:r>
          </w:p>
        </w:tc>
        <w:tc>
          <w:tcPr>
            <w:tcW w:w="160" w:type="dxa"/>
            <w:vAlign w:val="bottom"/>
            <w:shd w:val="clear" w:color="auto" w:fill="CFF0FC"/>
          </w:tcPr>
          <w:p>
            <w:pPr>
              <w:spacing w:after="0"/>
              <w:rPr>
                <w:sz w:val="9"/>
                <w:szCs w:val="9"/>
                <w:color w:val="auto"/>
              </w:rPr>
            </w:pPr>
          </w:p>
        </w:tc>
        <w:tc>
          <w:tcPr>
            <w:tcW w:w="126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5"/>
        </w:trPr>
        <w:tc>
          <w:tcPr>
            <w:tcW w:w="48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1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33,146,658</w:t>
            </w:r>
          </w:p>
        </w:tc>
        <w:tc>
          <w:tcPr>
            <w:tcW w:w="160" w:type="dxa"/>
            <w:vAlign w:val="bottom"/>
          </w:tcPr>
          <w:p>
            <w:pPr>
              <w:spacing w:after="0"/>
              <w:rPr>
                <w:sz w:val="10"/>
                <w:szCs w:val="10"/>
                <w:color w:val="auto"/>
              </w:rPr>
            </w:pP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36,808,088</w:t>
            </w:r>
          </w:p>
        </w:tc>
        <w:tc>
          <w:tcPr>
            <w:tcW w:w="60" w:type="dxa"/>
            <w:vAlign w:val="bottom"/>
          </w:tcPr>
          <w:p>
            <w:pPr>
              <w:spacing w:after="0"/>
              <w:rPr>
                <w:sz w:val="10"/>
                <w:szCs w:val="10"/>
                <w:color w:val="auto"/>
              </w:rPr>
            </w:pPr>
          </w:p>
        </w:tc>
      </w:tr>
    </w:tbl>
    <w:p>
      <w:pPr>
        <w:spacing w:after="0" w:line="136"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3.Recently adopted accounting pronouncements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ASC 326 “Financial Instruments—Credit Losses”</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05"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4.Prepayments and other current assets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5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130,309</w:t>
            </w:r>
          </w:p>
        </w:tc>
        <w:tc>
          <w:tcPr>
            <w:tcW w:w="3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214,514</w:t>
            </w:r>
          </w:p>
        </w:tc>
        <w:tc>
          <w:tcPr>
            <w:tcW w:w="6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Receivable from government authorities</w:t>
            </w: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4,155</w:t>
            </w:r>
          </w:p>
        </w:tc>
        <w:tc>
          <w:tcPr>
            <w:tcW w:w="6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Input tax credit</w:t>
            </w: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140,432</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219,421</w:t>
            </w:r>
          </w:p>
        </w:tc>
        <w:tc>
          <w:tcPr>
            <w:tcW w:w="60" w:type="dxa"/>
            <w:vAlign w:val="bottom"/>
            <w:shd w:val="clear" w:color="auto" w:fill="CFF0FC"/>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receivables</w:t>
            </w: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27,690</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2,756</w:t>
            </w:r>
          </w:p>
        </w:tc>
        <w:tc>
          <w:tcPr>
            <w:tcW w:w="6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299,013</w:t>
            </w:r>
          </w:p>
        </w:tc>
        <w:tc>
          <w:tcPr>
            <w:tcW w:w="18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440,846</w:t>
            </w:r>
          </w:p>
        </w:tc>
        <w:tc>
          <w:tcPr>
            <w:tcW w:w="60" w:type="dxa"/>
            <w:vAlign w:val="bottom"/>
            <w:tcBorders>
              <w:bottom w:val="single" w:sz="8" w:color="CFF0FC"/>
            </w:tcBorders>
            <w:shd w:val="clear" w:color="auto" w:fill="CFF0FC"/>
          </w:tcPr>
          <w:p>
            <w:pPr>
              <w:spacing w:after="0"/>
              <w:rPr>
                <w:sz w:val="10"/>
                <w:szCs w:val="10"/>
                <w:color w:val="auto"/>
              </w:rPr>
            </w:pPr>
          </w:p>
        </w:tc>
      </w:tr>
      <w:tr>
        <w:trPr>
          <w:trHeight w:val="321"/>
        </w:trPr>
        <w:tc>
          <w:tcPr>
            <w:tcW w:w="64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5.Loans Receivable</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1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1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58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580" w:type="dxa"/>
            <w:vAlign w:val="bottom"/>
          </w:tcPr>
          <w:p>
            <w:pPr>
              <w:spacing w:after="0"/>
              <w:rPr>
                <w:sz w:val="9"/>
                <w:szCs w:val="9"/>
                <w:color w:val="auto"/>
              </w:rPr>
            </w:pPr>
          </w:p>
        </w:tc>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Loans receivable</w:t>
            </w: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598,414</w:t>
            </w:r>
          </w:p>
        </w:tc>
        <w:tc>
          <w:tcPr>
            <w:tcW w:w="60" w:type="dxa"/>
            <w:vAlign w:val="bottom"/>
            <w:shd w:val="clear" w:color="auto" w:fill="CFF0FC"/>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10"/>
                <w:szCs w:val="10"/>
                <w:color w:val="auto"/>
              </w:rPr>
            </w:pPr>
          </w:p>
        </w:tc>
        <w:tc>
          <w:tcPr>
            <w:tcW w:w="160" w:type="dxa"/>
            <w:vAlign w:val="bottom"/>
            <w:tcBorders>
              <w:bottom w:val="single" w:sz="8" w:color="auto"/>
            </w:tcBorders>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598,414</w:t>
            </w:r>
          </w:p>
        </w:tc>
        <w:tc>
          <w:tcPr>
            <w:tcW w:w="60" w:type="dxa"/>
            <w:vAlign w:val="bottom"/>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loans receivable consists of:</w:t>
      </w:r>
    </w:p>
    <w:p>
      <w:pPr>
        <w:spacing w:after="0" w:line="58" w:lineRule="exact"/>
        <w:rPr>
          <w:sz w:val="20"/>
          <w:szCs w:val="20"/>
          <w:color w:val="auto"/>
        </w:rPr>
      </w:pPr>
    </w:p>
    <w:p>
      <w:pPr>
        <w:jc w:val="both"/>
        <w:ind w:left="480"/>
        <w:spacing w:after="0" w:line="245" w:lineRule="auto"/>
        <w:rPr>
          <w:sz w:val="20"/>
          <w:szCs w:val="20"/>
          <w:color w:val="auto"/>
        </w:rPr>
      </w:pPr>
      <w:r>
        <w:rPr>
          <w:rFonts w:ascii="Times New Roman" w:cs="Times New Roman" w:eastAsia="Times New Roman" w:hAnsi="Times New Roman"/>
          <w:sz w:val="10"/>
          <w:szCs w:val="10"/>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45" w:lineRule="exact"/>
        <w:rPr>
          <w:sz w:val="20"/>
          <w:szCs w:val="20"/>
          <w:color w:val="auto"/>
        </w:rPr>
      </w:pPr>
    </w:p>
    <w:p>
      <w:pPr>
        <w:ind w:left="480" w:right="100"/>
        <w:spacing w:after="0" w:line="241" w:lineRule="auto"/>
        <w:rPr>
          <w:sz w:val="20"/>
          <w:szCs w:val="20"/>
          <w:color w:val="auto"/>
        </w:rPr>
      </w:pPr>
      <w:r>
        <w:rPr>
          <w:rFonts w:ascii="Times New Roman" w:cs="Times New Roman" w:eastAsia="Times New Roman" w:hAnsi="Times New Roman"/>
          <w:sz w:val="10"/>
          <w:szCs w:val="10"/>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6.Property and equipment,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Computers</w:t>
            </w:r>
          </w:p>
        </w:tc>
        <w:tc>
          <w:tcPr>
            <w:tcW w:w="1300" w:type="dxa"/>
            <w:vAlign w:val="bottom"/>
            <w:gridSpan w:val="2"/>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195,140</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181,784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Office equipment</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w w:val="93"/>
              </w:rPr>
              <w:t>290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495</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Less—Accumulated depreciation</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gridSpan w:val="4"/>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(115,837 )</w:t>
            </w:r>
          </w:p>
        </w:tc>
        <w:tc>
          <w:tcPr>
            <w:tcW w:w="80" w:type="dxa"/>
            <w:vAlign w:val="bottom"/>
            <w:shd w:val="clear" w:color="auto" w:fill="CFF0FC"/>
          </w:tcPr>
          <w:p>
            <w:pPr>
              <w:spacing w:after="0"/>
              <w:rPr>
                <w:sz w:val="9"/>
                <w:szCs w:val="9"/>
                <w:color w:val="auto"/>
              </w:rPr>
            </w:pPr>
          </w:p>
        </w:tc>
        <w:tc>
          <w:tcPr>
            <w:tcW w:w="1000" w:type="dxa"/>
            <w:vAlign w:val="bottom"/>
            <w:gridSpan w:val="3"/>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(71,281 )</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Property and equipment, net</w:t>
            </w:r>
          </w:p>
        </w:tc>
        <w:tc>
          <w:tcPr>
            <w:tcW w:w="1300" w:type="dxa"/>
            <w:vAlign w:val="bottom"/>
            <w:gridSpan w:val="2"/>
          </w:tcPr>
          <w:p>
            <w:pPr>
              <w:jc w:val="right"/>
              <w:ind w:right="1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79,593</w:t>
            </w:r>
          </w:p>
        </w:tc>
        <w:tc>
          <w:tcPr>
            <w:tcW w:w="200" w:type="dxa"/>
            <w:vAlign w:val="bottom"/>
          </w:tcPr>
          <w:p>
            <w:pPr>
              <w:spacing w:after="0"/>
              <w:rPr>
                <w:sz w:val="10"/>
                <w:szCs w:val="10"/>
                <w:color w:val="auto"/>
              </w:rPr>
            </w:pPr>
          </w:p>
        </w:tc>
        <w:tc>
          <w:tcPr>
            <w:tcW w:w="80" w:type="dxa"/>
            <w:vAlign w:val="bottom"/>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110,998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Depreciation expense for the years ended December 31, 2023 and 2022 was $44,556 and $37,917 respectively.</w:t>
            </w:r>
          </w:p>
        </w:tc>
        <w:tc>
          <w:tcPr>
            <w:tcW w:w="1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7.Intangible assets, net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Software</w:t>
            </w:r>
          </w:p>
        </w:tc>
        <w:tc>
          <w:tcPr>
            <w:tcW w:w="1300" w:type="dxa"/>
            <w:vAlign w:val="bottom"/>
            <w:gridSpan w:val="2"/>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1,009,272</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989,400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In development intangible asset</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tcPr>
          <w:p>
            <w:pPr>
              <w:jc w:val="right"/>
              <w:spacing w:after="0" w:line="113" w:lineRule="exact"/>
              <w:rPr>
                <w:sz w:val="20"/>
                <w:szCs w:val="20"/>
                <w:color w:val="auto"/>
              </w:rPr>
            </w:pPr>
            <w:r>
              <w:rPr>
                <w:rFonts w:ascii="Times New Roman" w:cs="Times New Roman" w:eastAsia="Times New Roman" w:hAnsi="Times New Roman"/>
                <w:sz w:val="10"/>
                <w:szCs w:val="10"/>
                <w:color w:val="auto"/>
              </w:rPr>
              <w:t>1,862,465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34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2,871,737</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989,400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Less—Accumulated amortization</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4"/>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(736,834 )</w:t>
            </w:r>
          </w:p>
        </w:tc>
        <w:tc>
          <w:tcPr>
            <w:tcW w:w="80" w:type="dxa"/>
            <w:vAlign w:val="bottom"/>
          </w:tcPr>
          <w:p>
            <w:pPr>
              <w:spacing w:after="0"/>
              <w:rPr>
                <w:sz w:val="9"/>
                <w:szCs w:val="9"/>
                <w:color w:val="auto"/>
              </w:rPr>
            </w:pPr>
          </w:p>
        </w:tc>
        <w:tc>
          <w:tcPr>
            <w:tcW w:w="1000" w:type="dxa"/>
            <w:vAlign w:val="bottom"/>
            <w:gridSpan w:val="3"/>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(538,954 )</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3940" w:type="dxa"/>
            <w:vAlign w:val="bottom"/>
            <w:tcBorders>
              <w:bottom w:val="single" w:sz="8" w:color="CFF0FC"/>
            </w:tcBorders>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Intangible assets, net</w:t>
            </w:r>
          </w:p>
        </w:tc>
        <w:tc>
          <w:tcPr>
            <w:tcW w:w="1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bottom w:val="single" w:sz="8" w:color="auto"/>
            </w:tcBorders>
            <w:gridSpan w:val="3"/>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2,134,903</w:t>
            </w:r>
          </w:p>
        </w:tc>
        <w:tc>
          <w:tcPr>
            <w:tcW w:w="20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40" w:type="dxa"/>
            <w:vAlign w:val="bottom"/>
            <w:tcBorders>
              <w:bottom w:val="single" w:sz="8" w:color="auto"/>
            </w:tcBorders>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450,446</w:t>
            </w:r>
          </w:p>
        </w:tc>
        <w:tc>
          <w:tcPr>
            <w:tcW w:w="6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Amortization expense for each of the years ended December 31, 2023 and 2022 was $197,800.</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520" w:type="dxa"/>
            <w:vAlign w:val="bottom"/>
            <w:gridSpan w:val="3"/>
          </w:tcPr>
          <w:p>
            <w:pPr>
              <w:ind w:left="480"/>
              <w:spacing w:after="0"/>
              <w:rPr>
                <w:sz w:val="20"/>
                <w:szCs w:val="20"/>
                <w:color w:val="auto"/>
              </w:rPr>
            </w:pPr>
            <w:r>
              <w:rPr>
                <w:rFonts w:ascii="Times New Roman" w:cs="Times New Roman" w:eastAsia="Times New Roman" w:hAnsi="Times New Roman"/>
                <w:sz w:val="10"/>
                <w:szCs w:val="10"/>
                <w:color w:val="auto"/>
              </w:rPr>
              <w:t>As of December 31, 2023, expected amortization expense over the remaining intangible asset lives is as follows: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120" w:type="dxa"/>
            <w:vAlign w:val="bottom"/>
            <w:gridSpan w:val="2"/>
            <w:vMerge w:val="restart"/>
          </w:tcPr>
          <w:p>
            <w:pPr>
              <w:spacing w:after="0"/>
              <w:rPr>
                <w:sz w:val="13"/>
                <w:szCs w:val="13"/>
                <w:color w:val="auto"/>
              </w:rPr>
            </w:pPr>
          </w:p>
        </w:tc>
        <w:tc>
          <w:tcPr>
            <w:tcW w:w="3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120" w:type="dxa"/>
            <w:vAlign w:val="bottom"/>
            <w:gridSpan w:val="2"/>
            <w:vMerge w:val="continue"/>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2024</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183,578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2025</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445,453</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2026</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2027</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120" w:type="dxa"/>
            <w:vAlign w:val="bottom"/>
            <w:gridSpan w:val="2"/>
          </w:tcPr>
          <w:p>
            <w:pPr>
              <w:spacing w:after="0"/>
              <w:rPr>
                <w:sz w:val="9"/>
                <w:szCs w:val="9"/>
                <w:color w:val="auto"/>
              </w:rPr>
            </w:pPr>
          </w:p>
        </w:tc>
        <w:tc>
          <w:tcPr>
            <w:tcW w:w="34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2028</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Thereafter</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376,468</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bottom w:val="single" w:sz="8" w:color="auto"/>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480" w:type="dxa"/>
            <w:vAlign w:val="bottom"/>
            <w:tcBorders>
              <w:bottom w:val="single" w:sz="8" w:color="auto"/>
              <w:right w:val="single" w:sz="8" w:color="CFF0FC"/>
            </w:tcBorders>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b w:val="1"/>
                <w:bCs w:val="1"/>
                <w:color w:val="auto"/>
                <w:w w:val="94"/>
              </w:rPr>
              <w:t>2,134,903</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55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8.Debt and other liabilities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40" w:type="dxa"/>
            <w:vAlign w:val="bottom"/>
            <w:gridSpan w:val="4"/>
          </w:tcPr>
          <w:p>
            <w:pPr>
              <w:jc w:val="right"/>
              <w:ind w:right="35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380"/>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0" w:type="dxa"/>
            <w:vAlign w:val="bottom"/>
          </w:tcPr>
          <w:p>
            <w:pPr>
              <w:spacing w:after="0"/>
              <w:rPr>
                <w:sz w:val="1"/>
                <w:szCs w:val="1"/>
                <w:color w:val="auto"/>
              </w:rPr>
            </w:pPr>
          </w:p>
        </w:tc>
      </w:tr>
      <w:tr>
        <w:trPr>
          <w:trHeight w:val="106"/>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040" w:type="dxa"/>
            <w:vAlign w:val="bottom"/>
            <w:gridSpan w:val="4"/>
          </w:tcPr>
          <w:p>
            <w:pPr>
              <w:jc w:val="right"/>
              <w:ind w:right="471"/>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Short-term debt and other liabilities</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 to related parties (8.1)</w:t>
            </w:r>
          </w:p>
        </w:tc>
        <w:tc>
          <w:tcPr>
            <w:tcW w:w="1180" w:type="dxa"/>
            <w:vAlign w:val="bottom"/>
          </w:tcPr>
          <w:p>
            <w:pPr>
              <w:jc w:val="right"/>
              <w:ind w:right="4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 (8.4)</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Ordinary shares payable (8.2)</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8,223,928</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(8.5)</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1,311,028</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520" w:type="dxa"/>
            <w:vAlign w:val="bottom"/>
            <w:gridSpan w:val="2"/>
            <w:shd w:val="clear" w:color="auto" w:fill="CFF0FC"/>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gridSpan w:val="2"/>
          </w:tcPr>
          <w:p>
            <w:pPr>
              <w:jc w:val="right"/>
              <w:ind w:right="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Non-current debt and other liabilities</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 (8.4)</w:t>
            </w: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spacing w:after="0" w:line="113" w:lineRule="exact"/>
              <w:rPr>
                <w:sz w:val="20"/>
                <w:szCs w:val="20"/>
                <w:color w:val="auto"/>
              </w:rPr>
            </w:pPr>
            <w:r>
              <w:rPr>
                <w:rFonts w:ascii="Times New Roman" w:cs="Times New Roman" w:eastAsia="Times New Roman" w:hAnsi="Times New Roman"/>
                <w:sz w:val="10"/>
                <w:szCs w:val="10"/>
                <w:color w:val="auto"/>
              </w:rPr>
              <w:t>1,177,617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3940" w:type="dxa"/>
            <w:vAlign w:val="bottom"/>
            <w:gridSpan w:val="2"/>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(8.3)</w:t>
            </w:r>
          </w:p>
        </w:tc>
        <w:tc>
          <w:tcPr>
            <w:tcW w:w="1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25,302,709</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0"/>
          <w:szCs w:val="10"/>
          <w:b w:val="1"/>
          <w:bCs w:val="1"/>
          <w:color w:val="auto"/>
        </w:rPr>
        <w:t>8.1.</w:t>
      </w:r>
      <w:r>
        <w:rPr>
          <w:rFonts w:ascii="Times New Roman" w:cs="Times New Roman" w:eastAsia="Times New Roman" w:hAnsi="Times New Roman"/>
          <w:sz w:val="10"/>
          <w:szCs w:val="10"/>
          <w:color w:val="auto"/>
        </w:rPr>
        <w:t>Unsecured interest free loan taken from related party (DBLP Sea Cow Ltd) of $447,067 is repayable on demand. During the year ended December 31, 2023, the Company repaid $250,000 to DBLP Sea Cow Ltd. Additionally, DBLP Sea Cow Ltd is owed $191,405 for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amounts to be re-imbursed for expenses incurred on behalf of Rezolve at December 31, 2023, nil for 2022.</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921" w:right="68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right="180" w:firstLine="480"/>
        <w:spacing w:after="0" w:line="272" w:lineRule="auto"/>
        <w:rPr>
          <w:sz w:val="20"/>
          <w:szCs w:val="20"/>
          <w:color w:val="auto"/>
        </w:rPr>
      </w:pPr>
      <w:r>
        <w:rPr>
          <w:rFonts w:ascii="Times New Roman" w:cs="Times New Roman" w:eastAsia="Times New Roman" w:hAnsi="Times New Roman"/>
          <w:sz w:val="9"/>
          <w:szCs w:val="9"/>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w:t>
      </w:r>
    </w:p>
    <w:p>
      <w:pPr>
        <w:spacing w:after="0" w:line="236" w:lineRule="auto"/>
        <w:rPr>
          <w:sz w:val="20"/>
          <w:szCs w:val="20"/>
          <w:color w:val="auto"/>
        </w:rPr>
      </w:pPr>
      <w:r>
        <w:rPr>
          <w:rFonts w:ascii="Times New Roman" w:cs="Times New Roman" w:eastAsia="Times New Roman" w:hAnsi="Times New Roman"/>
          <w:sz w:val="10"/>
          <w:szCs w:val="10"/>
          <w:color w:val="auto"/>
        </w:rPr>
        <w:t>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2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0"/>
          <w:szCs w:val="10"/>
          <w:b w:val="1"/>
          <w:bCs w:val="1"/>
          <w:color w:val="auto"/>
        </w:rPr>
        <w:t>8.2.</w:t>
      </w:r>
      <w:r>
        <w:rPr>
          <w:rFonts w:ascii="Times New Roman" w:cs="Times New Roman" w:eastAsia="Times New Roman" w:hAnsi="Times New Roman"/>
          <w:sz w:val="10"/>
          <w:szCs w:val="10"/>
          <w:color w:val="auto"/>
        </w:rPr>
        <w:t>On May 25, 2023, the Company offered to all existing investors and employees of the Company an advanced subscription agreement for ordinary shares of the Company at a discount from the pre-close equity value of the Company per share (“the Rights Issue”) 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 -organization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4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0"/>
          <w:szCs w:val="10"/>
          <w:b w:val="1"/>
          <w:bCs w:val="1"/>
          <w:color w:val="auto"/>
        </w:rPr>
        <w:t>8.3.</w:t>
      </w:r>
      <w:r>
        <w:rPr>
          <w:rFonts w:ascii="Times New Roman" w:cs="Times New Roman" w:eastAsia="Times New Roman" w:hAnsi="Times New Roman"/>
          <w:sz w:val="10"/>
          <w:szCs w:val="10"/>
          <w:color w:val="auto"/>
        </w:rPr>
        <w:t>On December 17, 2021, the Company and Armada Acquisition Corp I, a special purpose acquisition company (“SPAC”) listed on the Nasdaq Capital Market (“NASDAQ”), and certain other parties entered into a definitive agreement for a business combination that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104"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In accordance with the executed subscription agreements, the investors that pre- 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maturity, with interest accrued at 20% per annum, or</w:t>
      </w:r>
    </w:p>
    <w:p>
      <w:pPr>
        <w:spacing w:after="0" w:line="58" w:lineRule="exact"/>
        <w:rPr>
          <w:sz w:val="20"/>
          <w:szCs w:val="20"/>
          <w:color w:val="auto"/>
        </w:rPr>
      </w:pPr>
    </w:p>
    <w:p>
      <w:pPr>
        <w:ind w:left="480" w:right="140"/>
        <w:spacing w:after="0" w:line="255" w:lineRule="auto"/>
        <w:rPr>
          <w:sz w:val="20"/>
          <w:szCs w:val="20"/>
          <w:color w:val="auto"/>
        </w:rPr>
      </w:pPr>
      <w:r>
        <w:rPr>
          <w:rFonts w:ascii="Times New Roman" w:cs="Times New Roman" w:eastAsia="Times New Roman" w:hAnsi="Times New Roman"/>
          <w:sz w:val="10"/>
          <w:szCs w:val="10"/>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Immediately prior to an IPO or SPAC transaction, the principal amount and accrued interest is converted into ordinary shares at a 30% discount to the pre-close equity value of the Company.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is 20% per annum, and is reduced in the following events to:</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•10% per annum if the IPO or SPAC transaction occurred prior to December 16, 2022, and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•15% per annum if the IPO or SPAC transaction occurs between December 16, 2022 and June 16, 2023.</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the issuance of the notes, the amount pre-funded by each participating investor reduces their remaining respective commitment in the PIPE.</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secured convertible notes has been accounted for as a liability in accordance with ASC 470–20. The Company has adopted ASU 2020- 06,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incurred any significant debt issuance costs and has expensed them as incurred.</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23, 2023, the Company executed a further amendment to the secured convertible loan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amendments are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•An additional $15,625,000 commitment has been added to the principal amount of the notes, split between a</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•Conversion of accrued interest of $3,000,000 into loan principal. Additionally $1.5m of Loans for no value , plus $1,040,989 of interest foregone giving total of $4,041,989 of total interest capitalized.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•$1,250,000 of loan principal previously advanced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•$125,000 of loan principal advanced by a director and related party in February 2023</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•An additional $2,750,000 of loan notes to be advanced, and</w:t>
      </w:r>
    </w:p>
    <w:p>
      <w:pPr>
        <w:spacing w:after="0" w:line="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0"/>
          <w:szCs w:val="10"/>
          <w:color w:val="auto"/>
        </w:rPr>
        <w:t>•$8,500,000 in notes upon completion of the Demerger, for which no monetary consideration will be received by the Company</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6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4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0"/>
          <w:szCs w:val="10"/>
          <w:color w:val="auto"/>
        </w:rPr>
        <w:t>(1)Under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41" w:lineRule="exact"/>
        <w:rPr>
          <w:sz w:val="20"/>
          <w:szCs w:val="20"/>
          <w:color w:val="auto"/>
        </w:rPr>
      </w:pPr>
    </w:p>
    <w:p>
      <w:pPr>
        <w:ind w:left="700" w:right="320"/>
        <w:spacing w:after="0" w:line="255" w:lineRule="auto"/>
        <w:rPr>
          <w:sz w:val="20"/>
          <w:szCs w:val="20"/>
          <w:color w:val="auto"/>
        </w:rPr>
      </w:pPr>
      <w:r>
        <w:rPr>
          <w:rFonts w:ascii="Times New Roman" w:cs="Times New Roman" w:eastAsia="Times New Roman" w:hAnsi="Times New Roman"/>
          <w:sz w:val="10"/>
          <w:szCs w:val="10"/>
          <w:color w:val="auto"/>
        </w:rPr>
        <w:t>(ii)for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921" w:right="62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execution of the amendment the secured convertible notes are then referred to as “the senior secured convertible notes”.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Upon execution of the senior secured convertible note on May 23, 2023, and extension to the maturity date to at least December 31, 2024, the Company classified the Convertible debt as non-current as at December 31, 2022 under the guidance in ASC 470-10-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45-14.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execution of the senior secured convertible note has been accounted for as troubled debt restructuring since May 23, 2023. No gain has been recognized.</w:t>
      </w:r>
    </w:p>
    <w:p>
      <w:pPr>
        <w:spacing w:after="0" w:line="11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carrying amount of the convertible debt was as follows:</w:t>
      </w:r>
    </w:p>
    <w:p>
      <w:pPr>
        <w:spacing w:after="0" w:line="153" w:lineRule="exact"/>
        <w:rPr>
          <w:sz w:val="20"/>
          <w:szCs w:val="20"/>
          <w:color w:val="auto"/>
        </w:rPr>
      </w:pPr>
    </w:p>
    <w:tbl>
      <w:tblPr>
        <w:tblLayout w:type="fixed"/>
        <w:tblInd w:w="480" w:type="dxa"/>
        <w:tblCellMar>
          <w:top w:w="0" w:type="dxa"/>
          <w:left w:w="0" w:type="dxa"/>
          <w:bottom w:w="0" w:type="dxa"/>
          <w:right w:w="0" w:type="dxa"/>
        </w:tblCellMar>
      </w:tblPr>
      <w:tr>
        <w:trPr>
          <w:trHeight w:val="98"/>
        </w:trPr>
        <w:tc>
          <w:tcPr>
            <w:tcW w:w="11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8"/>
                <w:szCs w:val="8"/>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Principal amount of notes</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24,000,000</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3,221,233</w:t>
            </w: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Discount on convertible debt</w:t>
            </w:r>
          </w:p>
        </w:tc>
        <w:tc>
          <w:tcPr>
            <w:tcW w:w="280" w:type="dxa"/>
            <w:vAlign w:val="bottom"/>
          </w:tcPr>
          <w:p>
            <w:pPr>
              <w:spacing w:after="0"/>
              <w:rPr>
                <w:sz w:val="9"/>
                <w:szCs w:val="9"/>
                <w:color w:val="auto"/>
              </w:rPr>
            </w:pP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(1,918,524 )</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 term convertible debt to related party</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 under troubled debt restructuring</w:t>
            </w:r>
          </w:p>
        </w:tc>
        <w:tc>
          <w:tcPr>
            <w:tcW w:w="280" w:type="dxa"/>
            <w:vAlign w:val="bottom"/>
          </w:tcPr>
          <w:p>
            <w:pPr>
              <w:spacing w:after="0"/>
              <w:rPr>
                <w:sz w:val="9"/>
                <w:szCs w:val="9"/>
                <w:color w:val="auto"/>
              </w:rPr>
            </w:pP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31,088,259</w:t>
            </w:r>
          </w:p>
        </w:tc>
        <w:tc>
          <w:tcPr>
            <w:tcW w:w="280" w:type="dxa"/>
            <w:vAlign w:val="bottom"/>
          </w:tcPr>
          <w:p>
            <w:pPr>
              <w:spacing w:after="0"/>
              <w:rPr>
                <w:sz w:val="9"/>
                <w:szCs w:val="9"/>
                <w:color w:val="auto"/>
              </w:rPr>
            </w:pP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b w:val="1"/>
                <w:bCs w:val="1"/>
                <w:color w:val="auto"/>
              </w:rPr>
              <w:t>31,220,528</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25,302,709</w:t>
            </w:r>
          </w:p>
        </w:tc>
      </w:tr>
      <w:tr>
        <w:trPr>
          <w:trHeight w:val="261"/>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The Company has not incurred any material debt issuance costs.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3"/>
        </w:trPr>
        <w:tc>
          <w:tcPr>
            <w:tcW w:w="5600" w:type="dxa"/>
            <w:vAlign w:val="bottom"/>
            <w:gridSpan w:val="2"/>
          </w:tcPr>
          <w:p>
            <w:pPr>
              <w:spacing w:after="0"/>
              <w:rPr>
                <w:sz w:val="20"/>
                <w:szCs w:val="20"/>
                <w:color w:val="auto"/>
              </w:rPr>
            </w:pPr>
            <w:r>
              <w:rPr>
                <w:rFonts w:ascii="Times New Roman" w:cs="Times New Roman" w:eastAsia="Times New Roman" w:hAnsi="Times New Roman"/>
                <w:sz w:val="10"/>
                <w:szCs w:val="10"/>
                <w:color w:val="auto"/>
                <w:w w:val="98"/>
              </w:rPr>
              <w:t>The following table sets forth the interest expense recognized related to the senior secured convertible notes and unsecured convertible loans: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1"/>
        </w:trPr>
        <w:tc>
          <w:tcPr>
            <w:tcW w:w="11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20"/>
                <w:szCs w:val="20"/>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11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3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8"/>
                <w:szCs w:val="8"/>
                <w:b w:val="1"/>
                <w:bCs w:val="1"/>
                <w:color w:val="auto"/>
                <w:w w:val="99"/>
              </w:rPr>
              <w:t>(as restated)</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debt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4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interest</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7,269</w:t>
            </w:r>
          </w:p>
        </w:tc>
        <w:tc>
          <w:tcPr>
            <w:tcW w:w="2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3,221,233</w:t>
            </w:r>
          </w:p>
        </w:tc>
      </w:tr>
      <w:tr>
        <w:trPr>
          <w:trHeight w:val="113"/>
        </w:trPr>
        <w:tc>
          <w:tcPr>
            <w:tcW w:w="1100" w:type="dxa"/>
            <w:vAlign w:val="bottom"/>
          </w:tcPr>
          <w:p>
            <w:pPr>
              <w:spacing w:after="0"/>
              <w:rPr>
                <w:sz w:val="9"/>
                <w:szCs w:val="9"/>
                <w:color w:val="auto"/>
              </w:rPr>
            </w:pPr>
          </w:p>
        </w:tc>
        <w:tc>
          <w:tcPr>
            <w:tcW w:w="4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Amortization of debt discount</w:t>
            </w: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163,976</w:t>
            </w:r>
          </w:p>
        </w:tc>
      </w:tr>
      <w:tr>
        <w:trPr>
          <w:trHeight w:val="127"/>
        </w:trPr>
        <w:tc>
          <w:tcPr>
            <w:tcW w:w="11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0"/>
                <w:szCs w:val="10"/>
                <w:b w:val="1"/>
                <w:bCs w:val="1"/>
                <w:color w:val="auto"/>
              </w:rPr>
              <w:t>7,269</w:t>
            </w:r>
          </w:p>
        </w:tc>
        <w:tc>
          <w:tcPr>
            <w:tcW w:w="280" w:type="dxa"/>
            <w:vAlign w:val="bottom"/>
          </w:tcPr>
          <w:p>
            <w:pPr>
              <w:spacing w:after="0"/>
              <w:rPr>
                <w:sz w:val="11"/>
                <w:szCs w:val="1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0"/>
                <w:szCs w:val="10"/>
                <w:b w:val="1"/>
                <w:bCs w:val="1"/>
                <w:color w:val="auto"/>
              </w:rPr>
              <w:t>3,385,209</w:t>
            </w: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8.4.</w:t>
      </w:r>
      <w:r>
        <w:rPr>
          <w:rFonts w:ascii="Times New Roman" w:cs="Times New Roman" w:eastAsia="Times New Roman" w:hAnsi="Times New Roman"/>
          <w:sz w:val="10"/>
          <w:szCs w:val="10"/>
          <w:color w:val="auto"/>
        </w:rPr>
        <w:t>A Short term convertible debt to a related party of $132,269 was also added to the Company’s senior secured convertible note. Including $125,000 of convertible debt and $7,269 of interest.</w:t>
      </w:r>
    </w:p>
    <w:p>
      <w:pPr>
        <w:spacing w:after="0" w:line="6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0"/>
          <w:szCs w:val="10"/>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10"/>
          <w:szCs w:val="10"/>
          <w:b w:val="1"/>
          <w:bCs w:val="1"/>
          <w:color w:val="auto"/>
        </w:rPr>
        <w:t>8.5.</w:t>
      </w:r>
      <w:r>
        <w:rPr>
          <w:rFonts w:ascii="Times New Roman" w:cs="Times New Roman" w:eastAsia="Times New Roman" w:hAnsi="Times New Roman"/>
          <w:sz w:val="10"/>
          <w:szCs w:val="10"/>
          <w:color w:val="auto"/>
        </w:rPr>
        <w:t>On October 7, 2021, the Group acquired Jaymax International Service Inc. (“Jaymax”) (later renamed to “Rezolve Taiwan Limited”). As part of the acquisition of Jaymax, the Company agreed to issue $1,400,000 in Rezolve ordinary share to Jaymax’s former owner</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9.Warrants</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 -Scholes Merton option pricing model and determined the fair value of the Warrants to be $ 1.20 per unit. The key inputs to the valuation model included an average volatility of 61.9% based on a group of similar companies, a risk- 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10.Ordinary shares issued at nominal value in lieu of services</w:t>
      </w:r>
    </w:p>
    <w:p>
      <w:pPr>
        <w:spacing w:after="0" w:line="60"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9"/>
          <w:szCs w:val="9"/>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92" w:lineRule="exact"/>
        <w:rPr>
          <w:sz w:val="20"/>
          <w:szCs w:val="20"/>
          <w:color w:val="auto"/>
        </w:rPr>
      </w:pPr>
    </w:p>
    <w:p>
      <w:pPr>
        <w:ind w:firstLine="480"/>
        <w:spacing w:after="0" w:line="272" w:lineRule="auto"/>
        <w:rPr>
          <w:sz w:val="20"/>
          <w:szCs w:val="20"/>
          <w:color w:val="auto"/>
        </w:rPr>
      </w:pPr>
      <w:r>
        <w:rPr>
          <w:rFonts w:ascii="Times New Roman" w:cs="Times New Roman" w:eastAsia="Times New Roman" w:hAnsi="Times New Roman"/>
          <w:sz w:val="9"/>
          <w:szCs w:val="9"/>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w:t>
      </w:r>
    </w:p>
    <w:p>
      <w:pPr>
        <w:spacing w:after="0" w:line="237" w:lineRule="auto"/>
        <w:rPr>
          <w:sz w:val="20"/>
          <w:szCs w:val="20"/>
          <w:color w:val="auto"/>
        </w:rPr>
      </w:pPr>
      <w:r>
        <w:rPr>
          <w:rFonts w:ascii="Times New Roman" w:cs="Times New Roman" w:eastAsia="Times New Roman" w:hAnsi="Times New Roman"/>
          <w:sz w:val="10"/>
          <w:szCs w:val="10"/>
          <w:color w:val="auto"/>
        </w:rPr>
        <w:t>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11.Share-based Compensation</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11.1 2022 LTIP Plan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In November 2022, the Company’s Board approved the 2022 Long-Term Incentive Plan (the “2022 LTIP”) .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105"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23"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3240" w:type="dxa"/>
            <w:vAlign w:val="bottom"/>
          </w:tcPr>
          <w:p>
            <w:pPr>
              <w:spacing w:after="0"/>
              <w:rPr>
                <w:sz w:val="9"/>
                <w:szCs w:val="9"/>
                <w:color w:val="auto"/>
              </w:rPr>
            </w:pPr>
          </w:p>
        </w:tc>
        <w:tc>
          <w:tcPr>
            <w:tcW w:w="3140" w:type="dxa"/>
            <w:vAlign w:val="bottom"/>
          </w:tcPr>
          <w:p>
            <w:pPr>
              <w:jc w:val="right"/>
              <w:ind w:right="69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term—years (1)</w:t>
            </w:r>
          </w:p>
        </w:tc>
        <w:tc>
          <w:tcPr>
            <w:tcW w:w="314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2.5 – 5.1</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share value</w:t>
            </w:r>
          </w:p>
        </w:tc>
        <w:tc>
          <w:tcPr>
            <w:tcW w:w="3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1.23</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volatility (2)</w:t>
            </w:r>
          </w:p>
        </w:tc>
        <w:tc>
          <w:tcPr>
            <w:tcW w:w="314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59.6% - 63.5%</w:t>
            </w:r>
          </w:p>
        </w:tc>
      </w:tr>
      <w:tr>
        <w:trPr>
          <w:trHeight w:val="113"/>
        </w:trPr>
        <w:tc>
          <w:tcPr>
            <w:tcW w:w="3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Risk-free interest rate (3)</w:t>
            </w:r>
          </w:p>
        </w:tc>
        <w:tc>
          <w:tcPr>
            <w:tcW w:w="3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3.8% - 4.2%</w:t>
            </w:r>
          </w:p>
        </w:tc>
      </w:tr>
      <w:tr>
        <w:trPr>
          <w:trHeight w:val="113"/>
        </w:trPr>
        <w:tc>
          <w:tcPr>
            <w:tcW w:w="3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Dividend yield (4)</w:t>
            </w:r>
          </w:p>
        </w:tc>
        <w:tc>
          <w:tcPr>
            <w:tcW w:w="31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2022 was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w w:val="99"/>
              </w:rPr>
              <w:t>Value (In</w:t>
            </w:r>
          </w:p>
        </w:tc>
      </w:tr>
      <w:tr>
        <w:trPr>
          <w:trHeight w:val="106"/>
        </w:trPr>
        <w:tc>
          <w:tcPr>
            <w:tcW w:w="486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options</w:t>
            </w:r>
          </w:p>
        </w:tc>
        <w:tc>
          <w:tcPr>
            <w:tcW w:w="18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2021</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15,750,000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gridSpan w:val="3"/>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5,700,000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7.0</w:t>
            </w: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2022 was $1.20. The total fair value of the options that vested during the year ended December 31, 2022 was $6,982,500.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2022.</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2022, the Company had $11.6 million of unrecognized share-based compensation expense related to share options. This cost is expected to be recognized over a weighted-average period of 15 months.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11.3 2023 LTIP Plan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2023 LTIP also amends the 2022 LTIP (issued in November 2022) to:</w:t>
      </w:r>
    </w:p>
    <w:p>
      <w:pPr>
        <w:spacing w:after="0" w:line="58" w:lineRule="exact"/>
        <w:rPr>
          <w:sz w:val="20"/>
          <w:szCs w:val="20"/>
          <w:color w:val="auto"/>
        </w:rPr>
      </w:pPr>
    </w:p>
    <w:p>
      <w:pPr>
        <w:ind w:left="5220" w:right="1920" w:hanging="4743"/>
        <w:spacing w:after="0" w:line="380" w:lineRule="auto"/>
        <w:rPr>
          <w:sz w:val="20"/>
          <w:szCs w:val="20"/>
          <w:color w:val="auto"/>
        </w:rPr>
      </w:pPr>
      <w:r>
        <w:rPr>
          <w:rFonts w:ascii="Times New Roman" w:cs="Times New Roman" w:eastAsia="Times New Roman" w:hAnsi="Times New Roman"/>
          <w:sz w:val="10"/>
          <w:szCs w:val="10"/>
          <w:color w:val="auto"/>
        </w:rPr>
        <w:t>•Amend any who grantees whose requisite service period completes in the year 2024 to complete in the month of September 2024, and therefore consolidate the end vesting date to the month of September, and 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right="4660"/>
        <w:spacing w:after="0" w:line="380" w:lineRule="auto"/>
        <w:rPr>
          <w:sz w:val="20"/>
          <w:szCs w:val="20"/>
          <w:color w:val="auto"/>
        </w:rPr>
      </w:pPr>
      <w:r>
        <w:rPr>
          <w:rFonts w:ascii="Times New Roman" w:cs="Times New Roman" w:eastAsia="Times New Roman" w:hAnsi="Times New Roman"/>
          <w:sz w:val="10"/>
          <w:szCs w:val="10"/>
          <w:color w:val="auto"/>
        </w:rPr>
        <w:t>•Those whose share options whose requisite service period was meant to complete in 2025 and 2026, vest in September of those years, and •Amend the vesting profile from a cliff vesting to a graded vesting.</w:t>
      </w:r>
    </w:p>
    <w:p>
      <w:pPr>
        <w:spacing w:after="0" w:line="4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2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37" w:lineRule="exact"/>
        <w:rPr>
          <w:sz w:val="20"/>
          <w:szCs w:val="20"/>
          <w:color w:val="auto"/>
        </w:rPr>
      </w:pPr>
    </w:p>
    <w:tbl>
      <w:tblPr>
        <w:tblLayout w:type="fixed"/>
        <w:tblInd w:w="2120" w:type="dxa"/>
        <w:tblCellMar>
          <w:top w:w="0" w:type="dxa"/>
          <w:left w:w="0" w:type="dxa"/>
          <w:bottom w:w="0" w:type="dxa"/>
          <w:right w:w="0" w:type="dxa"/>
        </w:tblCellMar>
      </w:tblPr>
      <w:tr>
        <w:trPr>
          <w:trHeight w:val="106"/>
        </w:trPr>
        <w:tc>
          <w:tcPr>
            <w:tcW w:w="29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0" w:type="dxa"/>
            <w:vAlign w:val="bottom"/>
          </w:tcPr>
          <w:p>
            <w:pPr>
              <w:jc w:val="right"/>
              <w:ind w:right="693"/>
              <w:spacing w:after="0"/>
              <w:rPr>
                <w:sz w:val="20"/>
                <w:szCs w:val="20"/>
                <w:color w:val="auto"/>
              </w:rPr>
            </w:pPr>
            <w:r>
              <w:rPr>
                <w:rFonts w:ascii="Times New Roman" w:cs="Times New Roman" w:eastAsia="Times New Roman" w:hAnsi="Times New Roman"/>
                <w:sz w:val="8"/>
                <w:szCs w:val="8"/>
                <w:b w:val="1"/>
                <w:bCs w:val="1"/>
                <w:color w:val="auto"/>
              </w:rPr>
              <w:t>2023</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term—years (1)</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1 – 5.1</w:t>
            </w:r>
          </w:p>
        </w:tc>
      </w:tr>
      <w:tr>
        <w:trPr>
          <w:trHeight w:val="113"/>
        </w:trPr>
        <w:tc>
          <w:tcPr>
            <w:tcW w:w="29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share value</w:t>
            </w:r>
          </w:p>
        </w:tc>
        <w:tc>
          <w:tcPr>
            <w:tcW w:w="2260" w:type="dxa"/>
            <w:vAlign w:val="bottom"/>
          </w:tcPr>
          <w:p>
            <w:pPr>
              <w:jc w:val="right"/>
              <w:ind w:right="2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20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0.10</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Expected volatility (2)</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59.6% - 63.5%</w:t>
            </w:r>
          </w:p>
        </w:tc>
      </w:tr>
      <w:tr>
        <w:trPr>
          <w:trHeight w:val="113"/>
        </w:trPr>
        <w:tc>
          <w:tcPr>
            <w:tcW w:w="29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Risk-free interest rate (3)</w:t>
            </w:r>
          </w:p>
        </w:tc>
        <w:tc>
          <w:tcPr>
            <w:tcW w:w="2260" w:type="dxa"/>
            <w:vAlign w:val="bottom"/>
          </w:tcPr>
          <w:p>
            <w:pPr>
              <w:spacing w:after="0"/>
              <w:rPr>
                <w:sz w:val="9"/>
                <w:szCs w:val="9"/>
                <w:color w:val="auto"/>
              </w:rPr>
            </w:pPr>
          </w:p>
        </w:tc>
        <w:tc>
          <w:tcPr>
            <w:tcW w:w="120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3.8% - 4.2%</w:t>
            </w:r>
          </w:p>
        </w:tc>
      </w:tr>
      <w:tr>
        <w:trPr>
          <w:trHeight w:val="113"/>
        </w:trPr>
        <w:tc>
          <w:tcPr>
            <w:tcW w:w="29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Dividend yield (4)</w:t>
            </w:r>
          </w:p>
        </w:tc>
        <w:tc>
          <w:tcPr>
            <w:tcW w:w="2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0 %</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(1)The expected term is the length of time the grant is expected to be outstanding before it is exercised or terminated. This number is calculated as the midpoint between the end of the vesting term and the contractual period to exercise.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(2)Volatility, or the standard deviation of annualized returns, was calculated based on comparable companies’ reported volatilities.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(3)Risk free rate was obtained from US treasury notes for the expected terms noted as of the valuation date.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(4)The Company has assumed a dividend yield of zero as it has no plans to declare dividends in the foreseeable future.</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share option activity for the year ended December 31, 2023 was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59"/>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center"/>
              <w:ind w:left="276"/>
              <w:spacing w:after="0"/>
              <w:rPr>
                <w:sz w:val="20"/>
                <w:szCs w:val="20"/>
                <w:color w:val="auto"/>
              </w:rPr>
            </w:pPr>
            <w:r>
              <w:rPr>
                <w:rFonts w:ascii="Times New Roman" w:cs="Times New Roman" w:eastAsia="Times New Roman" w:hAnsi="Times New Roman"/>
                <w:sz w:val="8"/>
                <w:szCs w:val="8"/>
                <w:b w:val="1"/>
                <w:bCs w:val="1"/>
                <w:color w:val="auto"/>
              </w:rPr>
              <w:t>Weighted-</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Average</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Aggregate</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Number of</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Average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Remaining</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Intrinsic</w:t>
            </w:r>
          </w:p>
        </w:tc>
      </w:tr>
      <w:tr>
        <w:trPr>
          <w:trHeight w:val="98"/>
        </w:trPr>
        <w:tc>
          <w:tcPr>
            <w:tcW w:w="4860" w:type="dxa"/>
            <w:vAlign w:val="bottom"/>
          </w:tcPr>
          <w:p>
            <w:pPr>
              <w:spacing w:after="0"/>
              <w:rPr>
                <w:sz w:val="8"/>
                <w:szCs w:val="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share</w:t>
            </w:r>
          </w:p>
        </w:tc>
        <w:tc>
          <w:tcPr>
            <w:tcW w:w="180" w:type="dxa"/>
            <w:vAlign w:val="bottom"/>
          </w:tcPr>
          <w:p>
            <w:pPr>
              <w:spacing w:after="0"/>
              <w:rPr>
                <w:sz w:val="8"/>
                <w:szCs w:val="8"/>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Exercise</w:t>
            </w: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Contractual</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w w:val="99"/>
              </w:rPr>
              <w:t>Value (In</w:t>
            </w:r>
          </w:p>
        </w:tc>
      </w:tr>
      <w:tr>
        <w:trPr>
          <w:trHeight w:val="106"/>
        </w:trPr>
        <w:tc>
          <w:tcPr>
            <w:tcW w:w="4860" w:type="dxa"/>
            <w:vAlign w:val="bottom"/>
          </w:tcPr>
          <w:p>
            <w:pPr>
              <w:spacing w:after="0"/>
              <w:rPr>
                <w:sz w:val="9"/>
                <w:szCs w:val="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options</w:t>
            </w:r>
          </w:p>
        </w:tc>
        <w:tc>
          <w:tcPr>
            <w:tcW w:w="180" w:type="dxa"/>
            <w:vAlign w:val="bottom"/>
          </w:tcPr>
          <w:p>
            <w:pPr>
              <w:spacing w:after="0"/>
              <w:rPr>
                <w:sz w:val="9"/>
                <w:szCs w:val="9"/>
                <w:color w:val="auto"/>
              </w:rPr>
            </w:pPr>
          </w:p>
        </w:tc>
        <w:tc>
          <w:tcPr>
            <w:tcW w:w="760" w:type="dxa"/>
            <w:vAlign w:val="bottom"/>
          </w:tcPr>
          <w:p>
            <w:pPr>
              <w:jc w:val="center"/>
              <w:ind w:left="296"/>
              <w:spacing w:after="0"/>
              <w:rPr>
                <w:sz w:val="20"/>
                <w:szCs w:val="20"/>
                <w:color w:val="auto"/>
              </w:rPr>
            </w:pPr>
            <w:r>
              <w:rPr>
                <w:rFonts w:ascii="Times New Roman" w:cs="Times New Roman" w:eastAsia="Times New Roman" w:hAnsi="Times New Roman"/>
                <w:sz w:val="8"/>
                <w:szCs w:val="8"/>
                <w:b w:val="1"/>
                <w:bCs w:val="1"/>
                <w:color w:val="auto"/>
              </w:rPr>
              <w:t>Price</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rPr>
              <w:t>life (years)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millions)</w:t>
            </w: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2022</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15,750,000</w:t>
            </w:r>
          </w:p>
        </w:tc>
        <w:tc>
          <w:tcPr>
            <w:tcW w:w="940" w:type="dxa"/>
            <w:vAlign w:val="bottom"/>
            <w:gridSpan w:val="2"/>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380" w:type="dxa"/>
            <w:vAlign w:val="bottom"/>
            <w:gridSpan w:val="2"/>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19.2</w:t>
            </w: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Issued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49,305,537</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5.9</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4.9</w:t>
            </w:r>
          </w:p>
        </w:tc>
        <w:tc>
          <w:tcPr>
            <w:tcW w:w="100" w:type="dxa"/>
            <w:vAlign w:val="bottom"/>
          </w:tcPr>
          <w:p>
            <w:pPr>
              <w:spacing w:after="0"/>
              <w:rPr>
                <w:sz w:val="9"/>
                <w:szCs w:val="9"/>
                <w:color w:val="auto"/>
              </w:rPr>
            </w:pPr>
          </w:p>
        </w:tc>
      </w:tr>
      <w:tr>
        <w:trPr>
          <w:trHeight w:val="113"/>
        </w:trPr>
        <w:tc>
          <w:tcPr>
            <w:tcW w:w="48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Exercised</w:t>
            </w:r>
          </w:p>
        </w:tc>
        <w:tc>
          <w:tcPr>
            <w:tcW w:w="10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300" w:type="dxa"/>
            <w:vAlign w:val="bottom"/>
            <w:gridSpan w:val="3"/>
            <w:shd w:val="clear" w:color="auto" w:fill="CFF0FC"/>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Cancelled/Forfeited</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gridSpan w:val="3"/>
          </w:tcPr>
          <w:p>
            <w:pPr>
              <w:jc w:val="right"/>
              <w:ind w:right="939"/>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Outstanding as of December 31, 2023</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65,055,537</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tcBorders>
              <w:bottom w:val="single" w:sz="8" w:color="CFF0FC"/>
            </w:tcBorders>
            <w:shd w:val="clear" w:color="auto" w:fill="CFF0FC"/>
          </w:tcPr>
          <w:p>
            <w:pPr>
              <w:spacing w:after="0"/>
              <w:rPr>
                <w:sz w:val="10"/>
                <w:szCs w:val="10"/>
                <w:color w:val="auto"/>
              </w:rPr>
            </w:pPr>
          </w:p>
        </w:tc>
      </w:tr>
      <w:tr>
        <w:trPr>
          <w:trHeight w:val="113"/>
        </w:trPr>
        <w:tc>
          <w:tcPr>
            <w:tcW w:w="48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Vested and exercisable</w:t>
            </w:r>
          </w:p>
        </w:tc>
        <w:tc>
          <w:tcPr>
            <w:tcW w:w="10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11,600,000</w:t>
            </w:r>
          </w:p>
        </w:tc>
        <w:tc>
          <w:tcPr>
            <w:tcW w:w="940" w:type="dxa"/>
            <w:vAlign w:val="bottom"/>
            <w:gridSpan w:val="2"/>
          </w:tcPr>
          <w:p>
            <w:pPr>
              <w:jc w:val="right"/>
              <w:ind w:right="656"/>
              <w:spacing w:after="0" w:line="113"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0.0001</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w:t>
            </w:r>
          </w:p>
        </w:tc>
        <w:tc>
          <w:tcPr>
            <w:tcW w:w="380" w:type="dxa"/>
            <w:vAlign w:val="bottom"/>
            <w:gridSpan w:val="2"/>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13.9</w:t>
            </w:r>
          </w:p>
        </w:tc>
        <w:tc>
          <w:tcPr>
            <w:tcW w:w="100" w:type="dxa"/>
            <w:vAlign w:val="bottom"/>
          </w:tcPr>
          <w:p>
            <w:pPr>
              <w:spacing w:after="0"/>
              <w:rPr>
                <w:sz w:val="9"/>
                <w:szCs w:val="9"/>
                <w:color w:val="auto"/>
              </w:rPr>
            </w:pPr>
          </w:p>
        </w:tc>
      </w:tr>
      <w:tr>
        <w:trPr>
          <w:trHeight w:val="115"/>
        </w:trPr>
        <w:tc>
          <w:tcPr>
            <w:tcW w:w="486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Vested and expected to vest</w:t>
            </w:r>
          </w:p>
        </w:tc>
        <w:tc>
          <w:tcPr>
            <w:tcW w:w="10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65,055,537</w:t>
            </w:r>
          </w:p>
        </w:tc>
        <w:tc>
          <w:tcPr>
            <w:tcW w:w="180" w:type="dxa"/>
            <w:vAlign w:val="bottom"/>
            <w:tcBorders>
              <w:bottom w:val="single" w:sz="8" w:color="CFF0FC"/>
            </w:tcBorders>
            <w:shd w:val="clear" w:color="auto" w:fill="CFF0FC"/>
          </w:tcPr>
          <w:p>
            <w:pPr>
              <w:spacing w:after="0"/>
              <w:rPr>
                <w:sz w:val="10"/>
                <w:szCs w:val="10"/>
                <w:color w:val="auto"/>
              </w:rPr>
            </w:pPr>
          </w:p>
        </w:tc>
        <w:tc>
          <w:tcPr>
            <w:tcW w:w="760" w:type="dxa"/>
            <w:vAlign w:val="bottom"/>
            <w:tcBorders>
              <w:bottom w:val="single" w:sz="8" w:color="auto"/>
            </w:tcBorders>
            <w:shd w:val="clear" w:color="auto" w:fill="CFF0FC"/>
          </w:tcPr>
          <w:p>
            <w:pPr>
              <w:jc w:val="right"/>
              <w:ind w:right="656"/>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0.0001</w:t>
            </w:r>
          </w:p>
        </w:tc>
        <w:tc>
          <w:tcPr>
            <w:tcW w:w="180" w:type="dxa"/>
            <w:vAlign w:val="bottom"/>
            <w:tcBorders>
              <w:bottom w:val="single" w:sz="8" w:color="CFF0FC"/>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6.5</w:t>
            </w:r>
          </w:p>
        </w:tc>
        <w:tc>
          <w:tcPr>
            <w:tcW w:w="20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24.1</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weighted-average grant date fair-value per share of the options granted during the year December 31, 2023 was $.10. The total fair value of the options that vested during the year ended December 31, 2022 was $8,725,218.</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share options were exercised during the year ended December 31, 2023.</w:t>
      </w:r>
    </w:p>
    <w:p>
      <w:pPr>
        <w:spacing w:after="0" w:line="118" w:lineRule="exact"/>
        <w:rPr>
          <w:sz w:val="20"/>
          <w:szCs w:val="20"/>
          <w:color w:val="auto"/>
        </w:rPr>
      </w:pPr>
    </w:p>
    <w:p>
      <w:pPr>
        <w:ind w:left="5220" w:right="1520" w:hanging="4743"/>
        <w:spacing w:after="0" w:line="380" w:lineRule="auto"/>
        <w:rPr>
          <w:sz w:val="20"/>
          <w:szCs w:val="20"/>
          <w:color w:val="auto"/>
        </w:rPr>
      </w:pPr>
      <w:r>
        <w:rPr>
          <w:rFonts w:ascii="Times New Roman" w:cs="Times New Roman" w:eastAsia="Times New Roman" w:hAnsi="Times New Roman"/>
          <w:sz w:val="10"/>
          <w:szCs w:val="10"/>
          <w:color w:val="auto"/>
        </w:rPr>
        <w:t>As of December 31, 2023, the Company had $7.0 million of unrecognized share-based compensation expense related to share options. This cost is expected to be recognized over a weighted-average period of 19 months. 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60"/>
          </w:cols>
          <w:pgMar w:left="640" w:top="921" w:right="70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12.Accrued expenses and other payables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8"/>
                <w:szCs w:val="8"/>
                <w:color w:val="auto"/>
              </w:rPr>
            </w:pPr>
          </w:p>
        </w:tc>
        <w:tc>
          <w:tcPr>
            <w:tcW w:w="980" w:type="dxa"/>
            <w:vAlign w:val="bottom"/>
          </w:tcPr>
          <w:p>
            <w:pPr>
              <w:jc w:val="right"/>
              <w:ind w:right="1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related payables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2,632,334</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763,181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Accrued expenses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1,323,842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1,686,609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VAT, duty and tax liability</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188,766</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11,515</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347,848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179,079</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4,492,790</w:t>
            </w:r>
          </w:p>
        </w:tc>
        <w:tc>
          <w:tcPr>
            <w:tcW w:w="16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2,640,384</w:t>
            </w:r>
          </w:p>
        </w:tc>
        <w:tc>
          <w:tcPr>
            <w:tcW w:w="1600" w:type="dxa"/>
            <w:vAlign w:val="bottom"/>
          </w:tcPr>
          <w:p>
            <w:pPr>
              <w:spacing w:after="0"/>
              <w:rPr>
                <w:sz w:val="10"/>
                <w:szCs w:val="10"/>
                <w:color w:val="auto"/>
              </w:rPr>
            </w:pPr>
          </w:p>
        </w:tc>
      </w:tr>
      <w:tr>
        <w:trPr>
          <w:trHeight w:val="321"/>
        </w:trPr>
        <w:tc>
          <w:tcPr>
            <w:tcW w:w="41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13.Expenses and other Non-operating (income) expense, net</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3"/>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Sales and marketing expenses</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Advertisement and publicity expenses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144,584</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635,166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1,371,468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1,788,941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1,602,332</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1,538,729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2,649,012</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375,721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963,858</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6,731,254</w:t>
            </w: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4"/>
              <w:spacing w:after="0" w:line="113" w:lineRule="exact"/>
              <w:rPr>
                <w:sz w:val="20"/>
                <w:szCs w:val="20"/>
                <w:color w:val="auto"/>
              </w:rPr>
            </w:pPr>
            <w:r>
              <w:rPr>
                <w:rFonts w:ascii="Times New Roman" w:cs="Times New Roman" w:eastAsia="Times New Roman" w:hAnsi="Times New Roman"/>
                <w:sz w:val="10"/>
                <w:szCs w:val="10"/>
                <w:b w:val="1"/>
                <w:bCs w:val="1"/>
                <w:color w:val="auto"/>
              </w:rPr>
              <w:t>4,338,557</w:t>
            </w:r>
          </w:p>
        </w:tc>
        <w:tc>
          <w:tcPr>
            <w:tcW w:w="1600" w:type="dxa"/>
            <w:vAlign w:val="bottom"/>
          </w:tcPr>
          <w:p>
            <w:pPr>
              <w:spacing w:after="0"/>
              <w:rPr>
                <w:sz w:val="10"/>
                <w:szCs w:val="10"/>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General and administrative expenses</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IT expenses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1,135,355</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1,066,708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Legal and professional expenses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2,274,891</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5,569,989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Business development expenses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7,136,168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Employee salaries and benefits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4,340,558</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3,506,501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Consultancy charges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3,472,170</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8,223,297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employees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2,543,621</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1,739,294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to related parties</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2,083,647</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payments for consultancy</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485,080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18,417,816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874,045</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1,479,026</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17,986,528</w:t>
            </w:r>
          </w:p>
        </w:tc>
        <w:tc>
          <w:tcPr>
            <w:tcW w:w="1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86,640,500</w:t>
            </w:r>
          </w:p>
        </w:tc>
        <w:tc>
          <w:tcPr>
            <w:tcW w:w="1600" w:type="dxa"/>
            <w:vAlign w:val="bottom"/>
          </w:tcPr>
          <w:p>
            <w:pPr>
              <w:spacing w:after="0"/>
              <w:rPr>
                <w:sz w:val="10"/>
                <w:szCs w:val="10"/>
                <w:color w:val="auto"/>
              </w:rPr>
            </w:pPr>
          </w:p>
        </w:tc>
      </w:tr>
      <w:tr>
        <w:trPr>
          <w:trHeight w:val="261"/>
        </w:trPr>
        <w:tc>
          <w:tcPr>
            <w:tcW w:w="41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Other non-operating (income) expense, net</w:t>
            </w:r>
          </w:p>
        </w:tc>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00" w:type="dxa"/>
            <w:vAlign w:val="bottom"/>
          </w:tcPr>
          <w:p>
            <w:pPr>
              <w:spacing w:after="0"/>
              <w:rPr>
                <w:sz w:val="20"/>
                <w:szCs w:val="20"/>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00" w:type="dxa"/>
            <w:vAlign w:val="bottom"/>
          </w:tcPr>
          <w:p>
            <w:pPr>
              <w:spacing w:after="0"/>
              <w:rPr>
                <w:sz w:val="9"/>
                <w:szCs w:val="9"/>
                <w:color w:val="auto"/>
              </w:rPr>
            </w:pPr>
          </w:p>
        </w:tc>
        <w:tc>
          <w:tcPr>
            <w:tcW w:w="98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9"/>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exchange loss</w:t>
            </w:r>
          </w:p>
        </w:tc>
        <w:tc>
          <w:tcPr>
            <w:tcW w:w="26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375,298</w:t>
            </w:r>
          </w:p>
        </w:tc>
        <w:tc>
          <w:tcPr>
            <w:tcW w:w="1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194,524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R&amp;D credits</w:t>
            </w: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(497,978 )</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(467,563 )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6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Other, net</w:t>
            </w:r>
          </w:p>
        </w:tc>
        <w:tc>
          <w:tcPr>
            <w:tcW w:w="2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color w:val="auto"/>
              </w:rPr>
              <w:t>(2,686 )</w:t>
            </w: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80" w:type="dxa"/>
            <w:vAlign w:val="bottom"/>
            <w:tcBorders>
              <w:right w:val="single" w:sz="8" w:color="CFF0FC"/>
            </w:tcBorders>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16,380</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600" w:type="dxa"/>
            <w:vAlign w:val="bottom"/>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Total</w:t>
            </w: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125,366</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(256,659 </w:t>
            </w:r>
            <w:r>
              <w:rPr>
                <w:rFonts w:ascii="Times New Roman" w:cs="Times New Roman" w:eastAsia="Times New Roman" w:hAnsi="Times New Roman"/>
                <w:sz w:val="10"/>
                <w:szCs w:val="10"/>
                <w:b w:val="1"/>
                <w:bCs w:val="1"/>
                <w:color w:val="auto"/>
                <w:vertAlign w:val="subscript"/>
              </w:rPr>
              <w:t>)</w:t>
            </w:r>
          </w:p>
        </w:tc>
        <w:tc>
          <w:tcPr>
            <w:tcW w:w="1600" w:type="dxa"/>
            <w:vAlign w:val="bottom"/>
          </w:tcPr>
          <w:p>
            <w:pPr>
              <w:spacing w:after="0"/>
              <w:rPr>
                <w:sz w:val="10"/>
                <w:szCs w:val="10"/>
                <w:color w:val="auto"/>
              </w:rPr>
            </w:pPr>
          </w:p>
        </w:tc>
      </w:tr>
      <w:tr>
        <w:trPr>
          <w:trHeight w:val="290"/>
        </w:trPr>
        <w:tc>
          <w:tcPr>
            <w:tcW w:w="1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ind w:left="1040"/>
              <w:spacing w:after="0"/>
              <w:rPr>
                <w:sz w:val="20"/>
                <w:szCs w:val="20"/>
                <w:color w:val="auto"/>
              </w:rPr>
            </w:pPr>
            <w:r>
              <w:rPr>
                <w:rFonts w:ascii="Times New Roman" w:cs="Times New Roman" w:eastAsia="Times New Roman" w:hAnsi="Times New Roman"/>
                <w:sz w:val="10"/>
                <w:szCs w:val="10"/>
                <w:color w:val="auto"/>
              </w:rPr>
              <w:t>F-54</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14.Related party disclosures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 w:type="dxa"/>
            <w:vAlign w:val="bottom"/>
          </w:tcPr>
          <w:p>
            <w:pPr>
              <w:spacing w:after="0"/>
              <w:rPr>
                <w:sz w:val="10"/>
                <w:szCs w:val="1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Key managerial personnel (KMP) and Members of their immediate families</w:t>
            </w:r>
          </w:p>
        </w:tc>
        <w:tc>
          <w:tcPr>
            <w:tcW w:w="3180" w:type="dxa"/>
            <w:vAlign w:val="bottom"/>
          </w:tcPr>
          <w:p>
            <w:pPr>
              <w:spacing w:after="0"/>
              <w:rPr>
                <w:sz w:val="10"/>
                <w:szCs w:val="10"/>
                <w:color w:val="auto"/>
              </w:rPr>
            </w:pPr>
          </w:p>
        </w:tc>
      </w:tr>
      <w:tr>
        <w:trPr>
          <w:trHeight w:val="20"/>
        </w:trPr>
        <w:tc>
          <w:tcPr>
            <w:tcW w:w="48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8"/>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Director and chief executive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financial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w w:val="96"/>
              </w:rPr>
              <w:t>Chief executive officer, products, technology and digital services</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technical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commercial officer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Chief executive officer, Rezolve China</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deputy chairman</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w:t>
            </w:r>
          </w:p>
        </w:tc>
      </w:tr>
      <w:tr>
        <w:trPr>
          <w:trHeight w:val="113"/>
        </w:trPr>
        <w:tc>
          <w:tcPr>
            <w:tcW w:w="4260" w:type="dxa"/>
            <w:vAlign w:val="bottom"/>
            <w:gridSpan w:val="3"/>
          </w:tcPr>
          <w:p>
            <w:pPr>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3180" w:type="dxa"/>
            <w:vAlign w:val="bottom"/>
          </w:tcPr>
          <w:p>
            <w:pPr>
              <w:ind w:left="640"/>
              <w:spacing w:after="0" w:line="113" w:lineRule="exact"/>
              <w:rPr>
                <w:sz w:val="20"/>
                <w:szCs w:val="20"/>
                <w:color w:val="auto"/>
              </w:rPr>
            </w:pPr>
            <w:r>
              <w:rPr>
                <w:rFonts w:ascii="Times New Roman" w:cs="Times New Roman" w:eastAsia="Times New Roman" w:hAnsi="Times New Roman"/>
                <w:sz w:val="10"/>
                <w:szCs w:val="10"/>
                <w:color w:val="auto"/>
              </w:rPr>
              <w:t>Non-Executive director (resigned May 19, 2023)</w:t>
            </w:r>
          </w:p>
        </w:tc>
      </w:tr>
      <w:tr>
        <w:trPr>
          <w:trHeight w:val="125"/>
        </w:trPr>
        <w:tc>
          <w:tcPr>
            <w:tcW w:w="42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Susan Wagner</w:t>
            </w:r>
          </w:p>
        </w:tc>
        <w:tc>
          <w:tcPr>
            <w:tcW w:w="3180" w:type="dxa"/>
            <w:vAlign w:val="bottom"/>
          </w:tcPr>
          <w:p>
            <w:pPr>
              <w:ind w:left="640"/>
              <w:spacing w:after="0"/>
              <w:rPr>
                <w:sz w:val="20"/>
                <w:szCs w:val="20"/>
                <w:color w:val="auto"/>
              </w:rPr>
            </w:pPr>
            <w:r>
              <w:rPr>
                <w:rFonts w:ascii="Times New Roman" w:cs="Times New Roman" w:eastAsia="Times New Roman" w:hAnsi="Times New Roman"/>
                <w:sz w:val="10"/>
                <w:szCs w:val="10"/>
                <w:color w:val="auto"/>
              </w:rPr>
              <w:t>Member</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(1)Amounts paid to Arthur Yao were paid out of Rezolve Limited in the UK. The Company’s operations in China have since been approved for a planned liquidation through the Demerger (Refer to Note 2.1—Basis of presentation).</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color w:val="auto"/>
        </w:rPr>
        <w:t>Transactions and outstanding balances of related parties were as follows: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Transactions during the year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80" w:type="dxa"/>
            <w:vAlign w:val="bottom"/>
          </w:tcPr>
          <w:p>
            <w:pPr>
              <w:spacing w:after="0"/>
              <w:rPr>
                <w:sz w:val="8"/>
                <w:szCs w:val="8"/>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80" w:type="dxa"/>
            <w:vAlign w:val="bottom"/>
          </w:tcPr>
          <w:p>
            <w:pPr>
              <w:spacing w:after="0"/>
              <w:rPr>
                <w:sz w:val="9"/>
                <w:szCs w:val="9"/>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Capital Issued at nominal value</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06"/>
        </w:trPr>
        <w:tc>
          <w:tcPr>
            <w:tcW w:w="1580" w:type="dxa"/>
            <w:vAlign w:val="bottom"/>
          </w:tcPr>
          <w:p>
            <w:pPr>
              <w:spacing w:after="0"/>
              <w:rPr>
                <w:sz w:val="9"/>
                <w:szCs w:val="9"/>
                <w:color w:val="auto"/>
              </w:rPr>
            </w:pPr>
          </w:p>
        </w:tc>
        <w:tc>
          <w:tcPr>
            <w:tcW w:w="288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DBLP Sea Cow (2) (number of ordinary shares issued</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9"/>
        </w:trPr>
        <w:tc>
          <w:tcPr>
            <w:tcW w:w="1580" w:type="dxa"/>
            <w:vAlign w:val="bottom"/>
          </w:tcPr>
          <w:p>
            <w:pPr>
              <w:spacing w:after="0"/>
              <w:rPr>
                <w:sz w:val="10"/>
                <w:szCs w:val="10"/>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 2–23 – Nil and 2–22 – 27,246,461)</w:t>
            </w:r>
          </w:p>
        </w:tc>
        <w:tc>
          <w:tcPr>
            <w:tcW w:w="18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3,225</w:t>
            </w:r>
          </w:p>
        </w:tc>
        <w:tc>
          <w:tcPr>
            <w:tcW w:w="1600" w:type="dxa"/>
            <w:vAlign w:val="bottom"/>
          </w:tcPr>
          <w:p>
            <w:pPr>
              <w:spacing w:after="0"/>
              <w:rPr>
                <w:sz w:val="10"/>
                <w:szCs w:val="10"/>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Repaid</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250,000</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Convertible Loans taken</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Loans Taken</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191,405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5,587,343</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Managerial remuneration</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Key Management Personnel</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296,067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298,654</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Salman Ahmad</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222,535</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207,395</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271,395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273,761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1,183,437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393,440</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188,972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789,997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779,810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1,183,437</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968,782</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Share-based compensation</w:t>
            </w:r>
          </w:p>
        </w:tc>
        <w:tc>
          <w:tcPr>
            <w:tcW w:w="1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756,944</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33,374,018</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1,326,703</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2,449,787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60,556</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60,556</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Banerjee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842,746</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3,677,896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3,047,505</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963,858</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1880" w:type="dxa"/>
            <w:vAlign w:val="bottom"/>
          </w:tcPr>
          <w:p>
            <w:pPr>
              <w:spacing w:after="0"/>
              <w:rPr>
                <w:sz w:val="9"/>
                <w:szCs w:val="9"/>
                <w:color w:val="auto"/>
              </w:rPr>
            </w:pPr>
          </w:p>
        </w:tc>
        <w:tc>
          <w:tcPr>
            <w:tcW w:w="1220" w:type="dxa"/>
            <w:vAlign w:val="bottom"/>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2,083,647</w:t>
            </w:r>
          </w:p>
        </w:tc>
        <w:tc>
          <w:tcPr>
            <w:tcW w:w="280" w:type="dxa"/>
            <w:vAlign w:val="bottom"/>
          </w:tcPr>
          <w:p>
            <w:pPr>
              <w:spacing w:after="0"/>
              <w:rPr>
                <w:sz w:val="9"/>
                <w:szCs w:val="9"/>
                <w:color w:val="auto"/>
              </w:rPr>
            </w:pPr>
          </w:p>
        </w:tc>
        <w:tc>
          <w:tcPr>
            <w:tcW w:w="118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880" w:type="dxa"/>
            <w:vAlign w:val="bottom"/>
            <w:shd w:val="clear" w:color="auto" w:fill="CFF0FC"/>
          </w:tcPr>
          <w:p>
            <w:pPr>
              <w:spacing w:after="0"/>
              <w:rPr>
                <w:sz w:val="9"/>
                <w:szCs w:val="9"/>
                <w:color w:val="auto"/>
              </w:rPr>
            </w:pPr>
          </w:p>
        </w:tc>
        <w:tc>
          <w:tcPr>
            <w:tcW w:w="1880" w:type="dxa"/>
            <w:vAlign w:val="bottom"/>
            <w:shd w:val="clear" w:color="auto" w:fill="CFF0FC"/>
          </w:tcPr>
          <w:p>
            <w:pPr>
              <w:spacing w:after="0"/>
              <w:rPr>
                <w:sz w:val="9"/>
                <w:szCs w:val="9"/>
                <w:color w:val="auto"/>
              </w:rPr>
            </w:pPr>
          </w:p>
        </w:tc>
        <w:tc>
          <w:tcPr>
            <w:tcW w:w="1220" w:type="dxa"/>
            <w:vAlign w:val="bottom"/>
            <w:shd w:val="clear" w:color="auto" w:fill="CFF0FC"/>
          </w:tcPr>
          <w:p>
            <w:pPr>
              <w:jc w:val="right"/>
              <w:ind w:right="52"/>
              <w:spacing w:after="0" w:line="113" w:lineRule="exact"/>
              <w:rPr>
                <w:sz w:val="20"/>
                <w:szCs w:val="20"/>
                <w:color w:val="auto"/>
              </w:rPr>
            </w:pPr>
            <w:r>
              <w:rPr>
                <w:rFonts w:ascii="Times New Roman" w:cs="Times New Roman" w:eastAsia="Times New Roman" w:hAnsi="Times New Roman"/>
                <w:sz w:val="10"/>
                <w:szCs w:val="10"/>
                <w:color w:val="auto"/>
              </w:rPr>
              <w:t>3,047,505</w:t>
            </w:r>
          </w:p>
        </w:tc>
        <w:tc>
          <w:tcPr>
            <w:tcW w:w="28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39,501,701</w:t>
            </w:r>
          </w:p>
        </w:tc>
        <w:tc>
          <w:tcPr>
            <w:tcW w:w="1600" w:type="dxa"/>
            <w:vAlign w:val="bottom"/>
          </w:tcPr>
          <w:p>
            <w:pPr>
              <w:spacing w:after="0"/>
              <w:rPr>
                <w:sz w:val="9"/>
                <w:szCs w:val="9"/>
                <w:color w:val="auto"/>
              </w:rPr>
            </w:pPr>
          </w:p>
        </w:tc>
      </w:tr>
      <w:tr>
        <w:trPr>
          <w:trHeight w:val="290"/>
        </w:trPr>
        <w:tc>
          <w:tcPr>
            <w:tcW w:w="1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80" w:type="dxa"/>
            <w:vAlign w:val="bottom"/>
          </w:tcPr>
          <w:p>
            <w:pPr>
              <w:jc w:val="right"/>
              <w:ind w:right="891"/>
              <w:spacing w:after="0"/>
              <w:rPr>
                <w:sz w:val="20"/>
                <w:szCs w:val="20"/>
                <w:color w:val="auto"/>
              </w:rPr>
            </w:pPr>
            <w:r>
              <w:rPr>
                <w:rFonts w:ascii="Times New Roman" w:cs="Times New Roman" w:eastAsia="Times New Roman" w:hAnsi="Times New Roman"/>
                <w:sz w:val="10"/>
                <w:szCs w:val="10"/>
                <w:color w:val="auto"/>
              </w:rPr>
              <w:t>F-55</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88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18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3040" w:type="dxa"/>
            <w:vAlign w:val="bottom"/>
          </w:tcPr>
          <w:p>
            <w:pPr>
              <w:jc w:val="right"/>
              <w:ind w:right="532"/>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100" w:type="dxa"/>
            <w:vAlign w:val="bottom"/>
          </w:tcPr>
          <w:p>
            <w:pPr>
              <w:spacing w:after="0"/>
              <w:rPr>
                <w:sz w:val="9"/>
                <w:szCs w:val="9"/>
                <w:color w:val="auto"/>
              </w:rPr>
            </w:pPr>
          </w:p>
        </w:tc>
        <w:tc>
          <w:tcPr>
            <w:tcW w:w="3040" w:type="dxa"/>
            <w:vAlign w:val="bottom"/>
          </w:tcPr>
          <w:p>
            <w:pPr>
              <w:jc w:val="right"/>
              <w:ind w:right="652"/>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Consulting fees</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414,926</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380,805</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 (1)</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1,014,926</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980,805</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714,926</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680,805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300,000</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300,000</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1,014,926</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980,805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Director remuneration</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Sir David Wright</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87,107</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380,084</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376,428</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93,329</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Derek Smith</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92,521</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93,329</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657,647</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650,193</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Management remuneration</w:t>
            </w: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Sales and marketing</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2,072,224</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869,777</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General and Administrative</w:t>
            </w:r>
          </w:p>
        </w:tc>
        <w:tc>
          <w:tcPr>
            <w:tcW w:w="3040" w:type="dxa"/>
            <w:vAlign w:val="bottom"/>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3,831,291</w:t>
            </w:r>
          </w:p>
        </w:tc>
        <w:tc>
          <w:tcPr>
            <w:tcW w:w="1300" w:type="dxa"/>
            <w:vAlign w:val="bottom"/>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41,231,704</w:t>
            </w:r>
          </w:p>
        </w:tc>
      </w:tr>
      <w:tr>
        <w:trPr>
          <w:trHeight w:val="113"/>
        </w:trPr>
        <w:tc>
          <w:tcPr>
            <w:tcW w:w="3100" w:type="dxa"/>
            <w:vAlign w:val="bottom"/>
            <w:shd w:val="clear" w:color="auto" w:fill="CFF0FC"/>
          </w:tcPr>
          <w:p>
            <w:pPr>
              <w:spacing w:after="0"/>
              <w:rPr>
                <w:sz w:val="9"/>
                <w:szCs w:val="9"/>
                <w:color w:val="auto"/>
              </w:rPr>
            </w:pP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5,903,515</w:t>
            </w:r>
          </w:p>
        </w:tc>
        <w:tc>
          <w:tcPr>
            <w:tcW w:w="13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rPr>
              <w:t>42,101,481</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Business development expenses</w:t>
            </w:r>
          </w:p>
        </w:tc>
        <w:tc>
          <w:tcPr>
            <w:tcW w:w="30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Rezolve China (3)</w:t>
            </w:r>
          </w:p>
        </w:tc>
        <w:tc>
          <w:tcPr>
            <w:tcW w:w="3040" w:type="dxa"/>
            <w:vAlign w:val="bottom"/>
            <w:shd w:val="clear" w:color="auto" w:fill="CFF0FC"/>
          </w:tcPr>
          <w:p>
            <w:pPr>
              <w:jc w:val="right"/>
              <w:ind w:right="212"/>
              <w:spacing w:after="0" w:line="113" w:lineRule="exact"/>
              <w:rPr>
                <w:sz w:val="20"/>
                <w:szCs w:val="20"/>
                <w:color w:val="auto"/>
              </w:rPr>
            </w:pPr>
            <w:r>
              <w:rPr>
                <w:rFonts w:ascii="Times New Roman" w:cs="Times New Roman" w:eastAsia="Times New Roman" w:hAnsi="Times New Roman"/>
                <w:sz w:val="10"/>
                <w:szCs w:val="10"/>
                <w:color w:val="auto"/>
              </w:rPr>
              <w:t>777,161</w:t>
            </w:r>
          </w:p>
        </w:tc>
        <w:tc>
          <w:tcPr>
            <w:tcW w:w="13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7,136,168</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(3)The Company has expensed all cash transferred to its subsidiary Rezolve China. Please refer to the basis of presentation discussed in note 2.1.</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Outstanding balances as at reporting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98"/>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3640" w:type="dxa"/>
            <w:vAlign w:val="bottom"/>
          </w:tcPr>
          <w:p>
            <w:pPr>
              <w:jc w:val="center"/>
              <w:ind w:left="175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 term debt to related party</w:t>
            </w:r>
          </w:p>
        </w:tc>
        <w:tc>
          <w:tcPr>
            <w:tcW w:w="36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640" w:type="dxa"/>
            <w:vAlign w:val="bottom"/>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447,067</w:t>
            </w:r>
          </w:p>
        </w:tc>
        <w:tc>
          <w:tcPr>
            <w:tcW w:w="130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640" w:type="dxa"/>
            <w:vAlign w:val="bottom"/>
            <w:shd w:val="clear" w:color="auto" w:fill="CFF0FC"/>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191,405</w:t>
            </w:r>
          </w:p>
        </w:tc>
        <w:tc>
          <w:tcPr>
            <w:tcW w:w="130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Igor Lychagov</w:t>
            </w:r>
          </w:p>
        </w:tc>
        <w:tc>
          <w:tcPr>
            <w:tcW w:w="3640" w:type="dxa"/>
            <w:vAlign w:val="bottom"/>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5,587,343</w:t>
            </w:r>
          </w:p>
        </w:tc>
        <w:tc>
          <w:tcPr>
            <w:tcW w:w="1300" w:type="dxa"/>
            <w:vAlign w:val="bottom"/>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500" w:type="dxa"/>
            <w:vAlign w:val="bottom"/>
            <w:shd w:val="clear" w:color="auto" w:fill="CFF0FC"/>
          </w:tcPr>
          <w:p>
            <w:pPr>
              <w:spacing w:after="0"/>
              <w:rPr>
                <w:sz w:val="9"/>
                <w:szCs w:val="9"/>
                <w:color w:val="auto"/>
              </w:rPr>
            </w:pPr>
          </w:p>
        </w:tc>
        <w:tc>
          <w:tcPr>
            <w:tcW w:w="3640" w:type="dxa"/>
            <w:vAlign w:val="bottom"/>
            <w:shd w:val="clear" w:color="auto" w:fill="CFF0FC"/>
          </w:tcPr>
          <w:p>
            <w:pPr>
              <w:jc w:val="right"/>
              <w:ind w:right="214"/>
              <w:spacing w:after="0" w:line="113" w:lineRule="exact"/>
              <w:rPr>
                <w:sz w:val="20"/>
                <w:szCs w:val="20"/>
                <w:color w:val="auto"/>
              </w:rPr>
            </w:pPr>
            <w:r>
              <w:rPr>
                <w:rFonts w:ascii="Times New Roman" w:cs="Times New Roman" w:eastAsia="Times New Roman" w:hAnsi="Times New Roman"/>
                <w:sz w:val="10"/>
                <w:szCs w:val="10"/>
                <w:color w:val="auto"/>
              </w:rPr>
              <w:t>6,225,815</w:t>
            </w:r>
          </w:p>
        </w:tc>
        <w:tc>
          <w:tcPr>
            <w:tcW w:w="130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697,067</w:t>
            </w:r>
          </w:p>
        </w:tc>
        <w:tc>
          <w:tcPr>
            <w:tcW w:w="1600" w:type="dxa"/>
            <w:vAlign w:val="bottom"/>
          </w:tcPr>
          <w:p>
            <w:pPr>
              <w:spacing w:after="0"/>
              <w:rPr>
                <w:sz w:val="9"/>
                <w:szCs w:val="9"/>
                <w:color w:val="auto"/>
              </w:rPr>
            </w:pPr>
          </w:p>
        </w:tc>
      </w:tr>
      <w:tr>
        <w:trPr>
          <w:trHeight w:val="291"/>
        </w:trPr>
        <w:tc>
          <w:tcPr>
            <w:tcW w:w="1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40" w:type="dxa"/>
            <w:vAlign w:val="bottom"/>
          </w:tcPr>
          <w:p>
            <w:pPr>
              <w:jc w:val="right"/>
              <w:ind w:right="2274"/>
              <w:spacing w:after="0"/>
              <w:rPr>
                <w:sz w:val="20"/>
                <w:szCs w:val="20"/>
                <w:color w:val="auto"/>
              </w:rPr>
            </w:pPr>
            <w:r>
              <w:rPr>
                <w:rFonts w:ascii="Times New Roman" w:cs="Times New Roman" w:eastAsia="Times New Roman" w:hAnsi="Times New Roman"/>
                <w:sz w:val="10"/>
                <w:szCs w:val="10"/>
                <w:color w:val="auto"/>
              </w:rPr>
              <w:t>F-56</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36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98"/>
        </w:trPr>
        <w:tc>
          <w:tcPr>
            <w:tcW w:w="3100" w:type="dxa"/>
            <w:vAlign w:val="bottom"/>
          </w:tcPr>
          <w:p>
            <w:pPr>
              <w:spacing w:after="0"/>
              <w:rPr>
                <w:sz w:val="8"/>
                <w:szCs w:val="8"/>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w w:val="98"/>
              </w:rPr>
              <w:t>$</w:t>
            </w:r>
          </w:p>
        </w:tc>
      </w:tr>
      <w:tr>
        <w:trPr>
          <w:trHeight w:val="106"/>
        </w:trPr>
        <w:tc>
          <w:tcPr>
            <w:tcW w:w="3100" w:type="dxa"/>
            <w:vAlign w:val="bottom"/>
          </w:tcPr>
          <w:p>
            <w:pPr>
              <w:spacing w:after="0"/>
              <w:rPr>
                <w:sz w:val="9"/>
                <w:szCs w:val="9"/>
                <w:color w:val="auto"/>
              </w:rPr>
            </w:pPr>
          </w:p>
        </w:tc>
        <w:tc>
          <w:tcPr>
            <w:tcW w:w="3040" w:type="dxa"/>
            <w:vAlign w:val="bottom"/>
          </w:tcPr>
          <w:p>
            <w:pPr>
              <w:jc w:val="center"/>
              <w:ind w:left="115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Due to related party</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350,000</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225,000</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147,605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172,476</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Richard Burchill</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535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Arthur Yao</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61,945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51,414</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Peter Vesco</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31,248</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42,906</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1,133</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Sauvik Banerjjee</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58,320</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Anthony Sharp</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127,325</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129,460</w:t>
            </w:r>
          </w:p>
        </w:tc>
      </w:tr>
      <w:tr>
        <w:trPr>
          <w:trHeight w:val="113"/>
        </w:trPr>
        <w:tc>
          <w:tcPr>
            <w:tcW w:w="3100" w:type="dxa"/>
            <w:vAlign w:val="bottom"/>
          </w:tcPr>
          <w:p>
            <w:pPr>
              <w:spacing w:after="0"/>
              <w:rPr>
                <w:sz w:val="9"/>
                <w:szCs w:val="9"/>
                <w:color w:val="auto"/>
              </w:rPr>
            </w:pP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777,576</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621,791</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Short term convertible debt</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Steve Perry</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132,269</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Share Subscription Receivables</w:t>
            </w:r>
          </w:p>
        </w:tc>
        <w:tc>
          <w:tcPr>
            <w:tcW w:w="304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Dan Wagner</w:t>
            </w:r>
          </w:p>
        </w:tc>
        <w:tc>
          <w:tcPr>
            <w:tcW w:w="3040" w:type="dxa"/>
            <w:vAlign w:val="bottom"/>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111,845</w:t>
            </w:r>
          </w:p>
        </w:tc>
        <w:tc>
          <w:tcPr>
            <w:tcW w:w="130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111,845</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DBLP Sea Cow (2)</w:t>
            </w:r>
          </w:p>
        </w:tc>
        <w:tc>
          <w:tcPr>
            <w:tcW w:w="3040" w:type="dxa"/>
            <w:vAlign w:val="bottom"/>
            <w:shd w:val="clear" w:color="auto" w:fill="CFF0FC"/>
          </w:tcPr>
          <w:p>
            <w:pPr>
              <w:jc w:val="right"/>
              <w:ind w:right="213"/>
              <w:spacing w:after="0" w:line="113" w:lineRule="exact"/>
              <w:rPr>
                <w:sz w:val="20"/>
                <w:szCs w:val="20"/>
                <w:color w:val="auto"/>
              </w:rPr>
            </w:pPr>
            <w:r>
              <w:rPr>
                <w:rFonts w:ascii="Times New Roman" w:cs="Times New Roman" w:eastAsia="Times New Roman" w:hAnsi="Times New Roman"/>
                <w:sz w:val="10"/>
                <w:szCs w:val="10"/>
                <w:color w:val="auto"/>
              </w:rPr>
              <w:t>7,999</w:t>
            </w:r>
          </w:p>
        </w:tc>
        <w:tc>
          <w:tcPr>
            <w:tcW w:w="130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7,999</w:t>
            </w:r>
          </w:p>
        </w:tc>
      </w:tr>
      <w:tr>
        <w:trPr>
          <w:trHeight w:val="125"/>
        </w:trPr>
        <w:tc>
          <w:tcPr>
            <w:tcW w:w="3100" w:type="dxa"/>
            <w:vAlign w:val="bottom"/>
          </w:tcPr>
          <w:p>
            <w:pPr>
              <w:spacing w:after="0"/>
              <w:rPr>
                <w:sz w:val="10"/>
                <w:szCs w:val="10"/>
                <w:color w:val="auto"/>
              </w:rPr>
            </w:pPr>
          </w:p>
        </w:tc>
        <w:tc>
          <w:tcPr>
            <w:tcW w:w="3040" w:type="dxa"/>
            <w:vAlign w:val="bottom"/>
          </w:tcPr>
          <w:p>
            <w:pPr>
              <w:jc w:val="right"/>
              <w:ind w:right="213"/>
              <w:spacing w:after="0"/>
              <w:rPr>
                <w:sz w:val="20"/>
                <w:szCs w:val="20"/>
                <w:color w:val="auto"/>
              </w:rPr>
            </w:pPr>
            <w:r>
              <w:rPr>
                <w:rFonts w:ascii="Times New Roman" w:cs="Times New Roman" w:eastAsia="Times New Roman" w:hAnsi="Times New Roman"/>
                <w:sz w:val="10"/>
                <w:szCs w:val="10"/>
                <w:color w:val="auto"/>
              </w:rPr>
              <w:t>119,844</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119,844</w:t>
            </w: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(2)DBLP Sea Cow Ltd. (a company incorporated in the Seychelles) (“DBLP Sea Cow”) is wholly legally owned by Dan Wagner, Chief Executive Officer of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15.Operating leases as lessee</w:t>
      </w:r>
    </w:p>
    <w:p>
      <w:pPr>
        <w:spacing w:after="0" w:line="60"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16.Income taxes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components of our loss (income) before income taxes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5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8"/>
                <w:szCs w:val="8"/>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8"/>
                <w:szCs w:val="8"/>
                <w:color w:val="auto"/>
              </w:rPr>
            </w:pPr>
          </w:p>
        </w:tc>
      </w:tr>
      <w:tr>
        <w:trPr>
          <w:trHeight w:val="106"/>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40" w:type="dxa"/>
            <w:vAlign w:val="bottom"/>
          </w:tcPr>
          <w:p>
            <w:pPr>
              <w:spacing w:after="0"/>
              <w:rPr>
                <w:sz w:val="9"/>
                <w:szCs w:val="9"/>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UK</w:t>
            </w:r>
          </w:p>
        </w:tc>
        <w:tc>
          <w:tcPr>
            <w:tcW w:w="2780" w:type="dxa"/>
            <w:vAlign w:val="bottom"/>
            <w:gridSpan w:val="3"/>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29,427,631</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107,945,740</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US</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994,933</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634,526</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Spain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298,927</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381,321</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(92,982 )</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(300,433 )</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44,181</w:t>
            </w:r>
          </w:p>
        </w:tc>
        <w:tc>
          <w:tcPr>
            <w:tcW w:w="1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2,051,794</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30,672,980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110,712,948</w:t>
            </w:r>
          </w:p>
        </w:tc>
        <w:tc>
          <w:tcPr>
            <w:tcW w:w="1600" w:type="dxa"/>
            <w:vAlign w:val="bottom"/>
          </w:tcPr>
          <w:p>
            <w:pPr>
              <w:spacing w:after="0"/>
              <w:rPr>
                <w:sz w:val="10"/>
                <w:szCs w:val="10"/>
                <w:color w:val="auto"/>
              </w:rPr>
            </w:pPr>
          </w:p>
        </w:tc>
      </w:tr>
      <w:tr>
        <w:trPr>
          <w:trHeight w:val="261"/>
        </w:trPr>
        <w:tc>
          <w:tcPr>
            <w:tcW w:w="380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Current Income tax expense (benefit) consists of:</w:t>
            </w:r>
          </w:p>
        </w:tc>
        <w:tc>
          <w:tcPr>
            <w:tcW w:w="2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1"/>
        </w:trPr>
        <w:tc>
          <w:tcPr>
            <w:tcW w:w="1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140" w:type="dxa"/>
            <w:vAlign w:val="bottom"/>
          </w:tcPr>
          <w:p>
            <w:pPr>
              <w:spacing w:after="0"/>
              <w:rPr>
                <w:sz w:val="20"/>
                <w:szCs w:val="20"/>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8"/>
                <w:szCs w:val="8"/>
                <w:b w:val="1"/>
                <w:bCs w:val="1"/>
                <w:color w:val="auto"/>
              </w:rPr>
              <w:t>December 31, 2022</w:t>
            </w:r>
          </w:p>
        </w:tc>
        <w:tc>
          <w:tcPr>
            <w:tcW w:w="1600" w:type="dxa"/>
            <w:vAlign w:val="bottom"/>
          </w:tcPr>
          <w:p>
            <w:pPr>
              <w:spacing w:after="0"/>
              <w:rPr>
                <w:sz w:val="20"/>
                <w:szCs w:val="20"/>
                <w:color w:val="auto"/>
              </w:rPr>
            </w:pPr>
          </w:p>
        </w:tc>
      </w:tr>
      <w:tr>
        <w:trPr>
          <w:trHeight w:val="106"/>
        </w:trPr>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40" w:type="dxa"/>
            <w:vAlign w:val="bottom"/>
          </w:tcPr>
          <w:p>
            <w:pPr>
              <w:spacing w:after="0"/>
              <w:rPr>
                <w:sz w:val="9"/>
                <w:szCs w:val="9"/>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2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0" w:type="dxa"/>
            <w:vAlign w:val="bottom"/>
            <w:gridSpan w:val="3"/>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FF0FC"/>
          </w:tcPr>
          <w:p>
            <w:pPr>
              <w:spacing w:after="0"/>
              <w:rPr>
                <w:sz w:val="9"/>
                <w:szCs w:val="9"/>
                <w:color w:val="auto"/>
              </w:rPr>
            </w:pPr>
          </w:p>
        </w:tc>
        <w:tc>
          <w:tcPr>
            <w:tcW w:w="1100" w:type="dxa"/>
            <w:vAlign w:val="bottom"/>
            <w:tcBorders>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10,639</w:t>
            </w:r>
          </w:p>
        </w:tc>
        <w:tc>
          <w:tcPr>
            <w:tcW w:w="1600" w:type="dxa"/>
            <w:vAlign w:val="bottom"/>
          </w:tcPr>
          <w:p>
            <w:pPr>
              <w:spacing w:after="0"/>
              <w:rPr>
                <w:sz w:val="9"/>
                <w:szCs w:val="9"/>
                <w:color w:val="auto"/>
              </w:rPr>
            </w:pPr>
          </w:p>
        </w:tc>
      </w:tr>
      <w:tr>
        <w:trPr>
          <w:trHeight w:val="113"/>
        </w:trPr>
        <w:tc>
          <w:tcPr>
            <w:tcW w:w="1580" w:type="dxa"/>
            <w:vAlign w:val="bottom"/>
          </w:tcPr>
          <w:p>
            <w:pPr>
              <w:spacing w:after="0"/>
              <w:rPr>
                <w:sz w:val="9"/>
                <w:szCs w:val="9"/>
                <w:color w:val="auto"/>
              </w:rPr>
            </w:pPr>
          </w:p>
        </w:tc>
        <w:tc>
          <w:tcPr>
            <w:tcW w:w="2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2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63,408</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right"/>
              <w:ind w:right="34"/>
              <w:spacing w:after="0" w:line="113" w:lineRule="exact"/>
              <w:rPr>
                <w:sz w:val="20"/>
                <w:szCs w:val="20"/>
                <w:color w:val="auto"/>
              </w:rPr>
            </w:pPr>
            <w:r>
              <w:rPr>
                <w:rFonts w:ascii="Times New Roman" w:cs="Times New Roman" w:eastAsia="Times New Roman" w:hAnsi="Times New Roman"/>
                <w:sz w:val="10"/>
                <w:szCs w:val="10"/>
                <w:color w:val="auto"/>
              </w:rPr>
              <w:t>28,126</w:t>
            </w:r>
          </w:p>
        </w:tc>
        <w:tc>
          <w:tcPr>
            <w:tcW w:w="1600" w:type="dxa"/>
            <w:vAlign w:val="bottom"/>
          </w:tcPr>
          <w:p>
            <w:pPr>
              <w:spacing w:after="0"/>
              <w:rPr>
                <w:sz w:val="9"/>
                <w:szCs w:val="9"/>
                <w:color w:val="auto"/>
              </w:rPr>
            </w:pPr>
          </w:p>
        </w:tc>
      </w:tr>
      <w:tr>
        <w:trPr>
          <w:trHeight w:val="115"/>
        </w:trPr>
        <w:tc>
          <w:tcPr>
            <w:tcW w:w="1580" w:type="dxa"/>
            <w:vAlign w:val="bottom"/>
          </w:tcPr>
          <w:p>
            <w:pPr>
              <w:spacing w:after="0"/>
              <w:rPr>
                <w:sz w:val="10"/>
                <w:szCs w:val="10"/>
                <w:color w:val="auto"/>
              </w:rPr>
            </w:pPr>
          </w:p>
        </w:tc>
        <w:tc>
          <w:tcPr>
            <w:tcW w:w="2220" w:type="dxa"/>
            <w:vAlign w:val="bottom"/>
            <w:tcBorders>
              <w:bottom w:val="single" w:sz="8" w:color="CFF0FC"/>
            </w:tcBorders>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Total</w:t>
            </w:r>
          </w:p>
        </w:tc>
        <w:tc>
          <w:tcPr>
            <w:tcW w:w="260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63,408</w:t>
            </w:r>
          </w:p>
        </w:tc>
        <w:tc>
          <w:tcPr>
            <w:tcW w:w="140" w:type="dxa"/>
            <w:vAlign w:val="bottom"/>
            <w:tcBorders>
              <w:bottom w:val="single" w:sz="8" w:color="CFF0FC"/>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40" w:type="dxa"/>
            <w:vAlign w:val="bottom"/>
            <w:tcBorders>
              <w:bottom w:val="single" w:sz="8" w:color="auto"/>
            </w:tcBorders>
            <w:shd w:val="clear" w:color="auto" w:fill="CFF0FC"/>
          </w:tcPr>
          <w:p>
            <w:pPr>
              <w:spacing w:after="0"/>
              <w:rPr>
                <w:sz w:val="10"/>
                <w:szCs w:val="10"/>
                <w:color w:val="auto"/>
              </w:rPr>
            </w:pPr>
          </w:p>
        </w:tc>
        <w:tc>
          <w:tcPr>
            <w:tcW w:w="1100" w:type="dxa"/>
            <w:vAlign w:val="bottom"/>
            <w:tcBorders>
              <w:bottom w:val="single" w:sz="8" w:color="auto"/>
              <w:right w:val="single" w:sz="8" w:color="CFF0FC"/>
            </w:tcBorders>
            <w:shd w:val="clear" w:color="auto" w:fill="CFF0FC"/>
          </w:tcPr>
          <w:p>
            <w:pPr>
              <w:jc w:val="right"/>
              <w:ind w:right="34"/>
              <w:spacing w:after="0" w:line="113" w:lineRule="exact"/>
              <w:rPr>
                <w:sz w:val="20"/>
                <w:szCs w:val="20"/>
                <w:color w:val="auto"/>
              </w:rPr>
            </w:pPr>
            <w:r>
              <w:rPr>
                <w:rFonts w:ascii="Times New Roman" w:cs="Times New Roman" w:eastAsia="Times New Roman" w:hAnsi="Times New Roman"/>
                <w:sz w:val="10"/>
                <w:szCs w:val="10"/>
                <w:b w:val="1"/>
                <w:bCs w:val="1"/>
                <w:color w:val="auto"/>
              </w:rPr>
              <w:t>38,765</w:t>
            </w:r>
          </w:p>
        </w:tc>
        <w:tc>
          <w:tcPr>
            <w:tcW w:w="1600" w:type="dxa"/>
            <w:vAlign w:val="bottom"/>
          </w:tcPr>
          <w:p>
            <w:pPr>
              <w:spacing w:after="0"/>
              <w:rPr>
                <w:sz w:val="10"/>
                <w:szCs w:val="10"/>
                <w:color w:val="auto"/>
              </w:rPr>
            </w:pPr>
          </w:p>
        </w:tc>
      </w:tr>
      <w:tr>
        <w:trPr>
          <w:trHeight w:val="290"/>
        </w:trPr>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80" w:type="dxa"/>
            <w:vAlign w:val="bottom"/>
            <w:gridSpan w:val="3"/>
          </w:tcPr>
          <w:p>
            <w:pPr>
              <w:jc w:val="right"/>
              <w:ind w:right="1180"/>
              <w:spacing w:after="0"/>
              <w:rPr>
                <w:sz w:val="20"/>
                <w:szCs w:val="20"/>
                <w:color w:val="auto"/>
              </w:rPr>
            </w:pPr>
            <w:r>
              <w:rPr>
                <w:rFonts w:ascii="Times New Roman" w:cs="Times New Roman" w:eastAsia="Times New Roman" w:hAnsi="Times New Roman"/>
                <w:sz w:val="10"/>
                <w:szCs w:val="10"/>
                <w:color w:val="auto"/>
              </w:rPr>
              <w:t>F-57</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220" w:type="dxa"/>
            <w:vAlign w:val="bottom"/>
            <w:tcBorders>
              <w:bottom w:val="single" w:sz="8" w:color="EEEEEE"/>
            </w:tcBorders>
          </w:tcPr>
          <w:p>
            <w:pPr>
              <w:spacing w:after="0"/>
              <w:rPr>
                <w:sz w:val="24"/>
                <w:szCs w:val="24"/>
                <w:color w:val="auto"/>
              </w:rPr>
            </w:pPr>
          </w:p>
        </w:tc>
        <w:tc>
          <w:tcPr>
            <w:tcW w:w="26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Income tax benefit attributable to our loss before income taxes differs from the amounts computed using the applicable income tax rate as a result of the following factors: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5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20" w:type="dxa"/>
            <w:vAlign w:val="bottom"/>
          </w:tcPr>
          <w:p>
            <w:pPr>
              <w:spacing w:after="0"/>
              <w:rPr>
                <w:sz w:val="8"/>
                <w:szCs w:val="8"/>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20" w:type="dxa"/>
            <w:vAlign w:val="bottom"/>
          </w:tcPr>
          <w:p>
            <w:pPr>
              <w:spacing w:after="0"/>
              <w:rPr>
                <w:sz w:val="9"/>
                <w:szCs w:val="9"/>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Loss before income taxes</w:t>
            </w:r>
          </w:p>
        </w:tc>
        <w:tc>
          <w:tcPr>
            <w:tcW w:w="14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(30,672,690 )</w:t>
            </w:r>
          </w:p>
        </w:tc>
        <w:tc>
          <w:tcPr>
            <w:tcW w:w="22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(110,712,948 )</w:t>
            </w:r>
          </w:p>
        </w:tc>
      </w:tr>
      <w:tr>
        <w:trPr>
          <w:trHeight w:val="113"/>
        </w:trPr>
        <w:tc>
          <w:tcPr>
            <w:tcW w:w="3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Income tax benefit at statutory tax rates (a)</w:t>
            </w:r>
          </w:p>
        </w:tc>
        <w:tc>
          <w:tcPr>
            <w:tcW w:w="1440" w:type="dxa"/>
            <w:vAlign w:val="bottom"/>
          </w:tcPr>
          <w:p>
            <w:pPr>
              <w:spacing w:after="0"/>
              <w:rPr>
                <w:sz w:val="9"/>
                <w:szCs w:val="9"/>
                <w:color w:val="auto"/>
              </w:rPr>
            </w:pPr>
          </w:p>
        </w:tc>
        <w:tc>
          <w:tcPr>
            <w:tcW w:w="114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7,208,082</w:t>
            </w:r>
          </w:p>
        </w:tc>
        <w:tc>
          <w:tcPr>
            <w:tcW w:w="220" w:type="dxa"/>
            <w:vAlign w:val="bottom"/>
          </w:tcPr>
          <w:p>
            <w:pPr>
              <w:spacing w:after="0"/>
              <w:rPr>
                <w:sz w:val="9"/>
                <w:szCs w:val="9"/>
                <w:color w:val="auto"/>
              </w:rPr>
            </w:pP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21,035,460</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r>
      <w:tr>
        <w:trPr>
          <w:trHeight w:val="106"/>
        </w:trPr>
        <w:tc>
          <w:tcPr>
            <w:tcW w:w="3560" w:type="dxa"/>
            <w:vAlign w:val="bottom"/>
          </w:tcPr>
          <w:p>
            <w:pPr>
              <w:ind w:left="20"/>
              <w:spacing w:after="0" w:line="106" w:lineRule="exact"/>
              <w:rPr>
                <w:sz w:val="20"/>
                <w:szCs w:val="20"/>
                <w:color w:val="auto"/>
              </w:rPr>
            </w:pPr>
            <w:r>
              <w:rPr>
                <w:rFonts w:ascii="Times New Roman" w:cs="Times New Roman" w:eastAsia="Times New Roman" w:hAnsi="Times New Roman"/>
                <w:sz w:val="10"/>
                <w:szCs w:val="10"/>
                <w:color w:val="auto"/>
              </w:rPr>
              <w:t>Non-deductible or non-taxable foreign currency exchange</w:t>
            </w:r>
          </w:p>
        </w:tc>
        <w:tc>
          <w:tcPr>
            <w:tcW w:w="1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19"/>
        </w:trPr>
        <w:tc>
          <w:tcPr>
            <w:tcW w:w="35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results</w:t>
            </w:r>
          </w:p>
        </w:tc>
        <w:tc>
          <w:tcPr>
            <w:tcW w:w="1440" w:type="dxa"/>
            <w:vAlign w:val="bottom"/>
          </w:tcPr>
          <w:p>
            <w:pPr>
              <w:spacing w:after="0"/>
              <w:rPr>
                <w:sz w:val="10"/>
                <w:szCs w:val="1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(88,195 )</w:t>
            </w:r>
          </w:p>
        </w:tc>
        <w:tc>
          <w:tcPr>
            <w:tcW w:w="2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(214,299 )</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International rate differences (b)</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(9,845 )</w:t>
            </w: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282,884</w:t>
            </w:r>
          </w:p>
        </w:tc>
      </w:tr>
      <w:tr>
        <w:trPr>
          <w:trHeight w:val="113"/>
        </w:trPr>
        <w:tc>
          <w:tcPr>
            <w:tcW w:w="3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Non-deductible expenses</w:t>
            </w:r>
          </w:p>
        </w:tc>
        <w:tc>
          <w:tcPr>
            <w:tcW w:w="1440" w:type="dxa"/>
            <w:vAlign w:val="bottom"/>
          </w:tcPr>
          <w:p>
            <w:pPr>
              <w:spacing w:after="0"/>
              <w:rPr>
                <w:sz w:val="9"/>
                <w:szCs w:val="9"/>
                <w:color w:val="auto"/>
              </w:rPr>
            </w:pPr>
          </w:p>
        </w:tc>
        <w:tc>
          <w:tcPr>
            <w:tcW w:w="114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(2,050,426 )</w:t>
            </w:r>
          </w:p>
        </w:tc>
        <w:tc>
          <w:tcPr>
            <w:tcW w:w="220" w:type="dxa"/>
            <w:vAlign w:val="bottom"/>
          </w:tcPr>
          <w:p>
            <w:pPr>
              <w:spacing w:after="0"/>
              <w:rPr>
                <w:sz w:val="9"/>
                <w:szCs w:val="9"/>
                <w:color w:val="auto"/>
              </w:rPr>
            </w:pPr>
          </w:p>
        </w:tc>
        <w:tc>
          <w:tcPr>
            <w:tcW w:w="10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(14,818,455 )</w:t>
            </w:r>
          </w:p>
        </w:tc>
      </w:tr>
      <w:tr>
        <w:trPr>
          <w:trHeight w:val="113"/>
        </w:trPr>
        <w:tc>
          <w:tcPr>
            <w:tcW w:w="3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1440" w:type="dxa"/>
            <w:vAlign w:val="bottom"/>
            <w:shd w:val="clear" w:color="auto" w:fill="CFF0FC"/>
          </w:tcPr>
          <w:p>
            <w:pPr>
              <w:spacing w:after="0"/>
              <w:rPr>
                <w:sz w:val="9"/>
                <w:szCs w:val="9"/>
                <w:color w:val="auto"/>
              </w:rPr>
            </w:pPr>
          </w:p>
        </w:tc>
        <w:tc>
          <w:tcPr>
            <w:tcW w:w="114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(4,996,208 )</w:t>
            </w:r>
          </w:p>
        </w:tc>
        <w:tc>
          <w:tcPr>
            <w:tcW w:w="220" w:type="dxa"/>
            <w:vAlign w:val="bottom"/>
            <w:shd w:val="clear" w:color="auto" w:fill="CFF0FC"/>
          </w:tcPr>
          <w:p>
            <w:pPr>
              <w:spacing w:after="0"/>
              <w:rPr>
                <w:sz w:val="9"/>
                <w:szCs w:val="9"/>
                <w:color w:val="auto"/>
              </w:rPr>
            </w:pP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(6,246,825 )</w:t>
            </w:r>
          </w:p>
        </w:tc>
      </w:tr>
      <w:tr>
        <w:trPr>
          <w:trHeight w:val="125"/>
        </w:trPr>
        <w:tc>
          <w:tcPr>
            <w:tcW w:w="35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Income tax expense</w:t>
            </w:r>
          </w:p>
        </w:tc>
        <w:tc>
          <w:tcPr>
            <w:tcW w:w="1440" w:type="dxa"/>
            <w:vAlign w:val="bottom"/>
          </w:tcPr>
          <w:p>
            <w:pPr>
              <w:spacing w:after="0"/>
              <w:rPr>
                <w:sz w:val="10"/>
                <w:szCs w:val="10"/>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0"/>
                <w:szCs w:val="10"/>
                <w:color w:val="auto"/>
              </w:rPr>
              <w:t>63,408</w:t>
            </w:r>
          </w:p>
        </w:tc>
        <w:tc>
          <w:tcPr>
            <w:tcW w:w="220" w:type="dxa"/>
            <w:vAlign w:val="bottom"/>
          </w:tcPr>
          <w:p>
            <w:pPr>
              <w:spacing w:after="0"/>
              <w:rPr>
                <w:sz w:val="10"/>
                <w:szCs w:val="1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38,765</w:t>
            </w:r>
          </w:p>
        </w:tc>
      </w:tr>
    </w:tbl>
    <w:p>
      <w:pPr>
        <w:spacing w:after="0" w:line="123" w:lineRule="exact"/>
        <w:rPr>
          <w:sz w:val="20"/>
          <w:szCs w:val="20"/>
          <w:color w:val="auto"/>
        </w:rPr>
      </w:pPr>
    </w:p>
    <w:p>
      <w:pPr>
        <w:ind w:left="480" w:right="20"/>
        <w:spacing w:after="0" w:line="255" w:lineRule="auto"/>
        <w:rPr>
          <w:sz w:val="20"/>
          <w:szCs w:val="20"/>
          <w:color w:val="auto"/>
        </w:rPr>
      </w:pPr>
      <w:r>
        <w:rPr>
          <w:rFonts w:ascii="Times New Roman" w:cs="Times New Roman" w:eastAsia="Times New Roman" w:hAnsi="Times New Roman"/>
          <w:sz w:val="10"/>
          <w:szCs w:val="10"/>
          <w:color w:val="auto"/>
        </w:rPr>
        <w:t>(a)The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(b)Amounts reflect adjustments (either a benefit or expense) to the “expected” tax expense for statutory rates in jurisdictions in which we operate outside of the UK.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and its subsidiaries are liable to income taxes in their respective jurisdiction. The Company has unused tax losses as follows as at December 31, 2023:</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6"/>
        </w:trPr>
        <w:tc>
          <w:tcPr>
            <w:tcW w:w="31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Subsidiaries in Jurisdiction</w:t>
            </w:r>
          </w:p>
        </w:tc>
        <w:tc>
          <w:tcPr>
            <w:tcW w:w="3260" w:type="dxa"/>
            <w:vAlign w:val="bottom"/>
          </w:tcPr>
          <w:p>
            <w:pPr>
              <w:jc w:val="right"/>
              <w:ind w:right="293"/>
              <w:spacing w:after="0"/>
              <w:rPr>
                <w:sz w:val="20"/>
                <w:szCs w:val="20"/>
                <w:color w:val="auto"/>
              </w:rPr>
            </w:pPr>
            <w:r>
              <w:rPr>
                <w:rFonts w:ascii="Times New Roman" w:cs="Times New Roman" w:eastAsia="Times New Roman" w:hAnsi="Times New Roman"/>
                <w:sz w:val="8"/>
                <w:szCs w:val="8"/>
                <w:b w:val="1"/>
                <w:bCs w:val="1"/>
                <w:color w:val="auto"/>
              </w:rPr>
              <w:t>Tax loss carryforward</w:t>
            </w: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Expiration date</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UK (1)</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191,771,010</w:t>
            </w:r>
          </w:p>
        </w:tc>
        <w:tc>
          <w:tcPr>
            <w:tcW w:w="10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(1 )</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US</w:t>
            </w:r>
          </w:p>
        </w:tc>
        <w:tc>
          <w:tcPr>
            <w:tcW w:w="3260" w:type="dxa"/>
            <w:vAlign w:val="bottom"/>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5,542,459</w:t>
            </w: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Indefinite</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Spain</w:t>
            </w:r>
          </w:p>
        </w:tc>
        <w:tc>
          <w:tcPr>
            <w:tcW w:w="3260" w:type="dxa"/>
            <w:vAlign w:val="bottom"/>
            <w:shd w:val="clear" w:color="auto" w:fill="CFF0FC"/>
          </w:tcPr>
          <w:p>
            <w:pPr>
              <w:jc w:val="right"/>
              <w:ind w:right="153"/>
              <w:spacing w:after="0" w:line="113" w:lineRule="exact"/>
              <w:rPr>
                <w:sz w:val="20"/>
                <w:szCs w:val="20"/>
                <w:color w:val="auto"/>
              </w:rPr>
            </w:pPr>
            <w:r>
              <w:rPr>
                <w:rFonts w:ascii="Times New Roman" w:cs="Times New Roman" w:eastAsia="Times New Roman" w:hAnsi="Times New Roman"/>
                <w:sz w:val="10"/>
                <w:szCs w:val="10"/>
                <w:color w:val="auto"/>
              </w:rPr>
              <w:t>844,411</w:t>
            </w: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Indefinite</w:t>
            </w:r>
          </w:p>
        </w:tc>
      </w:tr>
      <w:tr>
        <w:trPr>
          <w:trHeight w:val="113"/>
        </w:trPr>
        <w:tc>
          <w:tcPr>
            <w:tcW w:w="310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India</w:t>
            </w:r>
          </w:p>
        </w:tc>
        <w:tc>
          <w:tcPr>
            <w:tcW w:w="3260" w:type="dxa"/>
            <w:vAlign w:val="bottom"/>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N/A</w:t>
            </w:r>
          </w:p>
        </w:tc>
      </w:tr>
      <w:tr>
        <w:trPr>
          <w:trHeight w:val="113"/>
        </w:trPr>
        <w:tc>
          <w:tcPr>
            <w:tcW w:w="310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Taiwan</w:t>
            </w:r>
          </w:p>
        </w:tc>
        <w:tc>
          <w:tcPr>
            <w:tcW w:w="3260" w:type="dxa"/>
            <w:vAlign w:val="bottom"/>
            <w:shd w:val="clear" w:color="auto" w:fill="CFF0FC"/>
          </w:tcPr>
          <w:p>
            <w:pPr>
              <w:jc w:val="right"/>
              <w:ind w:right="173"/>
              <w:spacing w:after="0" w:line="113" w:lineRule="exact"/>
              <w:rPr>
                <w:sz w:val="20"/>
                <w:szCs w:val="20"/>
                <w:color w:val="auto"/>
              </w:rPr>
            </w:pPr>
            <w:r>
              <w:rPr>
                <w:rFonts w:ascii="Times New Roman" w:cs="Times New Roman" w:eastAsia="Times New Roman" w:hAnsi="Times New Roman"/>
                <w:sz w:val="10"/>
                <w:szCs w:val="10"/>
                <w:color w:val="auto"/>
              </w:rPr>
              <w:t>2,359,658</w:t>
            </w:r>
          </w:p>
        </w:tc>
        <w:tc>
          <w:tcPr>
            <w:tcW w:w="108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10 years</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(1)Tax losses carried forward in Rezolve Limited will not be transferred to Rezolve AI Limited in the Demerger. As a result, all tax losses previously created in the UK will be lost upon completion of the Demerger.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(2)The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changes in our unrecognized tax benefits for the indicated periods are summarized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6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2023</w:t>
            </w:r>
          </w:p>
        </w:tc>
        <w:tc>
          <w:tcPr>
            <w:tcW w:w="260" w:type="dxa"/>
            <w:vAlign w:val="bottom"/>
          </w:tcPr>
          <w:p>
            <w:pPr>
              <w:spacing w:after="0"/>
              <w:rPr>
                <w:sz w:val="8"/>
                <w:szCs w:val="8"/>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8"/>
                <w:szCs w:val="8"/>
                <w:b w:val="1"/>
                <w:bCs w:val="1"/>
                <w:color w:val="auto"/>
              </w:rPr>
              <w:t>2022</w:t>
            </w:r>
          </w:p>
        </w:tc>
      </w:tr>
      <w:tr>
        <w:trPr>
          <w:trHeight w:val="106"/>
        </w:trPr>
        <w:tc>
          <w:tcPr>
            <w:tcW w:w="3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60" w:type="dxa"/>
            <w:vAlign w:val="bottom"/>
          </w:tcPr>
          <w:p>
            <w:pPr>
              <w:spacing w:after="0"/>
              <w:rPr>
                <w:sz w:val="9"/>
                <w:szCs w:val="9"/>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Balance at January 1</w:t>
            </w:r>
          </w:p>
        </w:tc>
        <w:tc>
          <w:tcPr>
            <w:tcW w:w="16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24,388,433</w:t>
            </w:r>
          </w:p>
        </w:tc>
        <w:tc>
          <w:tcPr>
            <w:tcW w:w="26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11,811,695</w:t>
            </w:r>
          </w:p>
        </w:tc>
      </w:tr>
      <w:tr>
        <w:trPr>
          <w:trHeight w:val="113"/>
        </w:trPr>
        <w:tc>
          <w:tcPr>
            <w:tcW w:w="36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Effect of rate changes</w:t>
            </w:r>
          </w:p>
        </w:tc>
        <w:tc>
          <w:tcPr>
            <w:tcW w:w="166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2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Additions based on tax positions related to current year</w:t>
            </w:r>
          </w:p>
        </w:tc>
        <w:tc>
          <w:tcPr>
            <w:tcW w:w="16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6,882,336</w:t>
            </w: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13,857,760</w:t>
            </w:r>
          </w:p>
        </w:tc>
      </w:tr>
      <w:tr>
        <w:trPr>
          <w:trHeight w:val="113"/>
        </w:trPr>
        <w:tc>
          <w:tcPr>
            <w:tcW w:w="36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Foreign currency translation</w:t>
            </w:r>
          </w:p>
        </w:tc>
        <w:tc>
          <w:tcPr>
            <w:tcW w:w="1660" w:type="dxa"/>
            <w:vAlign w:val="bottom"/>
          </w:tcPr>
          <w:p>
            <w:pPr>
              <w:spacing w:after="0"/>
              <w:rPr>
                <w:sz w:val="9"/>
                <w:szCs w:val="9"/>
                <w:color w:val="auto"/>
              </w:rPr>
            </w:pPr>
          </w:p>
        </w:tc>
        <w:tc>
          <w:tcPr>
            <w:tcW w:w="960" w:type="dxa"/>
            <w:vAlign w:val="bottom"/>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2,483,300</w:t>
            </w:r>
          </w:p>
        </w:tc>
        <w:tc>
          <w:tcPr>
            <w:tcW w:w="26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(1,281,022 )</w:t>
            </w:r>
          </w:p>
        </w:tc>
      </w:tr>
      <w:tr>
        <w:trPr>
          <w:trHeight w:val="113"/>
        </w:trPr>
        <w:tc>
          <w:tcPr>
            <w:tcW w:w="3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Balance at December 31</w:t>
            </w:r>
          </w:p>
        </w:tc>
        <w:tc>
          <w:tcPr>
            <w:tcW w:w="166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33,754,069</w:t>
            </w:r>
          </w:p>
        </w:tc>
        <w:tc>
          <w:tcPr>
            <w:tcW w:w="26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24,388,433</w:t>
            </w: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No assurance can be given that any of these tax benefits will be recognized or realized.</w:t>
      </w:r>
    </w:p>
    <w:p>
      <w:pPr>
        <w:spacing w:after="0" w:line="118" w:lineRule="exact"/>
        <w:rPr>
          <w:sz w:val="20"/>
          <w:szCs w:val="20"/>
          <w:color w:val="auto"/>
        </w:rPr>
      </w:pPr>
    </w:p>
    <w:p>
      <w:pPr>
        <w:jc w:val="center"/>
        <w:ind w:left="1120"/>
        <w:spacing w:after="0" w:line="380" w:lineRule="auto"/>
        <w:rPr>
          <w:sz w:val="20"/>
          <w:szCs w:val="20"/>
          <w:color w:val="auto"/>
        </w:rPr>
      </w:pPr>
      <w:r>
        <w:rPr>
          <w:rFonts w:ascii="Times New Roman" w:cs="Times New Roman" w:eastAsia="Times New Roman" w:hAnsi="Times New Roman"/>
          <w:sz w:val="10"/>
          <w:szCs w:val="10"/>
          <w:color w:val="auto"/>
        </w:rPr>
        <w:t>During 2024, we do not expect any material reductions to our unrecognized tax benefits related to tax positions taken as of December 31, 2023. No assurance can be given as to the nature or impact of any changes in our unrecognized tax positions during 2023. 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921" w:right="66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tax effects of temporary differences that give rise to the significant portions of our deferred tax assets and liabilities are presented below:</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98"/>
        </w:trPr>
        <w:tc>
          <w:tcPr>
            <w:tcW w:w="3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200" w:type="dxa"/>
            <w:vAlign w:val="bottom"/>
          </w:tcPr>
          <w:p>
            <w:pPr>
              <w:spacing w:after="0"/>
              <w:rPr>
                <w:sz w:val="8"/>
                <w:szCs w:val="8"/>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8"/>
                <w:szCs w:val="8"/>
                <w:b w:val="1"/>
                <w:bCs w:val="1"/>
                <w:color w:val="auto"/>
              </w:rPr>
              <w:t>December 31, 2022</w:t>
            </w:r>
          </w:p>
        </w:tc>
      </w:tr>
      <w:tr>
        <w:trPr>
          <w:trHeight w:val="106"/>
        </w:trPr>
        <w:tc>
          <w:tcPr>
            <w:tcW w:w="34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8"/>
                <w:szCs w:val="8"/>
                <w:b w:val="1"/>
                <w:bCs w:val="1"/>
                <w:color w:val="auto"/>
              </w:rPr>
              <w:t>(as restated)</w:t>
            </w:r>
          </w:p>
        </w:tc>
        <w:tc>
          <w:tcPr>
            <w:tcW w:w="200" w:type="dxa"/>
            <w:vAlign w:val="bottom"/>
          </w:tcPr>
          <w:p>
            <w:pPr>
              <w:spacing w:after="0"/>
              <w:rPr>
                <w:sz w:val="9"/>
                <w:szCs w:val="9"/>
                <w:color w:val="auto"/>
              </w:rPr>
            </w:pPr>
          </w:p>
        </w:tc>
        <w:tc>
          <w:tcPr>
            <w:tcW w:w="960" w:type="dxa"/>
            <w:vAlign w:val="bottom"/>
          </w:tcPr>
          <w:p>
            <w:pPr>
              <w:jc w:val="right"/>
              <w:ind w:right="313"/>
              <w:spacing w:after="0"/>
              <w:rPr>
                <w:sz w:val="20"/>
                <w:szCs w:val="20"/>
                <w:color w:val="auto"/>
              </w:rPr>
            </w:pPr>
            <w:r>
              <w:rPr>
                <w:rFonts w:ascii="Times New Roman" w:cs="Times New Roman" w:eastAsia="Times New Roman" w:hAnsi="Times New Roman"/>
                <w:sz w:val="8"/>
                <w:szCs w:val="8"/>
                <w:b w:val="1"/>
                <w:bCs w:val="1"/>
                <w:color w:val="auto"/>
              </w:rPr>
              <w:t>(as restated)</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Net operating loss and other carryforwards</w:t>
            </w:r>
          </w:p>
        </w:tc>
        <w:tc>
          <w:tcPr>
            <w:tcW w:w="1760" w:type="dxa"/>
            <w:vAlign w:val="bottom"/>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33,754,069</w:t>
            </w:r>
          </w:p>
        </w:tc>
        <w:tc>
          <w:tcPr>
            <w:tcW w:w="20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24,388,433</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PP&amp;E</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2,661</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Short-term debt</w:t>
            </w:r>
          </w:p>
        </w:tc>
        <w:tc>
          <w:tcPr>
            <w:tcW w:w="1760" w:type="dxa"/>
            <w:vAlign w:val="bottom"/>
          </w:tcPr>
          <w:p>
            <w:pPr>
              <w:spacing w:after="0"/>
              <w:rPr>
                <w:sz w:val="9"/>
                <w:szCs w:val="9"/>
                <w:color w:val="auto"/>
              </w:rPr>
            </w:pP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1,556,454</w:t>
            </w:r>
          </w:p>
        </w:tc>
        <w:tc>
          <w:tcPr>
            <w:tcW w:w="200" w:type="dxa"/>
            <w:vAlign w:val="bottom"/>
          </w:tcPr>
          <w:p>
            <w:pPr>
              <w:spacing w:after="0"/>
              <w:rPr>
                <w:sz w:val="9"/>
                <w:szCs w:val="9"/>
                <w:color w:val="auto"/>
              </w:rPr>
            </w:pPr>
          </w:p>
        </w:tc>
        <w:tc>
          <w:tcPr>
            <w:tcW w:w="96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174,267</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Share-based payment liability</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327,757</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294,404</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Convertible debt</w:t>
            </w:r>
          </w:p>
        </w:tc>
        <w:tc>
          <w:tcPr>
            <w:tcW w:w="1760" w:type="dxa"/>
            <w:vAlign w:val="bottom"/>
          </w:tcPr>
          <w:p>
            <w:pPr>
              <w:spacing w:after="0"/>
              <w:rPr>
                <w:sz w:val="9"/>
                <w:szCs w:val="9"/>
                <w:color w:val="auto"/>
              </w:rPr>
            </w:pPr>
          </w:p>
        </w:tc>
        <w:tc>
          <w:tcPr>
            <w:tcW w:w="1040" w:type="dxa"/>
            <w:vAlign w:val="bottom"/>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8,110,222</w:t>
            </w:r>
          </w:p>
        </w:tc>
        <w:tc>
          <w:tcPr>
            <w:tcW w:w="200" w:type="dxa"/>
            <w:vAlign w:val="bottom"/>
          </w:tcPr>
          <w:p>
            <w:pPr>
              <w:spacing w:after="0"/>
              <w:rPr>
                <w:sz w:val="9"/>
                <w:szCs w:val="9"/>
                <w:color w:val="auto"/>
              </w:rPr>
            </w:pPr>
          </w:p>
        </w:tc>
        <w:tc>
          <w:tcPr>
            <w:tcW w:w="960" w:type="dxa"/>
            <w:vAlign w:val="bottom"/>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6,325,677</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43,748,501</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33"/>
              <w:spacing w:after="0" w:line="113" w:lineRule="exact"/>
              <w:rPr>
                <w:sz w:val="20"/>
                <w:szCs w:val="20"/>
                <w:color w:val="auto"/>
              </w:rPr>
            </w:pPr>
            <w:r>
              <w:rPr>
                <w:rFonts w:ascii="Times New Roman" w:cs="Times New Roman" w:eastAsia="Times New Roman" w:hAnsi="Times New Roman"/>
                <w:sz w:val="10"/>
                <w:szCs w:val="10"/>
                <w:color w:val="auto"/>
              </w:rPr>
              <w:t>31,185,442</w:t>
            </w:r>
          </w:p>
        </w:tc>
      </w:tr>
      <w:tr>
        <w:trPr>
          <w:trHeight w:val="113"/>
        </w:trPr>
        <w:tc>
          <w:tcPr>
            <w:tcW w:w="34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Valuation allowance</w:t>
            </w:r>
          </w:p>
        </w:tc>
        <w:tc>
          <w:tcPr>
            <w:tcW w:w="1760" w:type="dxa"/>
            <w:vAlign w:val="bottom"/>
          </w:tcPr>
          <w:p>
            <w:pPr>
              <w:spacing w:after="0"/>
              <w:rPr>
                <w:sz w:val="9"/>
                <w:szCs w:val="9"/>
                <w:color w:val="auto"/>
              </w:rPr>
            </w:pPr>
          </w:p>
        </w:tc>
        <w:tc>
          <w:tcPr>
            <w:tcW w:w="1040" w:type="dxa"/>
            <w:vAlign w:val="bottom"/>
          </w:tcPr>
          <w:p>
            <w:pPr>
              <w:jc w:val="right"/>
              <w:ind w:right="53"/>
              <w:spacing w:after="0" w:line="113" w:lineRule="exact"/>
              <w:rPr>
                <w:sz w:val="20"/>
                <w:szCs w:val="20"/>
                <w:color w:val="auto"/>
              </w:rPr>
            </w:pPr>
            <w:r>
              <w:rPr>
                <w:rFonts w:ascii="Times New Roman" w:cs="Times New Roman" w:eastAsia="Times New Roman" w:hAnsi="Times New Roman"/>
                <w:sz w:val="10"/>
                <w:szCs w:val="10"/>
                <w:color w:val="auto"/>
              </w:rPr>
              <w:t>(43,748,501 )</w:t>
            </w:r>
          </w:p>
        </w:tc>
        <w:tc>
          <w:tcPr>
            <w:tcW w:w="200" w:type="dxa"/>
            <w:vAlign w:val="bottom"/>
          </w:tcPr>
          <w:p>
            <w:pPr>
              <w:spacing w:after="0"/>
              <w:rPr>
                <w:sz w:val="9"/>
                <w:szCs w:val="9"/>
                <w:color w:val="auto"/>
              </w:rPr>
            </w:pPr>
          </w:p>
        </w:tc>
        <w:tc>
          <w:tcPr>
            <w:tcW w:w="9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(31,185,442 )</w:t>
            </w:r>
          </w:p>
        </w:tc>
      </w:tr>
      <w:tr>
        <w:trPr>
          <w:trHeight w:val="113"/>
        </w:trPr>
        <w:tc>
          <w:tcPr>
            <w:tcW w:w="34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assets, net of valuation allowance</w:t>
            </w:r>
          </w:p>
        </w:tc>
        <w:tc>
          <w:tcPr>
            <w:tcW w:w="17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93"/>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6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w:t>
            </w:r>
          </w:p>
        </w:tc>
      </w:tr>
    </w:tbl>
    <w:p>
      <w:pPr>
        <w:spacing w:after="0" w:line="136"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not recognized any uncertain tax position for the year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17.Subsequent events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For financial statements as of December 31, 2023, we have evaluated subsequent events through April 28, 2024, which is the date such financial statements are available to be issued.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i w:val="1"/>
          <w:iCs w:val="1"/>
          <w:u w:val="single" w:color="auto"/>
          <w:color w:val="auto"/>
        </w:rPr>
        <w:t>Igor Loan amendment</w:t>
      </w:r>
    </w:p>
    <w:p>
      <w:pPr>
        <w:spacing w:after="0" w:line="60" w:lineRule="exact"/>
        <w:rPr>
          <w:sz w:val="20"/>
          <w:szCs w:val="20"/>
          <w:color w:val="auto"/>
        </w:rPr>
      </w:pPr>
    </w:p>
    <w:p>
      <w:pPr>
        <w:ind w:left="480"/>
        <w:spacing w:after="0" w:line="239" w:lineRule="auto"/>
        <w:rPr>
          <w:sz w:val="20"/>
          <w:szCs w:val="20"/>
          <w:color w:val="auto"/>
        </w:rPr>
      </w:pPr>
      <w:r>
        <w:rPr>
          <w:rFonts w:ascii="Times New Roman" w:cs="Times New Roman" w:eastAsia="Times New Roman" w:hAnsi="Times New Roman"/>
          <w:sz w:val="10"/>
          <w:szCs w:val="10"/>
          <w:color w:val="auto"/>
        </w:rPr>
        <w:t>In March 2023, the Company obtained two unsecured convertible loans from a related party (Igor Lychagov) consisting of $2,000,000 and €2,000,000. Each loan bears a borrowing fee of $660,000 and € 660,000,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interest rate was reduced to 7.5% per annum from the date that the amendment was executed.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•Conversion into ordinary shares of the Company is at the option of the investor from any date of an IPO or Business Combination with a publicly listed company.</w:t>
      </w:r>
    </w:p>
    <w:p>
      <w:pPr>
        <w:spacing w:after="0" w:line="58" w:lineRule="exact"/>
        <w:rPr>
          <w:sz w:val="20"/>
          <w:szCs w:val="20"/>
          <w:color w:val="auto"/>
        </w:rPr>
      </w:pPr>
    </w:p>
    <w:p>
      <w:pPr>
        <w:ind w:left="480" w:right="300"/>
        <w:spacing w:after="0" w:line="255" w:lineRule="auto"/>
        <w:rPr>
          <w:sz w:val="20"/>
          <w:szCs w:val="20"/>
          <w:color w:val="auto"/>
        </w:rPr>
      </w:pPr>
      <w:r>
        <w:rPr>
          <w:rFonts w:ascii="Times New Roman" w:cs="Times New Roman" w:eastAsia="Times New Roman" w:hAnsi="Times New Roman"/>
          <w:sz w:val="10"/>
          <w:szCs w:val="10"/>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01"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10"/>
          <w:szCs w:val="10"/>
          <w:color w:val="auto"/>
        </w:rPr>
        <w:t>As a result of the loan amendment and addition to the Company’s senior secured convertible notes, the default was remediated.</w:t>
      </w:r>
    </w:p>
    <w:p>
      <w:pPr>
        <w:spacing w:after="0" w:line="58" w:lineRule="exact"/>
        <w:rPr>
          <w:sz w:val="20"/>
          <w:szCs w:val="20"/>
          <w:color w:val="auto"/>
        </w:rPr>
      </w:pPr>
    </w:p>
    <w:p>
      <w:pPr>
        <w:jc w:val="right"/>
        <w:ind w:right="5220"/>
        <w:spacing w:after="0"/>
        <w:rPr>
          <w:sz w:val="20"/>
          <w:szCs w:val="20"/>
          <w:color w:val="auto"/>
        </w:rPr>
      </w:pPr>
      <w:r>
        <w:rPr>
          <w:rFonts w:ascii="Times New Roman" w:cs="Times New Roman" w:eastAsia="Times New Roman" w:hAnsi="Times New Roman"/>
          <w:sz w:val="10"/>
          <w:szCs w:val="10"/>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0"/>
          <w:szCs w:val="10"/>
          <w:b w:val="1"/>
          <w:bCs w:val="1"/>
          <w:color w:val="auto"/>
        </w:rPr>
        <w:t>REZOLVE AI LIMITED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Notes to the Carve-out Consolidated Financial Statements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Yorkville Standby Equity Purchase Agreement (“SEPA”)</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01" w:lineRule="exact"/>
        <w:rPr>
          <w:sz w:val="20"/>
          <w:szCs w:val="20"/>
          <w:color w:val="auto"/>
        </w:rPr>
      </w:pPr>
    </w:p>
    <w:p>
      <w:pPr>
        <w:ind w:right="360" w:firstLine="480"/>
        <w:spacing w:after="0" w:line="255" w:lineRule="auto"/>
        <w:rPr>
          <w:sz w:val="20"/>
          <w:szCs w:val="20"/>
          <w:color w:val="auto"/>
        </w:rPr>
      </w:pPr>
      <w:r>
        <w:rPr>
          <w:rFonts w:ascii="Times New Roman" w:cs="Times New Roman" w:eastAsia="Times New Roman" w:hAnsi="Times New Roman"/>
          <w:sz w:val="10"/>
          <w:szCs w:val="10"/>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01" w:lineRule="exact"/>
        <w:rPr>
          <w:sz w:val="20"/>
          <w:szCs w:val="20"/>
          <w:color w:val="auto"/>
        </w:rPr>
      </w:pPr>
    </w:p>
    <w:p>
      <w:pPr>
        <w:ind w:right="180" w:firstLine="480"/>
        <w:spacing w:after="0" w:line="310" w:lineRule="auto"/>
        <w:rPr>
          <w:sz w:val="20"/>
          <w:szCs w:val="20"/>
          <w:color w:val="auto"/>
        </w:rPr>
      </w:pPr>
      <w:r>
        <w:rPr>
          <w:rFonts w:ascii="Times New Roman" w:cs="Times New Roman" w:eastAsia="Times New Roman" w:hAnsi="Times New Roman"/>
          <w:sz w:val="9"/>
          <w:szCs w:val="9"/>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right="120" w:firstLine="480"/>
        <w:spacing w:after="0" w:line="310" w:lineRule="auto"/>
        <w:rPr>
          <w:sz w:val="20"/>
          <w:szCs w:val="20"/>
          <w:color w:val="auto"/>
        </w:rPr>
      </w:pPr>
      <w:r>
        <w:rPr>
          <w:rFonts w:ascii="Times New Roman" w:cs="Times New Roman" w:eastAsia="Times New Roman" w:hAnsi="Times New Roman"/>
          <w:sz w:val="9"/>
          <w:szCs w:val="9"/>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78" w:lineRule="exact"/>
        <w:rPr>
          <w:sz w:val="20"/>
          <w:szCs w:val="20"/>
          <w:color w:val="auto"/>
        </w:rPr>
      </w:pPr>
    </w:p>
    <w:p>
      <w:pPr>
        <w:ind w:right="20" w:firstLine="480"/>
        <w:spacing w:after="0" w:line="310" w:lineRule="auto"/>
        <w:rPr>
          <w:sz w:val="20"/>
          <w:szCs w:val="20"/>
          <w:color w:val="auto"/>
        </w:rPr>
      </w:pPr>
      <w:r>
        <w:rPr>
          <w:rFonts w:ascii="Times New Roman" w:cs="Times New Roman" w:eastAsia="Times New Roman" w:hAnsi="Times New Roman"/>
          <w:sz w:val="9"/>
          <w:szCs w:val="9"/>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78"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 $7,500,000), which will be in three tranches, with the first tranche in an original principal amount of Two Million Five Hundred Thousand Dollars ($ 2,500,000) funded upon execution of the Second A&amp;R YA Agreement, the second tranche in an original principal amount of Two Million Five Hundred Thousand Dollars ($ 2,500,000)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b w:val="1"/>
          <w:bCs w:val="1"/>
          <w:u w:val="single" w:color="auto"/>
          <w:color w:val="auto"/>
        </w:rPr>
        <w:t>Promissory note</w:t>
      </w:r>
    </w:p>
    <w:p>
      <w:pPr>
        <w:spacing w:after="0" w:line="68" w:lineRule="exact"/>
        <w:rPr>
          <w:sz w:val="20"/>
          <w:szCs w:val="20"/>
          <w:color w:val="auto"/>
        </w:rPr>
      </w:pPr>
    </w:p>
    <w:p>
      <w:pPr>
        <w:ind w:right="80" w:firstLine="480"/>
        <w:spacing w:after="0" w:line="217" w:lineRule="auto"/>
        <w:rPr>
          <w:sz w:val="20"/>
          <w:szCs w:val="20"/>
          <w:color w:val="auto"/>
        </w:rPr>
      </w:pPr>
      <w:r>
        <w:rPr>
          <w:rFonts w:ascii="Times New Roman" w:cs="Times New Roman" w:eastAsia="Times New Roman" w:hAnsi="Times New Roman"/>
          <w:sz w:val="10"/>
          <w:szCs w:val="10"/>
          <w:color w:val="auto"/>
        </w:rPr>
        <w:t>On April 30</w:t>
      </w:r>
      <w:r>
        <w:rPr>
          <w:rFonts w:ascii="Times New Roman" w:cs="Times New Roman" w:eastAsia="Times New Roman" w:hAnsi="Times New Roman"/>
          <w:sz w:val="13"/>
          <w:szCs w:val="13"/>
          <w:color w:val="auto"/>
          <w:vertAlign w:val="superscript"/>
        </w:rPr>
        <w:t>th</w:t>
      </w:r>
      <w:r>
        <w:rPr>
          <w:rFonts w:ascii="Times New Roman" w:cs="Times New Roman" w:eastAsia="Times New Roman" w:hAnsi="Times New Roman"/>
          <w:sz w:val="10"/>
          <w:szCs w:val="10"/>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Add to subsequent events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0"/>
          <w:szCs w:val="10"/>
          <w:b w:val="1"/>
          <w:bCs w:val="1"/>
          <w:u w:val="single" w:color="auto"/>
          <w:color w:val="auto"/>
        </w:rPr>
        <w:t>Close of business combination with Armada Acquisition Corp I. (“Armada”)</w:t>
      </w:r>
    </w:p>
    <w:p>
      <w:pPr>
        <w:spacing w:after="0" w:line="120" w:lineRule="exact"/>
        <w:rPr>
          <w:sz w:val="20"/>
          <w:szCs w:val="20"/>
          <w:color w:val="auto"/>
        </w:rPr>
      </w:pPr>
    </w:p>
    <w:p>
      <w:pPr>
        <w:jc w:val="both"/>
        <w:ind w:right="140" w:firstLine="480"/>
        <w:spacing w:after="0" w:line="245" w:lineRule="auto"/>
        <w:rPr>
          <w:sz w:val="20"/>
          <w:szCs w:val="20"/>
          <w:color w:val="auto"/>
        </w:rPr>
      </w:pPr>
      <w:r>
        <w:rPr>
          <w:rFonts w:ascii="Times New Roman" w:cs="Times New Roman" w:eastAsia="Times New Roman" w:hAnsi="Times New Roman"/>
          <w:sz w:val="10"/>
          <w:szCs w:val="10"/>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921" w:right="640"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June 30,</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13,242</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41,788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55,030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held in Trust Account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16,126,337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6,035,757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46,000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50,026</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agreements liability, net</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354,503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3,056,726</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10,938,608</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$11.31 and $10.71 per share at June 30,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16,040,786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9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shares issued and outstanding (excluding 1,417,687 and 2,363,349 shares subject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to possible redemption) at June 30,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261,161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9"/>
                <w:szCs w:val="9"/>
                <w:color w:val="auto"/>
              </w:rPr>
            </w:pPr>
          </w:p>
        </w:tc>
        <w:tc>
          <w:tcPr>
            <w:tcW w:w="8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w w:val="99"/>
              </w:rPr>
              <w:t>(11,059,758 )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w w:val="99"/>
              </w:rPr>
              <w:t>(10,798,027 )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16,181,367</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9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1980" w:type="dxa"/>
            <w:vAlign w:val="bottom"/>
            <w:gridSpan w:val="4"/>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40" w:type="dxa"/>
            <w:vAlign w:val="bottom"/>
            <w:gridSpan w:val="5"/>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640" w:type="dxa"/>
            <w:vAlign w:val="bottom"/>
            <w:shd w:val="clear" w:color="auto" w:fill="CFF0FC"/>
          </w:tcPr>
          <w:p>
            <w:pPr>
              <w:jc w:val="right"/>
              <w:ind w:right="5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844,718</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775,911</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1,876,158</w:t>
            </w: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1,960,998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6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601,809</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w w:val="97"/>
              </w:rPr>
              <w:t>(1,370,927 )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(910,274 )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(2,477,967 )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(2,151,287 )</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(expense) income</w:t>
            </w: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(220,050 )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(344,248 )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6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206,289</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433,066</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811,281</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2,697,147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(expense) income, net</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(13,761 )</w:t>
            </w: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433,066</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467,033</w:t>
            </w: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2,697,147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before provision for income taxes</w:t>
            </w:r>
          </w:p>
        </w:tc>
        <w:tc>
          <w:tcPr>
            <w:tcW w:w="640" w:type="dxa"/>
            <w:vAlign w:val="bottom"/>
          </w:tcPr>
          <w:p>
            <w:pPr>
              <w:spacing w:after="0"/>
              <w:rPr>
                <w:sz w:val="9"/>
                <w:szCs w:val="9"/>
                <w:color w:val="auto"/>
              </w:rPr>
            </w:pPr>
          </w:p>
        </w:tc>
        <w:tc>
          <w:tcPr>
            <w:tcW w:w="70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w w:val="97"/>
              </w:rPr>
              <w:t>(1,384,688 )</w:t>
            </w:r>
          </w:p>
        </w:tc>
        <w:tc>
          <w:tcPr>
            <w:tcW w:w="640" w:type="dxa"/>
            <w:vAlign w:val="bottom"/>
          </w:tcPr>
          <w:p>
            <w:pPr>
              <w:spacing w:after="0"/>
              <w:rPr>
                <w:sz w:val="9"/>
                <w:szCs w:val="9"/>
                <w:color w:val="auto"/>
              </w:rPr>
            </w:pPr>
          </w:p>
        </w:tc>
        <w:tc>
          <w:tcPr>
            <w:tcW w:w="6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(477,208 )</w:t>
            </w:r>
          </w:p>
        </w:tc>
        <w:tc>
          <w:tcPr>
            <w:tcW w:w="260" w:type="dxa"/>
            <w:vAlign w:val="bottom"/>
          </w:tcPr>
          <w:p>
            <w:pPr>
              <w:spacing w:after="0"/>
              <w:rPr>
                <w:sz w:val="9"/>
                <w:szCs w:val="9"/>
                <w:color w:val="auto"/>
              </w:rPr>
            </w:pPr>
          </w:p>
        </w:tc>
        <w:tc>
          <w:tcPr>
            <w:tcW w:w="10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(2,010,934 )</w:t>
            </w: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545,860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64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(38,407 )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(82,376 )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(153,321 )</w:t>
            </w:r>
          </w:p>
        </w:tc>
        <w:tc>
          <w:tcPr>
            <w:tcW w:w="26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(525,560 )</w:t>
            </w: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 income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(1,423,095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(559,584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(2,164,255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20,300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1,417,687</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3,508,852</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1,893,969</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8,770,367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stock subject to possible redemption</w:t>
            </w:r>
          </w:p>
        </w:tc>
        <w:tc>
          <w:tcPr>
            <w:tcW w:w="6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(0.20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(0.06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(0.28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non-</w:t>
            </w:r>
          </w:p>
        </w:tc>
        <w:tc>
          <w:tcPr>
            <w:tcW w:w="6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redeemable common stock</w:t>
            </w:r>
          </w:p>
        </w:tc>
        <w:tc>
          <w:tcPr>
            <w:tcW w:w="6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40" w:type="dxa"/>
            <w:vAlign w:val="bottom"/>
          </w:tcPr>
          <w:p>
            <w:pPr>
              <w:jc w:val="right"/>
              <w:ind w:right="5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(0.20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(0.06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(0.28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NINE MONTHS ENDED JUNE 30,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8"/>
                <w:szCs w:val="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060" w:type="dxa"/>
            <w:vAlign w:val="bottom"/>
          </w:tcPr>
          <w:p>
            <w:pPr>
              <w:spacing w:after="0"/>
              <w:rPr>
                <w:sz w:val="9"/>
                <w:szCs w:val="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(159,034 )</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(9,155,746 )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(9,155,176 )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(347,252 )</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(3,774 )</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(100,071 )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(103,845 )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(380,846 )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(380,846 )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(9,636,663 )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(9,636,093 )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526,209</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subscription agreement liability (see note 4)</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28,292</w:t>
            </w: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(293,340 )</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(293,340 )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(1,423,095 )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(1,423,095 )</w:t>
            </w:r>
          </w:p>
        </w:tc>
      </w:tr>
      <w:tr>
        <w:trPr>
          <w:trHeight w:val="113"/>
        </w:trPr>
        <w:tc>
          <w:tcPr>
            <w:tcW w:w="406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June 30, 2024</w:t>
            </w:r>
          </w:p>
        </w:tc>
        <w:tc>
          <w:tcPr>
            <w:tcW w:w="74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261,161</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(11,059,758 </w:t>
            </w:r>
            <w:r>
              <w:rPr>
                <w:rFonts w:ascii="Times New Roman" w:cs="Times New Roman" w:eastAsia="Times New Roman" w:hAnsi="Times New Roman"/>
                <w:sz w:val="10"/>
                <w:szCs w:val="10"/>
                <w:b w:val="1"/>
                <w:bCs w:val="1"/>
                <w:color w:val="auto"/>
                <w:vertAlign w:val="subscript"/>
              </w:rPr>
              <w:t>)</w:t>
            </w:r>
          </w:p>
        </w:tc>
        <w:tc>
          <w:tcPr>
            <w:tcW w:w="200" w:type="dxa"/>
            <w:vAlign w:val="bottom"/>
            <w:shd w:val="clear" w:color="auto" w:fill="CFF0FC"/>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(10,798,027 </w:t>
            </w:r>
            <w:r>
              <w:rPr>
                <w:rFonts w:ascii="Times New Roman" w:cs="Times New Roman" w:eastAsia="Times New Roman" w:hAnsi="Times New Roman"/>
                <w:sz w:val="10"/>
                <w:szCs w:val="10"/>
                <w:b w:val="1"/>
                <w:bCs w:val="1"/>
                <w:color w:val="auto"/>
                <w:vertAlign w:val="subscript"/>
              </w:rPr>
              <w:t>)</w:t>
            </w:r>
          </w:p>
        </w:tc>
      </w:tr>
      <w:tr>
        <w:trPr>
          <w:trHeight w:val="23"/>
        </w:trPr>
        <w:tc>
          <w:tcPr>
            <w:tcW w:w="40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1"/>
        </w:trPr>
        <w:tc>
          <w:tcPr>
            <w:tcW w:w="6760" w:type="dxa"/>
            <w:vAlign w:val="bottom"/>
            <w:gridSpan w:val="7"/>
          </w:tcPr>
          <w:p>
            <w:pPr>
              <w:ind w:left="3920"/>
              <w:spacing w:after="0"/>
              <w:rPr>
                <w:sz w:val="20"/>
                <w:szCs w:val="20"/>
                <w:color w:val="auto"/>
              </w:rPr>
            </w:pPr>
            <w:r>
              <w:rPr>
                <w:rFonts w:ascii="Times New Roman" w:cs="Times New Roman" w:eastAsia="Times New Roman" w:hAnsi="Times New Roman"/>
                <w:sz w:val="10"/>
                <w:szCs w:val="10"/>
                <w:b w:val="1"/>
                <w:bCs w:val="1"/>
                <w:color w:val="auto"/>
                <w:w w:val="99"/>
              </w:rPr>
              <w:t>FOR THE THREE AND NINE MONTHS ENDED JUNE 30, 2023</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73"/>
        </w:trPr>
        <w:tc>
          <w:tcPr>
            <w:tcW w:w="4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gridSpan w:val="3"/>
          </w:tcPr>
          <w:p>
            <w:pPr>
              <w:jc w:val="right"/>
              <w:ind w:right="9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200" w:type="dxa"/>
            <w:vAlign w:val="bottom"/>
          </w:tcPr>
          <w:p>
            <w:pPr>
              <w:spacing w:after="0"/>
              <w:rPr>
                <w:sz w:val="8"/>
                <w:szCs w:val="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0" w:type="dxa"/>
            <w:vAlign w:val="bottom"/>
          </w:tcPr>
          <w:p>
            <w:pPr>
              <w:spacing w:after="0"/>
              <w:rPr>
                <w:sz w:val="8"/>
                <w:szCs w:val="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060" w:type="dxa"/>
            <w:vAlign w:val="bottom"/>
          </w:tcPr>
          <w:p>
            <w:pPr>
              <w:spacing w:after="0"/>
              <w:rPr>
                <w:sz w:val="9"/>
                <w:szCs w:val="9"/>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8"/>
                <w:szCs w:val="8"/>
                <w:b w:val="1"/>
                <w:bCs w:val="1"/>
                <w:color w:val="auto"/>
              </w:rPr>
              <w:t>Amount</w:t>
            </w:r>
          </w:p>
        </w:tc>
        <w:tc>
          <w:tcPr>
            <w:tcW w:w="200" w:type="dxa"/>
            <w:vAlign w:val="bottom"/>
          </w:tcPr>
          <w:p>
            <w:pPr>
              <w:spacing w:after="0"/>
              <w:rPr>
                <w:sz w:val="9"/>
                <w:szCs w:val="9"/>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200" w:type="dxa"/>
            <w:vAlign w:val="bottom"/>
          </w:tcPr>
          <w:p>
            <w:pPr>
              <w:spacing w:after="0"/>
              <w:rPr>
                <w:sz w:val="9"/>
                <w:szCs w:val="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6"/>
              </w:rPr>
              <w:t>Deficit</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(5,964,009)</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b w:val="1"/>
                <w:bCs w:val="1"/>
                <w:color w:val="auto"/>
              </w:rPr>
              <w:t>$</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(4,993,680)</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4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(1,102,909 )</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6"/>
        </w:trPr>
        <w:tc>
          <w:tcPr>
            <w:tcW w:w="480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8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2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10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0"/>
                <w:szCs w:val="10"/>
                <w:color w:val="auto"/>
              </w:rPr>
              <w:t>(997,722 )</w:t>
            </w:r>
          </w:p>
        </w:tc>
        <w:tc>
          <w:tcPr>
            <w:tcW w:w="200" w:type="dxa"/>
            <w:vAlign w:val="bottom"/>
          </w:tcPr>
          <w:p>
            <w:pPr>
              <w:spacing w:after="0"/>
              <w:rPr>
                <w:sz w:val="9"/>
                <w:szCs w:val="9"/>
                <w:color w:val="auto"/>
              </w:rPr>
            </w:pP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(173,077 )</w:t>
            </w:r>
          </w:p>
        </w:tc>
        <w:tc>
          <w:tcPr>
            <w:tcW w:w="20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(1,170,799 )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(27,143 )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(27,143 )</w:t>
            </w:r>
          </w:p>
        </w:tc>
      </w:tr>
      <w:tr>
        <w:trPr>
          <w:trHeight w:val="113"/>
        </w:trPr>
        <w:tc>
          <w:tcPr>
            <w:tcW w:w="480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4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500" w:type="dxa"/>
            <w:vAlign w:val="bottom"/>
            <w:gridSpan w:val="2"/>
          </w:tcPr>
          <w:p>
            <w:pPr>
              <w:jc w:val="right"/>
              <w:ind w:right="17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(6,833,303 )</w:t>
            </w:r>
          </w:p>
        </w:tc>
        <w:tc>
          <w:tcPr>
            <w:tcW w:w="2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(6,832,733 )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134,363</w:t>
            </w:r>
          </w:p>
        </w:tc>
        <w:tc>
          <w:tcPr>
            <w:tcW w:w="100" w:type="dxa"/>
            <w:vAlign w:val="bottom"/>
            <w:shd w:val="clear" w:color="auto" w:fill="CFF0FC"/>
          </w:tcPr>
          <w:p>
            <w:pPr>
              <w:spacing w:after="0"/>
              <w:rPr>
                <w:sz w:val="9"/>
                <w:szCs w:val="9"/>
                <w:color w:val="auto"/>
              </w:rPr>
            </w:pPr>
          </w:p>
        </w:tc>
      </w:tr>
      <w:tr>
        <w:trPr>
          <w:trHeight w:val="106"/>
        </w:trPr>
        <w:tc>
          <w:tcPr>
            <w:tcW w:w="48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Remeasurement of common stock subject to</w:t>
            </w: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80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possible redemption</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(329,131 )</w:t>
            </w:r>
          </w:p>
        </w:tc>
        <w:tc>
          <w:tcPr>
            <w:tcW w:w="20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(329,131 )</w:t>
            </w:r>
          </w:p>
        </w:tc>
      </w:tr>
      <w:tr>
        <w:trPr>
          <w:trHeight w:val="113"/>
        </w:trPr>
        <w:tc>
          <w:tcPr>
            <w:tcW w:w="480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0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12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(559,584 )</w:t>
            </w:r>
          </w:p>
        </w:tc>
        <w:tc>
          <w:tcPr>
            <w:tcW w:w="20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(559,584 )</w:t>
            </w:r>
          </w:p>
        </w:tc>
      </w:tr>
      <w:tr>
        <w:trPr>
          <w:trHeight w:val="113"/>
        </w:trPr>
        <w:tc>
          <w:tcPr>
            <w:tcW w:w="406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June 30, 2023</w:t>
            </w:r>
          </w:p>
        </w:tc>
        <w:tc>
          <w:tcPr>
            <w:tcW w:w="740" w:type="dxa"/>
            <w:vAlign w:val="bottom"/>
          </w:tcPr>
          <w:p>
            <w:pPr>
              <w:spacing w:after="0"/>
              <w:rPr>
                <w:sz w:val="9"/>
                <w:szCs w:val="9"/>
                <w:color w:val="auto"/>
              </w:rPr>
            </w:pPr>
          </w:p>
        </w:tc>
        <w:tc>
          <w:tcPr>
            <w:tcW w:w="4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9"/>
              </w:rPr>
              <w:t>5,709,500</w:t>
            </w:r>
          </w:p>
        </w:tc>
        <w:tc>
          <w:tcPr>
            <w:tcW w:w="220" w:type="dxa"/>
            <w:vAlign w:val="bottom"/>
          </w:tcPr>
          <w:p>
            <w:pPr>
              <w:spacing w:after="0"/>
              <w:rPr>
                <w:sz w:val="9"/>
                <w:szCs w:val="9"/>
                <w:color w:val="auto"/>
              </w:rPr>
            </w:pPr>
          </w:p>
        </w:tc>
        <w:tc>
          <w:tcPr>
            <w:tcW w:w="280" w:type="dxa"/>
            <w:vAlign w:val="bottom"/>
          </w:tcPr>
          <w:p>
            <w:pPr>
              <w:jc w:val="right"/>
              <w:ind w:right="1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134,363</w:t>
            </w:r>
          </w:p>
        </w:tc>
        <w:tc>
          <w:tcPr>
            <w:tcW w:w="200" w:type="dxa"/>
            <w:vAlign w:val="bottom"/>
          </w:tcPr>
          <w:p>
            <w:pPr>
              <w:spacing w:after="0"/>
              <w:rPr>
                <w:sz w:val="9"/>
                <w:szCs w:val="9"/>
                <w:color w:val="auto"/>
              </w:rPr>
            </w:pP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12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(7,722,018 </w:t>
            </w:r>
            <w:r>
              <w:rPr>
                <w:rFonts w:ascii="Times New Roman" w:cs="Times New Roman" w:eastAsia="Times New Roman" w:hAnsi="Times New Roman"/>
                <w:sz w:val="10"/>
                <w:szCs w:val="10"/>
                <w:b w:val="1"/>
                <w:bCs w:val="1"/>
                <w:color w:val="auto"/>
                <w:vertAlign w:val="subscript"/>
              </w:rPr>
              <w:t>)</w:t>
            </w:r>
          </w:p>
        </w:tc>
        <w:tc>
          <w:tcPr>
            <w:tcW w:w="200" w:type="dxa"/>
            <w:vAlign w:val="bottom"/>
          </w:tcPr>
          <w:p>
            <w:pPr>
              <w:jc w:val="right"/>
              <w:ind w:right="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(7,587,085 </w:t>
            </w:r>
            <w:r>
              <w:rPr>
                <w:rFonts w:ascii="Times New Roman" w:cs="Times New Roman" w:eastAsia="Times New Roman" w:hAnsi="Times New Roman"/>
                <w:sz w:val="10"/>
                <w:szCs w:val="10"/>
                <w:b w:val="1"/>
                <w:bCs w:val="1"/>
                <w:color w:val="auto"/>
                <w:vertAlign w:val="subscript"/>
              </w:rPr>
              <w:t>)</w:t>
            </w:r>
          </w:p>
        </w:tc>
      </w:tr>
      <w:tr>
        <w:trPr>
          <w:trHeight w:val="23"/>
        </w:trPr>
        <w:tc>
          <w:tcPr>
            <w:tcW w:w="4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gridSpan w:val="3"/>
          </w:tcPr>
          <w:p>
            <w:pPr>
              <w:jc w:val="right"/>
              <w:ind w:right="116"/>
              <w:spacing w:after="0"/>
              <w:rPr>
                <w:sz w:val="20"/>
                <w:szCs w:val="20"/>
                <w:color w:val="auto"/>
              </w:rPr>
            </w:pPr>
            <w:r>
              <w:rPr>
                <w:rFonts w:ascii="Times New Roman" w:cs="Times New Roman" w:eastAsia="Times New Roman" w:hAnsi="Times New Roman"/>
                <w:sz w:val="8"/>
                <w:szCs w:val="8"/>
                <w:b w:val="1"/>
                <w:bCs w:val="1"/>
                <w:color w:val="auto"/>
              </w:rPr>
              <w:t>For the Nine Months Ended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June 30,</w:t>
            </w:r>
          </w:p>
        </w:tc>
        <w:tc>
          <w:tcPr>
            <w:tcW w:w="480" w:type="dxa"/>
            <w:vAlign w:val="bottom"/>
          </w:tcPr>
          <w:p>
            <w:pPr>
              <w:spacing w:after="0"/>
              <w:rPr>
                <w:sz w:val="9"/>
                <w:szCs w:val="9"/>
                <w:color w:val="auto"/>
              </w:rPr>
            </w:pPr>
          </w:p>
        </w:tc>
        <w:tc>
          <w:tcPr>
            <w:tcW w:w="98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(2,164,255 )</w:t>
            </w:r>
          </w:p>
        </w:tc>
        <w:tc>
          <w:tcPr>
            <w:tcW w:w="480" w:type="dxa"/>
            <w:vAlign w:val="bottom"/>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20,300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(811,281 )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(2,697,147 )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344,248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601,809</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190,289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(8,183 )</w:t>
            </w: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25,706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1,327,705</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979,793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39,243</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117,873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33,900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(28,000 )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(636,814 )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(1,391,186 )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for redemptions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to pay for taxes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(531,697 )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10,008,973</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492,287</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473,008</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 of shares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(117,079,879 )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(9,419,201 )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(115,129,879 )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(47,042 )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(137,114 )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13,242</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40,464</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1,108,476</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3,477,548</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114,078</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subscription agreements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462,751</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03" w:name="page204"/>
    <w:bookmarkEnd w:id="203"/>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JUNE 30,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04" w:name="page205"/>
    <w:bookmarkEnd w:id="204"/>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85" w:lineRule="auto"/>
        <w:rPr>
          <w:sz w:val="20"/>
          <w:szCs w:val="20"/>
          <w:color w:val="auto"/>
        </w:rPr>
      </w:pPr>
      <w:r>
        <w:rPr>
          <w:rFonts w:ascii="Times New Roman" w:cs="Times New Roman" w:eastAsia="Times New Roman" w:hAnsi="Times New Roman"/>
          <w:sz w:val="9"/>
          <w:szCs w:val="9"/>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5" w:name="page206"/>
    <w:bookmarkEnd w:id="205"/>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06" w:name="page207"/>
    <w:bookmarkEnd w:id="206"/>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June 30, 2024, the Company had $13,242 of cash in its bank operating account and a working capital deficiency of approximately $10.9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7" w:name="page208"/>
    <w:bookmarkEnd w:id="207"/>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08" w:name="page209"/>
    <w:bookmarkEnd w:id="208"/>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jc w:val="center"/>
        <w:ind w:right="40"/>
        <w:spacing w:after="0" w:line="380" w:lineRule="auto"/>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$13,242 and $60,284 in cash as of June 30, 2024 and September 30, 2023, respectively. 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0"/>
          <w:szCs w:val="10"/>
          <w:b w:val="1"/>
          <w:bCs w:val="1"/>
          <w:i w:val="1"/>
          <w:iCs w:val="1"/>
          <w:color w:val="auto"/>
        </w:rPr>
        <w:t>Cash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18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0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10" w:name="page211"/>
    <w:bookmarkEnd w:id="210"/>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7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June 30, 2024 and September 30, 2023, the common stock reflected in the balance sheets are reconciled in the following table:</w:t>
            </w: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2"/>
        </w:trPr>
        <w:tc>
          <w:tcPr>
            <w:tcW w:w="110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38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380" w:type="dxa"/>
            <w:vAlign w:val="bottom"/>
          </w:tcPr>
          <w:p>
            <w:pPr>
              <w:spacing w:after="0"/>
              <w:rPr>
                <w:sz w:val="9"/>
                <w:szCs w:val="9"/>
                <w:color w:val="auto"/>
              </w:rPr>
            </w:pPr>
          </w:p>
        </w:tc>
        <w:tc>
          <w:tcPr>
            <w:tcW w:w="9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3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9"/>
                <w:szCs w:val="9"/>
                <w:color w:val="auto"/>
              </w:rPr>
            </w:pPr>
          </w:p>
        </w:tc>
      </w:tr>
      <w:tr>
        <w:trPr>
          <w:trHeight w:val="106"/>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 value –</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Trust interest income (excluding the amount that can be withdrawn</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19"/>
        </w:trPr>
        <w:tc>
          <w:tcPr>
            <w:tcW w:w="1100" w:type="dxa"/>
            <w:vAlign w:val="bottom"/>
          </w:tcPr>
          <w:p>
            <w:pPr>
              <w:spacing w:after="0"/>
              <w:rPr>
                <w:sz w:val="10"/>
                <w:szCs w:val="10"/>
                <w:color w:val="auto"/>
              </w:rPr>
            </w:pPr>
          </w:p>
        </w:tc>
        <w:tc>
          <w:tcPr>
            <w:tcW w:w="6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from Trust Account for taxes)</w:t>
            </w:r>
          </w:p>
        </w:tc>
        <w:tc>
          <w:tcPr>
            <w:tcW w:w="38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0"/>
                <w:szCs w:val="10"/>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2022</w:t>
            </w:r>
          </w:p>
        </w:tc>
        <w:tc>
          <w:tcPr>
            <w:tcW w:w="380" w:type="dxa"/>
            <w:vAlign w:val="bottom"/>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80" w:type="dxa"/>
            <w:vAlign w:val="bottom"/>
            <w:shd w:val="clear" w:color="auto" w:fill="CFF0FC"/>
          </w:tcPr>
          <w:p>
            <w:pPr>
              <w:spacing w:after="0"/>
              <w:rPr>
                <w:sz w:val="9"/>
                <w:szCs w:val="9"/>
                <w:color w:val="auto"/>
              </w:rPr>
            </w:pPr>
          </w:p>
        </w:tc>
        <w:tc>
          <w:tcPr>
            <w:tcW w:w="92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September 30, 2023</w:t>
            </w:r>
          </w:p>
        </w:tc>
        <w:tc>
          <w:tcPr>
            <w:tcW w:w="380" w:type="dxa"/>
            <w:vAlign w:val="bottom"/>
            <w:shd w:val="clear" w:color="auto" w:fill="CFF0FC"/>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9"/>
                <w:szCs w:val="9"/>
                <w:color w:val="auto"/>
              </w:rPr>
            </w:pPr>
          </w:p>
        </w:tc>
      </w:tr>
      <w:tr>
        <w:trPr>
          <w:trHeight w:val="113"/>
        </w:trPr>
        <w:tc>
          <w:tcPr>
            <w:tcW w:w="1100" w:type="dxa"/>
            <w:vAlign w:val="bottom"/>
          </w:tcPr>
          <w:p>
            <w:pPr>
              <w:spacing w:after="0"/>
              <w:rPr>
                <w:sz w:val="9"/>
                <w:szCs w:val="9"/>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80" w:type="dxa"/>
            <w:vAlign w:val="bottom"/>
          </w:tcPr>
          <w:p>
            <w:pPr>
              <w:spacing w:after="0"/>
              <w:rPr>
                <w:sz w:val="9"/>
                <w:szCs w:val="9"/>
                <w:color w:val="auto"/>
              </w:rPr>
            </w:pPr>
          </w:p>
        </w:tc>
        <w:tc>
          <w:tcPr>
            <w:tcW w:w="92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(10,384,496 )</w:t>
            </w:r>
          </w:p>
        </w:tc>
      </w:tr>
      <w:tr>
        <w:trPr>
          <w:trHeight w:val="113"/>
        </w:trPr>
        <w:tc>
          <w:tcPr>
            <w:tcW w:w="1100" w:type="dxa"/>
            <w:vAlign w:val="bottom"/>
          </w:tcPr>
          <w:p>
            <w:pPr>
              <w:spacing w:after="0"/>
              <w:rPr>
                <w:sz w:val="9"/>
                <w:szCs w:val="9"/>
                <w:color w:val="auto"/>
              </w:rPr>
            </w:pPr>
          </w:p>
        </w:tc>
        <w:tc>
          <w:tcPr>
            <w:tcW w:w="61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80" w:type="dxa"/>
            <w:vAlign w:val="bottom"/>
            <w:shd w:val="clear" w:color="auto" w:fill="CFF0FC"/>
          </w:tcPr>
          <w:p>
            <w:pPr>
              <w:spacing w:after="0"/>
              <w:rPr>
                <w:sz w:val="9"/>
                <w:szCs w:val="9"/>
                <w:color w:val="auto"/>
              </w:rPr>
            </w:pPr>
          </w:p>
        </w:tc>
        <w:tc>
          <w:tcPr>
            <w:tcW w:w="8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1,108,476</w:t>
            </w:r>
          </w:p>
        </w:tc>
        <w:tc>
          <w:tcPr>
            <w:tcW w:w="60" w:type="dxa"/>
            <w:vAlign w:val="bottom"/>
            <w:shd w:val="clear" w:color="auto" w:fill="CFF0FC"/>
          </w:tcPr>
          <w:p>
            <w:pPr>
              <w:spacing w:after="0"/>
              <w:rPr>
                <w:sz w:val="9"/>
                <w:szCs w:val="9"/>
                <w:color w:val="auto"/>
              </w:rPr>
            </w:pPr>
          </w:p>
        </w:tc>
      </w:tr>
      <w:tr>
        <w:trPr>
          <w:trHeight w:val="115"/>
        </w:trPr>
        <w:tc>
          <w:tcPr>
            <w:tcW w:w="1100" w:type="dxa"/>
            <w:vAlign w:val="bottom"/>
          </w:tcPr>
          <w:p>
            <w:pPr>
              <w:spacing w:after="0"/>
              <w:rPr>
                <w:sz w:val="10"/>
                <w:szCs w:val="10"/>
                <w:color w:val="auto"/>
              </w:rPr>
            </w:pPr>
          </w:p>
        </w:tc>
        <w:tc>
          <w:tcPr>
            <w:tcW w:w="614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 June 30, 2024</w:t>
            </w:r>
          </w:p>
        </w:tc>
        <w:tc>
          <w:tcPr>
            <w:tcW w:w="380" w:type="dxa"/>
            <w:vAlign w:val="bottom"/>
            <w:tcBorders>
              <w:bottom w:val="single" w:sz="8" w:color="auto"/>
            </w:tcBorders>
          </w:tcPr>
          <w:p>
            <w:pPr>
              <w:jc w:val="right"/>
              <w:ind w:right="2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16,040,786</w:t>
            </w:r>
          </w:p>
        </w:tc>
        <w:tc>
          <w:tcPr>
            <w:tcW w:w="60" w:type="dxa"/>
            <w:vAlign w:val="bottom"/>
          </w:tcPr>
          <w:p>
            <w:pPr>
              <w:spacing w:after="0"/>
              <w:rPr>
                <w:sz w:val="10"/>
                <w:szCs w:val="1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40" w:type="dxa"/>
            <w:vAlign w:val="bottom"/>
            <w:gridSpan w:val="3"/>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For the Three Months Ended June 30,</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tcPr>
          <w:p>
            <w:pPr>
              <w:jc w:val="right"/>
              <w:ind w:right="179"/>
              <w:spacing w:after="0"/>
              <w:rPr>
                <w:sz w:val="20"/>
                <w:szCs w:val="20"/>
                <w:color w:val="auto"/>
              </w:rPr>
            </w:pPr>
            <w:r>
              <w:rPr>
                <w:rFonts w:ascii="Times New Roman" w:cs="Times New Roman" w:eastAsia="Times New Roman" w:hAnsi="Times New Roman"/>
                <w:sz w:val="8"/>
                <w:szCs w:val="8"/>
                <w:b w:val="1"/>
                <w:bCs w:val="1"/>
                <w:color w:val="auto"/>
              </w:rPr>
              <w:t>For the Nine Months Ended June 30,</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8"/>
                <w:szCs w:val="8"/>
                <w:b w:val="1"/>
                <w:bCs w:val="1"/>
                <w:color w:val="auto"/>
              </w:rPr>
              <w:t>2023</w:t>
            </w: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Common</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Common</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stock</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stock</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stock</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8"/>
                <w:szCs w:val="8"/>
                <w:b w:val="1"/>
                <w:bCs w:val="1"/>
                <w:color w:val="auto"/>
              </w:rPr>
              <w:t>stock</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9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98"/>
        </w:trPr>
        <w:tc>
          <w:tcPr>
            <w:tcW w:w="1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60" w:type="dxa"/>
            <w:vAlign w:val="bottom"/>
          </w:tcPr>
          <w:p>
            <w:pPr>
              <w:spacing w:after="0"/>
              <w:rPr>
                <w:sz w:val="8"/>
                <w:szCs w:val="8"/>
                <w:color w:val="auto"/>
              </w:rPr>
            </w:pPr>
          </w:p>
        </w:tc>
        <w:tc>
          <w:tcPr>
            <w:tcW w:w="760" w:type="dxa"/>
            <w:vAlign w:val="bottom"/>
          </w:tcPr>
          <w:p>
            <w:pPr>
              <w:jc w:val="right"/>
              <w:ind w:right="29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60" w:type="dxa"/>
            <w:vAlign w:val="bottom"/>
          </w:tcPr>
          <w:p>
            <w:pPr>
              <w:spacing w:after="0"/>
              <w:rPr>
                <w:sz w:val="8"/>
                <w:szCs w:val="8"/>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8"/>
                <w:szCs w:val="8"/>
                <w:b w:val="1"/>
                <w:bCs w:val="1"/>
                <w:color w:val="auto"/>
              </w:rPr>
              <w:t>Common</w:t>
            </w:r>
          </w:p>
        </w:tc>
        <w:tc>
          <w:tcPr>
            <w:tcW w:w="200" w:type="dxa"/>
            <w:vAlign w:val="bottom"/>
          </w:tcPr>
          <w:p>
            <w:pPr>
              <w:spacing w:after="0"/>
              <w:rPr>
                <w:sz w:val="8"/>
                <w:szCs w:val="8"/>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60" w:type="dxa"/>
            <w:vAlign w:val="bottom"/>
          </w:tcPr>
          <w:p>
            <w:pPr>
              <w:spacing w:after="0"/>
              <w:rPr>
                <w:sz w:val="8"/>
                <w:szCs w:val="8"/>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8"/>
                <w:szCs w:val="8"/>
                <w:b w:val="1"/>
                <w:bCs w:val="1"/>
                <w:color w:val="auto"/>
              </w:rPr>
              <w:t>Common</w:t>
            </w:r>
          </w:p>
        </w:tc>
      </w:tr>
      <w:tr>
        <w:trPr>
          <w:trHeight w:val="106"/>
        </w:trPr>
        <w:tc>
          <w:tcPr>
            <w:tcW w:w="1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60" w:type="dxa"/>
            <w:vAlign w:val="bottom"/>
          </w:tcPr>
          <w:p>
            <w:pPr>
              <w:spacing w:after="0"/>
              <w:rPr>
                <w:sz w:val="9"/>
                <w:szCs w:val="9"/>
                <w:color w:val="auto"/>
              </w:rPr>
            </w:pPr>
          </w:p>
        </w:tc>
        <w:tc>
          <w:tcPr>
            <w:tcW w:w="760" w:type="dxa"/>
            <w:vAlign w:val="bottom"/>
          </w:tcPr>
          <w:p>
            <w:pPr>
              <w:jc w:val="right"/>
              <w:ind w:right="379"/>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860" w:type="dxa"/>
            <w:vAlign w:val="bottom"/>
          </w:tcPr>
          <w:p>
            <w:pPr>
              <w:jc w:val="center"/>
              <w:ind w:right="27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60" w:type="dxa"/>
            <w:vAlign w:val="bottom"/>
          </w:tcPr>
          <w:p>
            <w:pPr>
              <w:spacing w:after="0"/>
              <w:rPr>
                <w:sz w:val="9"/>
                <w:szCs w:val="9"/>
                <w:color w:val="auto"/>
              </w:rPr>
            </w:pPr>
          </w:p>
        </w:tc>
        <w:tc>
          <w:tcPr>
            <w:tcW w:w="780" w:type="dxa"/>
            <w:vAlign w:val="bottom"/>
          </w:tcPr>
          <w:p>
            <w:pPr>
              <w:jc w:val="right"/>
              <w:ind w:right="399"/>
              <w:spacing w:after="0"/>
              <w:rPr>
                <w:sz w:val="20"/>
                <w:szCs w:val="20"/>
                <w:color w:val="auto"/>
              </w:rPr>
            </w:pPr>
            <w:r>
              <w:rPr>
                <w:rFonts w:ascii="Times New Roman" w:cs="Times New Roman" w:eastAsia="Times New Roman" w:hAnsi="Times New Roman"/>
                <w:sz w:val="8"/>
                <w:szCs w:val="8"/>
                <w:b w:val="1"/>
                <w:bCs w:val="1"/>
                <w:color w:val="auto"/>
              </w:rPr>
              <w:t>stock</w:t>
            </w:r>
          </w:p>
        </w:tc>
        <w:tc>
          <w:tcPr>
            <w:tcW w:w="200" w:type="dxa"/>
            <w:vAlign w:val="bottom"/>
          </w:tcPr>
          <w:p>
            <w:pPr>
              <w:spacing w:after="0"/>
              <w:rPr>
                <w:sz w:val="9"/>
                <w:szCs w:val="9"/>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60" w:type="dxa"/>
            <w:vAlign w:val="bottom"/>
          </w:tcPr>
          <w:p>
            <w:pPr>
              <w:spacing w:after="0"/>
              <w:rPr>
                <w:sz w:val="9"/>
                <w:szCs w:val="9"/>
                <w:color w:val="auto"/>
              </w:rPr>
            </w:pPr>
          </w:p>
        </w:tc>
        <w:tc>
          <w:tcPr>
            <w:tcW w:w="820" w:type="dxa"/>
            <w:vAlign w:val="bottom"/>
          </w:tcPr>
          <w:p>
            <w:pPr>
              <w:jc w:val="right"/>
              <w:ind w:right="419"/>
              <w:spacing w:after="0"/>
              <w:rPr>
                <w:sz w:val="20"/>
                <w:szCs w:val="20"/>
                <w:color w:val="auto"/>
              </w:rPr>
            </w:pPr>
            <w:r>
              <w:rPr>
                <w:rFonts w:ascii="Times New Roman" w:cs="Times New Roman" w:eastAsia="Times New Roman" w:hAnsi="Times New Roman"/>
                <w:sz w:val="8"/>
                <w:szCs w:val="8"/>
                <w:b w:val="1"/>
                <w:bCs w:val="1"/>
                <w:color w:val="auto"/>
              </w:rPr>
              <w:t>stock</w:t>
            </w:r>
          </w:p>
        </w:tc>
      </w:tr>
      <w:tr>
        <w:trPr>
          <w:trHeight w:val="89"/>
        </w:trPr>
        <w:tc>
          <w:tcPr>
            <w:tcW w:w="1900" w:type="dxa"/>
            <w:vAlign w:val="bottom"/>
            <w:shd w:val="clear" w:color="auto" w:fill="CFF0FC"/>
          </w:tcPr>
          <w:p>
            <w:pPr>
              <w:spacing w:after="0" w:line="89" w:lineRule="exact"/>
              <w:rPr>
                <w:sz w:val="20"/>
                <w:szCs w:val="20"/>
                <w:color w:val="auto"/>
              </w:rPr>
            </w:pPr>
            <w:r>
              <w:rPr>
                <w:rFonts w:ascii="Times New Roman" w:cs="Times New Roman" w:eastAsia="Times New Roman" w:hAnsi="Times New Roman"/>
                <w:sz w:val="8"/>
                <w:szCs w:val="8"/>
                <w:i w:val="1"/>
                <w:iCs w:val="1"/>
                <w:color w:val="auto"/>
              </w:rPr>
              <w:t>Basic and diluted net (loss) income</w:t>
            </w:r>
          </w:p>
        </w:tc>
        <w:tc>
          <w:tcPr>
            <w:tcW w:w="8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r>
        <w:trPr>
          <w:trHeight w:val="106"/>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i w:val="1"/>
                <w:iCs w:val="1"/>
                <w:color w:val="auto"/>
              </w:rPr>
              <w:t>per share</w:t>
            </w:r>
          </w:p>
        </w:tc>
        <w:tc>
          <w:tcPr>
            <w:tcW w:w="8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r>
      <w:tr>
        <w:trPr>
          <w:trHeight w:val="91"/>
        </w:trPr>
        <w:tc>
          <w:tcPr>
            <w:tcW w:w="190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Numerator: Allocation of net (loss)</w:t>
            </w: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04"/>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income, as adjusted</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rPr>
              <w:t>(283,071 )</w:t>
            </w: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(1,140,024 )</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(212,999 )</w:t>
            </w:r>
          </w:p>
        </w:tc>
        <w:tc>
          <w:tcPr>
            <w:tcW w:w="16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(346,585 )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rPr>
              <w:t>(539,100 )</w:t>
            </w:r>
          </w:p>
        </w:tc>
        <w:tc>
          <w:tcPr>
            <w:tcW w:w="16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rPr>
              <w:t>(1,625,155 )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12,296</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8,004</w:t>
            </w:r>
          </w:p>
        </w:tc>
      </w:tr>
      <w:tr>
        <w:trPr>
          <w:trHeight w:val="98"/>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Denominator:</w:t>
            </w:r>
          </w:p>
        </w:tc>
        <w:tc>
          <w:tcPr>
            <w:tcW w:w="84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r>
      <w:tr>
        <w:trPr>
          <w:trHeight w:val="91"/>
        </w:trPr>
        <w:tc>
          <w:tcPr>
            <w:tcW w:w="1900" w:type="dxa"/>
            <w:vAlign w:val="bottom"/>
          </w:tcPr>
          <w:p>
            <w:pPr>
              <w:spacing w:after="0" w:line="91" w:lineRule="exact"/>
              <w:rPr>
                <w:sz w:val="20"/>
                <w:szCs w:val="20"/>
                <w:color w:val="auto"/>
              </w:rPr>
            </w:pPr>
            <w:r>
              <w:rPr>
                <w:rFonts w:ascii="Times New Roman" w:cs="Times New Roman" w:eastAsia="Times New Roman" w:hAnsi="Times New Roman"/>
                <w:sz w:val="8"/>
                <w:szCs w:val="8"/>
                <w:color w:val="auto"/>
              </w:rPr>
              <w:t>Basic and diluted weighted average</w:t>
            </w:r>
          </w:p>
        </w:tc>
        <w:tc>
          <w:tcPr>
            <w:tcW w:w="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04"/>
        </w:trPr>
        <w:tc>
          <w:tcPr>
            <w:tcW w:w="1900" w:type="dxa"/>
            <w:vAlign w:val="bottom"/>
          </w:tcPr>
          <w:p>
            <w:pPr>
              <w:ind w:left="60"/>
              <w:spacing w:after="0"/>
              <w:rPr>
                <w:sz w:val="20"/>
                <w:szCs w:val="20"/>
                <w:color w:val="auto"/>
              </w:rPr>
            </w:pPr>
            <w:r>
              <w:rPr>
                <w:rFonts w:ascii="Times New Roman" w:cs="Times New Roman" w:eastAsia="Times New Roman" w:hAnsi="Times New Roman"/>
                <w:sz w:val="8"/>
                <w:szCs w:val="8"/>
                <w:color w:val="auto"/>
              </w:rPr>
              <w:t>shares outstanding</w:t>
            </w:r>
          </w:p>
        </w:tc>
        <w:tc>
          <w:tcPr>
            <w:tcW w:w="840" w:type="dxa"/>
            <w:vAlign w:val="bottom"/>
          </w:tcPr>
          <w:p>
            <w:pPr>
              <w:spacing w:after="0"/>
              <w:rPr>
                <w:sz w:val="9"/>
                <w:szCs w:val="9"/>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8"/>
                <w:szCs w:val="8"/>
                <w:color w:val="auto"/>
              </w:rPr>
              <w:t>1,417,687</w:t>
            </w:r>
          </w:p>
        </w:tc>
        <w:tc>
          <w:tcPr>
            <w:tcW w:w="14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rPr>
              <w:t>3,508,852</w:t>
            </w:r>
          </w:p>
        </w:tc>
        <w:tc>
          <w:tcPr>
            <w:tcW w:w="160" w:type="dxa"/>
            <w:vAlign w:val="bottom"/>
          </w:tcPr>
          <w:p>
            <w:pPr>
              <w:spacing w:after="0"/>
              <w:rPr>
                <w:sz w:val="9"/>
                <w:szCs w:val="9"/>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5,709,500</w:t>
            </w:r>
          </w:p>
        </w:tc>
        <w:tc>
          <w:tcPr>
            <w:tcW w:w="220" w:type="dxa"/>
            <w:vAlign w:val="bottom"/>
          </w:tcPr>
          <w:p>
            <w:pPr>
              <w:spacing w:after="0"/>
              <w:rPr>
                <w:sz w:val="9"/>
                <w:szCs w:val="9"/>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rPr>
              <w:t>1,893,969</w:t>
            </w:r>
          </w:p>
        </w:tc>
        <w:tc>
          <w:tcPr>
            <w:tcW w:w="160" w:type="dxa"/>
            <w:vAlign w:val="bottom"/>
          </w:tcPr>
          <w:p>
            <w:pPr>
              <w:spacing w:after="0"/>
              <w:rPr>
                <w:sz w:val="9"/>
                <w:szCs w:val="9"/>
                <w:color w:val="auto"/>
              </w:rPr>
            </w:pPr>
          </w:p>
        </w:tc>
        <w:tc>
          <w:tcPr>
            <w:tcW w:w="7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rPr>
              <w:t>5,709,500</w:t>
            </w:r>
          </w:p>
        </w:tc>
        <w:tc>
          <w:tcPr>
            <w:tcW w:w="200" w:type="dxa"/>
            <w:vAlign w:val="bottom"/>
          </w:tcPr>
          <w:p>
            <w:pPr>
              <w:spacing w:after="0"/>
              <w:rPr>
                <w:sz w:val="9"/>
                <w:szCs w:val="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8,770,367</w:t>
            </w:r>
          </w:p>
        </w:tc>
        <w:tc>
          <w:tcPr>
            <w:tcW w:w="360" w:type="dxa"/>
            <w:vAlign w:val="bottom"/>
          </w:tcPr>
          <w:p>
            <w:pPr>
              <w:spacing w:after="0"/>
              <w:rPr>
                <w:sz w:val="9"/>
                <w:szCs w:val="9"/>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rPr>
              <w:t>5,709,500</w:t>
            </w:r>
          </w:p>
        </w:tc>
      </w:tr>
      <w:tr>
        <w:trPr>
          <w:trHeight w:val="91"/>
        </w:trPr>
        <w:tc>
          <w:tcPr>
            <w:tcW w:w="1900" w:type="dxa"/>
            <w:vAlign w:val="bottom"/>
            <w:shd w:val="clear" w:color="auto" w:fill="CFF0FC"/>
          </w:tcPr>
          <w:p>
            <w:pPr>
              <w:spacing w:after="0" w:line="91" w:lineRule="exact"/>
              <w:rPr>
                <w:sz w:val="20"/>
                <w:szCs w:val="20"/>
                <w:color w:val="auto"/>
              </w:rPr>
            </w:pPr>
            <w:r>
              <w:rPr>
                <w:rFonts w:ascii="Times New Roman" w:cs="Times New Roman" w:eastAsia="Times New Roman" w:hAnsi="Times New Roman"/>
                <w:sz w:val="8"/>
                <w:szCs w:val="8"/>
                <w:color w:val="auto"/>
              </w:rPr>
              <w:t>Basic and diluted net (loss) income</w:t>
            </w:r>
          </w:p>
        </w:tc>
        <w:tc>
          <w:tcPr>
            <w:tcW w:w="84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r>
        <w:trPr>
          <w:trHeight w:val="104"/>
        </w:trPr>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per share</w:t>
            </w:r>
          </w:p>
        </w:tc>
        <w:tc>
          <w:tcPr>
            <w:tcW w:w="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88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8"/>
                <w:szCs w:val="8"/>
                <w:color w:val="auto"/>
              </w:rPr>
              <w:t>(0.20 )</w:t>
            </w:r>
          </w:p>
        </w:tc>
        <w:tc>
          <w:tcPr>
            <w:tcW w:w="1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(0.20 )</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rPr>
              <w:t>(0.06 )</w:t>
            </w:r>
          </w:p>
        </w:tc>
        <w:tc>
          <w:tcPr>
            <w:tcW w:w="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(0.06 )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rPr>
              <w:t>(0.28 )</w:t>
            </w:r>
          </w:p>
        </w:tc>
        <w:tc>
          <w:tcPr>
            <w:tcW w:w="1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8"/>
                <w:szCs w:val="8"/>
                <w:color w:val="auto"/>
              </w:rPr>
              <w:t>(0.28 )</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0.00</w:t>
            </w:r>
          </w:p>
        </w:tc>
        <w:tc>
          <w:tcPr>
            <w:tcW w:w="3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rPr>
              <w:t>$</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8"/>
                <w:szCs w:val="8"/>
                <w:color w:val="auto"/>
              </w:rPr>
              <w:t>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0"/>
          <w:szCs w:val="10"/>
          <w:color w:val="auto"/>
        </w:rPr>
        <w:t>costs are recognized as an expense in the condensed statements of operations upon vesting, once the applicable performance conditions are met, with an offsetting increase to additional paid-in capital. Forfeitures are recognized as they occur.</w:t>
      </w:r>
    </w:p>
    <w:p>
      <w:pPr>
        <w:spacing w:after="0" w:line="118"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89" w:lineRule="exact"/>
        <w:rPr>
          <w:sz w:val="20"/>
          <w:szCs w:val="20"/>
          <w:color w:val="auto"/>
        </w:rPr>
      </w:pPr>
    </w:p>
    <w:p>
      <w:pPr>
        <w:ind w:right="2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08" w:lineRule="exact"/>
        <w:rPr>
          <w:sz w:val="20"/>
          <w:szCs w:val="20"/>
          <w:color w:val="auto"/>
        </w:rPr>
      </w:pPr>
    </w:p>
    <w:p>
      <w:pPr>
        <w:jc w:val="both"/>
        <w:ind w:right="160" w:firstLine="480"/>
        <w:spacing w:after="0" w:line="245" w:lineRule="auto"/>
        <w:rPr>
          <w:sz w:val="20"/>
          <w:szCs w:val="20"/>
          <w:color w:val="auto"/>
        </w:rPr>
      </w:pPr>
      <w:r>
        <w:rPr>
          <w:rFonts w:ascii="Times New Roman" w:cs="Times New Roman" w:eastAsia="Times New Roman" w:hAnsi="Times New Roman"/>
          <w:sz w:val="10"/>
          <w:szCs w:val="10"/>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 excess of the fair value of the shares purchased by executives over the price that they paid for these shares is recorded as part of the stock compensation expense in the Company’s statement of operations.</w:t>
      </w:r>
    </w:p>
    <w:p>
      <w:pPr>
        <w:spacing w:after="0" w:line="105"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05"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740 -270-25-3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12" w:name="page213"/>
    <w:bookmarkEnd w:id="212"/>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Founder Shares</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Representative Common Stock</w:t>
      </w:r>
    </w:p>
    <w:p>
      <w:pPr>
        <w:spacing w:after="0" w:line="6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13" w:name="page214"/>
    <w:bookmarkEnd w:id="213"/>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05" w:lineRule="exact"/>
        <w:rPr>
          <w:sz w:val="20"/>
          <w:szCs w:val="20"/>
          <w:color w:val="auto"/>
        </w:rPr>
      </w:pPr>
    </w:p>
    <w:p>
      <w:pPr>
        <w:jc w:val="center"/>
        <w:ind w:left="980" w:right="140"/>
        <w:spacing w:after="0" w:line="380"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6778625"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14" w:name="page215"/>
    <w:bookmarkEnd w:id="214"/>
    <w:p>
      <w:pPr>
        <w:jc w:val="both"/>
        <w:ind w:right="200"/>
        <w:spacing w:after="0" w:line="255" w:lineRule="auto"/>
        <w:rPr>
          <w:sz w:val="20"/>
          <w:szCs w:val="20"/>
          <w:color w:val="auto"/>
        </w:rPr>
      </w:pPr>
      <w:r>
        <w:rPr>
          <w:rFonts w:ascii="Times New Roman" w:cs="Times New Roman" w:eastAsia="Times New Roman" w:hAnsi="Times New Roman"/>
          <w:sz w:val="10"/>
          <w:szCs w:val="10"/>
          <w:color w:val="auto"/>
        </w:rPr>
        <w:t>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05"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jc w:val="center"/>
        <w:ind w:left="1020" w:right="100"/>
        <w:spacing w:after="0" w:line="380"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15" w:name="page216"/>
    <w:bookmarkEnd w:id="215"/>
    <w:p>
      <w:pPr>
        <w:ind w:right="320"/>
        <w:spacing w:after="0" w:line="255" w:lineRule="auto"/>
        <w:rPr>
          <w:sz w:val="20"/>
          <w:szCs w:val="20"/>
          <w:color w:val="auto"/>
        </w:rPr>
      </w:pPr>
      <w:r>
        <w:rPr>
          <w:rFonts w:ascii="Times New Roman" w:cs="Times New Roman" w:eastAsia="Times New Roman" w:hAnsi="Times New Roman"/>
          <w:sz w:val="10"/>
          <w:szCs w:val="10"/>
          <w:color w:val="auto"/>
        </w:rPr>
        <w:t>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May 15, 2024, the Company borrowed $49,619 under the Second Extension Note and deposited the funds into the Trust Account thereby extending the Termination Date to June 17, 2024.</w:t>
      </w:r>
    </w:p>
    <w:p>
      <w:pPr>
        <w:spacing w:after="0" w:line="11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June 15, 2024, the Company borrowed $49,619 under the Second Extension Note and deposited the funds into the Trust Account thereby extending the Termination Date to July 17, 2024.</w:t>
      </w:r>
    </w:p>
    <w:p>
      <w:pPr>
        <w:spacing w:after="0" w:line="1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$ 10,000 per month for office space, utilities and secretarial support. Upon completion of the initial Business Combination or the Company’s liquidation, the Company will cease paying these monthly fees. For the three and nine months ended June 30, 2024, the Company incurred $30,000 and $90,000, respectively in administrative service fees. For each of the three and nine months ended June 30, 2023, the Company incurred and paid</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0"/>
          <w:szCs w:val="10"/>
          <w:color w:val="auto"/>
        </w:rPr>
        <w:t>$30,000 and $90,000, respectively, in administrative service fees. The Company has $60,000 and $0 related to the administrative service fees, included in the accounts payable as of June 30,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Agreements Liability</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agreements liability as a bundled transaction with allocation of individual items based on their relative fair values. The fair value of shares issuable under the Subscription 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95" w:right="6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18" w:name="page219"/>
    <w:bookmarkEnd w:id="218"/>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5640" w:type="dxa"/>
            <w:vAlign w:val="bottom"/>
          </w:tcPr>
          <w:p>
            <w:pPr>
              <w:spacing w:after="0"/>
              <w:rPr>
                <w:sz w:val="8"/>
                <w:szCs w:val="8"/>
                <w:color w:val="auto"/>
              </w:rPr>
            </w:pPr>
          </w:p>
        </w:tc>
        <w:tc>
          <w:tcPr>
            <w:tcW w:w="72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June 30, 2024</w:t>
            </w:r>
          </w:p>
        </w:tc>
        <w:tc>
          <w:tcPr>
            <w:tcW w:w="1020" w:type="dxa"/>
            <w:vAlign w:val="bottom"/>
          </w:tcPr>
          <w:p>
            <w:pPr>
              <w:spacing w:after="0"/>
              <w:rPr>
                <w:sz w:val="8"/>
                <w:szCs w:val="8"/>
                <w:color w:val="auto"/>
              </w:rPr>
            </w:pPr>
          </w:p>
        </w:tc>
        <w:tc>
          <w:tcPr>
            <w:tcW w:w="1400" w:type="dxa"/>
            <w:vAlign w:val="bottom"/>
            <w:gridSpan w:val="2"/>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September 30, 2023</w:t>
            </w:r>
          </w:p>
        </w:tc>
        <w:tc>
          <w:tcPr>
            <w:tcW w:w="800" w:type="dxa"/>
            <w:vAlign w:val="bottom"/>
          </w:tcPr>
          <w:p>
            <w:pPr>
              <w:spacing w:after="0"/>
              <w:rPr>
                <w:sz w:val="8"/>
                <w:szCs w:val="8"/>
                <w:color w:val="auto"/>
              </w:rPr>
            </w:pPr>
          </w:p>
        </w:tc>
      </w:tr>
      <w:tr>
        <w:trPr>
          <w:trHeight w:val="106"/>
        </w:trPr>
        <w:tc>
          <w:tcPr>
            <w:tcW w:w="5640" w:type="dxa"/>
            <w:vAlign w:val="bottom"/>
          </w:tcPr>
          <w:p>
            <w:pPr>
              <w:ind w:left="5320"/>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jc w:val="right"/>
              <w:ind w:right="57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13"/>
        </w:trPr>
        <w:tc>
          <w:tcPr>
            <w:tcW w:w="56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4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125"/>
        </w:trPr>
        <w:tc>
          <w:tcPr>
            <w:tcW w:w="56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0"/>
                <w:szCs w:val="10"/>
                <w:color w:val="auto"/>
              </w:rPr>
              <w:t>16,126,337</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June 30,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20" w:name="page221"/>
    <w:bookmarkEnd w:id="220"/>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 was placed into a members’ voluntary liquidation.</w:t>
      </w:r>
    </w:p>
    <w:p>
      <w:pPr>
        <w:spacing w:after="0" w:line="10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July 17, 2024, the Company borrowed $49,619 under the Second Extension Note and deposited the funds into the Trust Account thereby extending the Termination Date to August 17, 2024.</w:t>
      </w:r>
    </w:p>
    <w:p>
      <w:pPr>
        <w:spacing w:after="0" w:line="11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On July 17, 2024, the Company issued a promissory note to the Sponsor for the aggregate amount of $381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1" w:name="page222"/>
    <w:bookmarkEnd w:id="221"/>
    <w:p>
      <w:pPr>
        <w:ind w:left="490"/>
        <w:spacing w:after="0"/>
        <w:rPr>
          <w:sz w:val="20"/>
          <w:szCs w:val="20"/>
          <w:color w:val="auto"/>
        </w:rPr>
      </w:pPr>
      <w:r>
        <w:rPr>
          <w:rFonts w:ascii="Times New Roman" w:cs="Times New Roman" w:eastAsia="Times New Roman" w:hAnsi="Times New Roman"/>
          <w:sz w:val="9"/>
          <w:szCs w:val="9"/>
          <w:color w:val="auto"/>
        </w:rPr>
        <w:t>On August 1, 2024, the Company held a special meeting of stockholders (the “Special Meeting”) virtually to approve, among other things, the Company’s initial business combination, as more fully described in the Definitive Proxy Statement filed with the U.S.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Securities and Exchange Commission on July 10, 2024.</w:t>
      </w:r>
    </w:p>
    <w:p>
      <w:pPr>
        <w:spacing w:after="0" w:line="108" w:lineRule="exact"/>
        <w:rPr>
          <w:sz w:val="20"/>
          <w:szCs w:val="20"/>
          <w:color w:val="auto"/>
        </w:rPr>
      </w:pPr>
    </w:p>
    <w:p>
      <w:pPr>
        <w:ind w:left="10" w:right="1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01" w:lineRule="exact"/>
        <w:rPr>
          <w:sz w:val="20"/>
          <w:szCs w:val="20"/>
          <w:color w:val="auto"/>
        </w:rPr>
      </w:pPr>
    </w:p>
    <w:p>
      <w:pPr>
        <w:jc w:val="both"/>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05" w:lineRule="exact"/>
        <w:rPr>
          <w:sz w:val="20"/>
          <w:szCs w:val="20"/>
          <w:color w:val="auto"/>
        </w:rPr>
      </w:pPr>
    </w:p>
    <w:p>
      <w:pPr>
        <w:ind w:left="10" w:right="520" w:firstLine="480"/>
        <w:spacing w:after="0" w:line="255" w:lineRule="auto"/>
        <w:rPr>
          <w:sz w:val="20"/>
          <w:szCs w:val="20"/>
          <w:color w:val="auto"/>
        </w:rPr>
      </w:pPr>
      <w:r>
        <w:rPr>
          <w:rFonts w:ascii="Times New Roman" w:cs="Times New Roman" w:eastAsia="Times New Roman" w:hAnsi="Times New Roman"/>
          <w:sz w:val="10"/>
          <w:szCs w:val="10"/>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01"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Upon consummation of the Business Combination, on August 15, 2024, (i) Rezolve AI effected a re-classification of its share capital whereby Rezolve AI series A shares were reclassified as ordinary shares of same class as existing ordinary shares on issue in Rezolve AI, with nominal value £0.0001 per share (the “Rezolve Ordinary Shares”), and (ii) the Company merged with and into Rezolve Merger Sub, with the Company surviving as a wholly owned subsidiary of Rezolve AI, with shareholders of the Company received Rezolve Ordinary Shares in exchange for their existing common stock of the Company and the Company warrant holders having their warrants automatically exchanged for warrants of Rezolve.</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In contemplation of closing of the Business combination the Company has entered into the following agreements with their vendors which were not paid in cash at the closing of the Business Combination:</w:t>
      </w:r>
    </w:p>
    <w:p>
      <w:pPr>
        <w:spacing w:after="0" w:line="118" w:lineRule="exact"/>
        <w:rPr>
          <w:sz w:val="20"/>
          <w:szCs w:val="20"/>
          <w:color w:val="auto"/>
        </w:rPr>
      </w:pPr>
    </w:p>
    <w:p>
      <w:pPr>
        <w:ind w:left="10" w:right="40" w:firstLine="480"/>
        <w:spacing w:after="0" w:line="272" w:lineRule="auto"/>
        <w:rPr>
          <w:sz w:val="20"/>
          <w:szCs w:val="20"/>
          <w:color w:val="auto"/>
        </w:rPr>
      </w:pPr>
      <w:r>
        <w:rPr>
          <w:rFonts w:ascii="Times New Roman" w:cs="Times New Roman" w:eastAsia="Times New Roman" w:hAnsi="Times New Roman"/>
          <w:sz w:val="9"/>
          <w:szCs w:val="9"/>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w:t>
      </w:r>
    </w:p>
    <w:p>
      <w:pPr>
        <w:ind w:left="10" w:right="40" w:hanging="10"/>
        <w:spacing w:after="0" w:line="235" w:lineRule="auto"/>
        <w:tabs>
          <w:tab w:leader="none" w:pos="143"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and Rezolve AI.</w:t>
      </w:r>
    </w:p>
    <w:p>
      <w:pPr>
        <w:spacing w:after="0" w:line="109" w:lineRule="exact"/>
        <w:rPr>
          <w:sz w:val="20"/>
          <w:szCs w:val="20"/>
          <w:color w:val="auto"/>
        </w:rPr>
      </w:pPr>
    </w:p>
    <w:p>
      <w:pPr>
        <w:ind w:left="10" w:right="40" w:firstLine="480"/>
        <w:spacing w:after="0" w:line="239" w:lineRule="auto"/>
        <w:rPr>
          <w:sz w:val="20"/>
          <w:szCs w:val="20"/>
          <w:color w:val="auto"/>
        </w:rPr>
      </w:pPr>
      <w:r>
        <w:rPr>
          <w:rFonts w:ascii="Times New Roman" w:cs="Times New Roman" w:eastAsia="Times New Roman" w:hAnsi="Times New Roman"/>
          <w:sz w:val="10"/>
          <w:szCs w:val="10"/>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and Rezolve AI.</w:t>
      </w:r>
    </w:p>
    <w:p>
      <w:pPr>
        <w:spacing w:after="0" w:line="110" w:lineRule="exact"/>
        <w:rPr>
          <w:sz w:val="20"/>
          <w:szCs w:val="20"/>
          <w:color w:val="auto"/>
        </w:rPr>
      </w:pPr>
    </w:p>
    <w:p>
      <w:pPr>
        <w:ind w:left="10" w:right="280" w:firstLine="480"/>
        <w:spacing w:after="0" w:line="310" w:lineRule="auto"/>
        <w:rPr>
          <w:sz w:val="20"/>
          <w:szCs w:val="20"/>
          <w:color w:val="auto"/>
        </w:rPr>
      </w:pPr>
      <w:r>
        <w:rPr>
          <w:rFonts w:ascii="Times New Roman" w:cs="Times New Roman" w:eastAsia="Times New Roman" w:hAnsi="Times New Roman"/>
          <w:sz w:val="9"/>
          <w:szCs w:val="9"/>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Agent’s</w:t>
      </w:r>
    </w:p>
    <w:p>
      <w:pPr>
        <w:spacing w:after="0" w:line="1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0"/>
          <w:szCs w:val="10"/>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50"/>
          </w:cols>
          <w:pgMar w:left="630" w:top="1155" w:right="620" w:bottom="1440" w:gutter="0" w:footer="0" w:header="0"/>
        </w:sectPr>
      </w:pPr>
    </w:p>
    <w:bookmarkStart w:id="222" w:name="page223"/>
    <w:bookmarkEnd w:id="222"/>
    <w:p>
      <w:pPr>
        <w:spacing w:after="0" w:line="239" w:lineRule="auto"/>
        <w:rPr>
          <w:sz w:val="20"/>
          <w:szCs w:val="20"/>
          <w:color w:val="auto"/>
        </w:rPr>
      </w:pPr>
      <w:r>
        <w:rPr>
          <w:rFonts w:ascii="Times New Roman" w:cs="Times New Roman" w:eastAsia="Times New Roman" w:hAnsi="Times New Roman"/>
          <w:sz w:val="10"/>
          <w:szCs w:val="10"/>
          <w:color w:val="auto"/>
        </w:rPr>
        <w:t>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80" w:type="dxa"/>
            <w:vAlign w:val="bottom"/>
          </w:tcPr>
          <w:p>
            <w:pPr>
              <w:jc w:val="center"/>
              <w:ind w:left="494"/>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2024</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980" w:type="dxa"/>
            <w:vAlign w:val="bottom"/>
          </w:tcPr>
          <w:p>
            <w:pPr>
              <w:jc w:val="center"/>
              <w:ind w:left="474"/>
              <w:spacing w:after="0"/>
              <w:rPr>
                <w:sz w:val="20"/>
                <w:szCs w:val="20"/>
                <w:color w:val="auto"/>
              </w:rPr>
            </w:pPr>
            <w:r>
              <w:rPr>
                <w:rFonts w:ascii="Times New Roman" w:cs="Times New Roman" w:eastAsia="Times New Roman" w:hAnsi="Times New Roman"/>
                <w:sz w:val="8"/>
                <w:szCs w:val="8"/>
                <w:b w:val="1"/>
                <w:bCs w:val="1"/>
                <w:color w:val="auto"/>
              </w:rPr>
              <w:t>Unaudited</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980" w:type="dxa"/>
            <w:vAlign w:val="bottom"/>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107,722</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3,781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111,503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15,771,190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980" w:type="dxa"/>
            <w:vAlign w:val="bottom"/>
            <w:tcBorders>
              <w:bottom w:val="single" w:sz="8" w:color="auto"/>
            </w:tcBorders>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980" w:type="dxa"/>
            <w:vAlign w:val="bottom"/>
            <w:shd w:val="clear" w:color="auto" w:fill="CFF0FC"/>
          </w:tcPr>
          <w:p>
            <w:pPr>
              <w:jc w:val="right"/>
              <w:ind w:right="87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5,392,262</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22,600</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54,544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 liability, net</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129,738</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9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1,395,596</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9,771,340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1,417,687 and 2,363,349 shares at</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redemption value of approximately $11.11 and $10.71 per share at March 31, 2024</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and September 30, 2023, respectively</w:t>
            </w:r>
          </w:p>
        </w:tc>
        <w:tc>
          <w:tcPr>
            <w:tcW w:w="9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15,747,446</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9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9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1,417,687 and 2,363,349 shares subject to</w:t>
            </w: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March 31, 2024 and September 30, 2023, respectively</w:t>
            </w:r>
          </w:p>
        </w:tc>
        <w:tc>
          <w:tcPr>
            <w:tcW w:w="9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3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980" w:type="dxa"/>
            <w:vAlign w:val="bottom"/>
          </w:tcPr>
          <w:p>
            <w:pPr>
              <w:spacing w:after="0"/>
              <w:rPr>
                <w:sz w:val="9"/>
                <w:szCs w:val="9"/>
                <w:color w:val="auto"/>
              </w:rPr>
            </w:pPr>
          </w:p>
        </w:tc>
        <w:tc>
          <w:tcPr>
            <w:tcW w:w="80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(9,636,663 )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98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(9,636,093 )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980" w:type="dxa"/>
            <w:vAlign w:val="bottom"/>
            <w:vMerge w:val="restart"/>
          </w:tcPr>
          <w:p>
            <w:pPr>
              <w:jc w:val="right"/>
              <w:ind w:right="874"/>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15,882,693</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980" w:type="dxa"/>
            <w:vAlign w:val="bottom"/>
            <w:tcBorders>
              <w:bottom w:val="single" w:sz="8" w:color="auto"/>
            </w:tcBorders>
            <w:vMerge w:val="continue"/>
          </w:tcPr>
          <w:p>
            <w:pPr>
              <w:spacing w:after="0"/>
              <w:rPr>
                <w:sz w:val="8"/>
                <w:szCs w:val="8"/>
                <w:color w:val="auto"/>
              </w:rPr>
            </w:pPr>
          </w:p>
        </w:tc>
        <w:tc>
          <w:tcPr>
            <w:tcW w:w="52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11"/>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480" w:type="dxa"/>
            <w:vAlign w:val="bottom"/>
          </w:tcPr>
          <w:p>
            <w:pPr>
              <w:spacing w:after="0"/>
              <w:rPr>
                <w:sz w:val="8"/>
                <w:szCs w:val="8"/>
                <w:color w:val="auto"/>
              </w:rPr>
            </w:pPr>
          </w:p>
        </w:tc>
        <w:tc>
          <w:tcPr>
            <w:tcW w:w="1980" w:type="dxa"/>
            <w:vAlign w:val="bottom"/>
            <w:gridSpan w:val="4"/>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3"/>
          </w:tcPr>
          <w:p>
            <w:pPr>
              <w:jc w:val="right"/>
              <w:ind w:right="291"/>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548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2024</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ind w:right="4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660" w:type="dxa"/>
            <w:vAlign w:val="bottom"/>
            <w:shd w:val="clear" w:color="auto" w:fill="CFF0FC"/>
          </w:tcPr>
          <w:p>
            <w:pPr>
              <w:jc w:val="right"/>
              <w:ind w:right="5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459,911</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790,735</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1,031,440</w:t>
            </w:r>
          </w:p>
        </w:tc>
        <w:tc>
          <w:tcPr>
            <w:tcW w:w="24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1,185,087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6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75,600</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(485,111 )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(818,698 )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b w:val="1"/>
                <w:bCs w:val="1"/>
                <w:color w:val="auto"/>
              </w:rPr>
              <w:t>(1,107,040 )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(1,241,013 )</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(118,811 )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(124,198 )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6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270,156</w:t>
            </w: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974,408</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604,992</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2,264,081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income, net</w:t>
            </w:r>
          </w:p>
        </w:tc>
        <w:tc>
          <w:tcPr>
            <w:tcW w:w="6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151,345</w:t>
            </w: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974,408</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480,794</w:t>
            </w:r>
          </w:p>
        </w:tc>
        <w:tc>
          <w:tcPr>
            <w:tcW w:w="2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2,264,081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(Loss) Income before provision for income taxes</w:t>
            </w:r>
          </w:p>
        </w:tc>
        <w:tc>
          <w:tcPr>
            <w:tcW w:w="660" w:type="dxa"/>
            <w:vAlign w:val="bottom"/>
          </w:tcPr>
          <w:p>
            <w:pPr>
              <w:spacing w:after="0"/>
              <w:rPr>
                <w:sz w:val="9"/>
                <w:szCs w:val="9"/>
                <w:color w:val="auto"/>
              </w:rPr>
            </w:pPr>
          </w:p>
        </w:tc>
        <w:tc>
          <w:tcPr>
            <w:tcW w:w="68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(333,766 )</w:t>
            </w:r>
          </w:p>
        </w:tc>
        <w:tc>
          <w:tcPr>
            <w:tcW w:w="64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155,710</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2"/>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(626,246 )</w:t>
            </w:r>
          </w:p>
        </w:tc>
        <w:tc>
          <w:tcPr>
            <w:tcW w:w="40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1,023,068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4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6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(47,080 )</w:t>
            </w:r>
          </w:p>
        </w:tc>
        <w:tc>
          <w:tcPr>
            <w:tcW w:w="640" w:type="dxa"/>
            <w:vAlign w:val="bottom"/>
            <w:shd w:val="clear" w:color="auto" w:fill="CFF0FC"/>
          </w:tcPr>
          <w:p>
            <w:pPr>
              <w:spacing w:after="0"/>
              <w:rPr>
                <w:sz w:val="9"/>
                <w:szCs w:val="9"/>
                <w:color w:val="auto"/>
              </w:rPr>
            </w:pPr>
          </w:p>
        </w:tc>
        <w:tc>
          <w:tcPr>
            <w:tcW w:w="6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(182,853 )</w:t>
            </w:r>
          </w:p>
        </w:tc>
        <w:tc>
          <w:tcPr>
            <w:tcW w:w="26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(114,914 )</w:t>
            </w:r>
          </w:p>
        </w:tc>
        <w:tc>
          <w:tcPr>
            <w:tcW w:w="400" w:type="dxa"/>
            <w:vAlign w:val="bottom"/>
            <w:shd w:val="clear" w:color="auto" w:fill="CFF0FC"/>
          </w:tcPr>
          <w:p>
            <w:pPr>
              <w:spacing w:after="0"/>
              <w:rPr>
                <w:sz w:val="9"/>
                <w:szCs w:val="9"/>
                <w:color w:val="auto"/>
              </w:rPr>
            </w:pPr>
          </w:p>
        </w:tc>
        <w:tc>
          <w:tcPr>
            <w:tcW w:w="7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(443,184 )</w:t>
            </w: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(380,846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(27,143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(741,160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579,884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1,895,714</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7,722,273</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2,130,809</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11,401,124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common stock subject to possible redemption</w:t>
            </w:r>
          </w:p>
        </w:tc>
        <w:tc>
          <w:tcPr>
            <w:tcW w:w="6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68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(0.00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(0.09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w:t>
            </w:r>
          </w:p>
        </w:tc>
        <w:tc>
          <w:tcPr>
            <w:tcW w:w="66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40" w:type="dxa"/>
            <w:vAlign w:val="bottom"/>
            <w:shd w:val="clear" w:color="auto" w:fill="CFF0FC"/>
          </w:tcPr>
          <w:p>
            <w:pPr>
              <w:spacing w:after="0"/>
              <w:rPr>
                <w:sz w:val="9"/>
                <w:szCs w:val="9"/>
                <w:color w:val="auto"/>
              </w:rPr>
            </w:pPr>
          </w:p>
        </w:tc>
        <w:tc>
          <w:tcPr>
            <w:tcW w:w="640" w:type="dxa"/>
            <w:vAlign w:val="bottom"/>
            <w:tcBorders>
              <w:top w:val="single" w:sz="8" w:color="auto"/>
            </w:tcBorders>
            <w:shd w:val="clear" w:color="auto" w:fill="CFF0FC"/>
          </w:tcPr>
          <w:p>
            <w:pPr>
              <w:spacing w:after="0"/>
              <w:rPr>
                <w:sz w:val="9"/>
                <w:szCs w:val="9"/>
                <w:color w:val="auto"/>
              </w:rPr>
            </w:pP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5,709,500</w:t>
            </w:r>
          </w:p>
        </w:tc>
        <w:tc>
          <w:tcPr>
            <w:tcW w:w="220" w:type="dxa"/>
            <w:vAlign w:val="bottom"/>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40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5,709,500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non-redeemable common stock</w:t>
            </w:r>
          </w:p>
        </w:tc>
        <w:tc>
          <w:tcPr>
            <w:tcW w:w="66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auto"/>
            </w:tcBorders>
            <w:shd w:val="clear" w:color="auto" w:fill="CFF0FC"/>
          </w:tcPr>
          <w:p>
            <w:pPr>
              <w:spacing w:after="0"/>
              <w:rPr>
                <w:sz w:val="8"/>
                <w:szCs w:val="8"/>
                <w:color w:val="auto"/>
              </w:rPr>
            </w:pPr>
          </w:p>
        </w:tc>
        <w:tc>
          <w:tcPr>
            <w:tcW w:w="44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260" w:type="dxa"/>
            <w:vAlign w:val="bottom"/>
            <w:tcBorders>
              <w:bottom w:val="single" w:sz="8" w:color="auto"/>
            </w:tcBorders>
            <w:shd w:val="clear" w:color="auto" w:fill="CFF0FC"/>
          </w:tcPr>
          <w:p>
            <w:pPr>
              <w:spacing w:after="0"/>
              <w:rPr>
                <w:sz w:val="8"/>
                <w:szCs w:val="8"/>
                <w:color w:val="auto"/>
              </w:rPr>
            </w:pPr>
          </w:p>
        </w:tc>
        <w:tc>
          <w:tcPr>
            <w:tcW w:w="820" w:type="dxa"/>
            <w:vAlign w:val="bottom"/>
            <w:tcBorders>
              <w:bottom w:val="single" w:sz="8" w:color="auto"/>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400" w:type="dxa"/>
            <w:vAlign w:val="bottom"/>
            <w:tcBorders>
              <w:bottom w:val="single" w:sz="8" w:color="auto"/>
            </w:tcBorders>
            <w:shd w:val="clear" w:color="auto" w:fill="CFF0FC"/>
          </w:tcPr>
          <w:p>
            <w:pPr>
              <w:spacing w:after="0"/>
              <w:rPr>
                <w:sz w:val="8"/>
                <w:szCs w:val="8"/>
                <w:color w:val="auto"/>
              </w:rPr>
            </w:pPr>
          </w:p>
        </w:tc>
        <w:tc>
          <w:tcPr>
            <w:tcW w:w="68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660" w:type="dxa"/>
            <w:vAlign w:val="bottom"/>
          </w:tcPr>
          <w:p>
            <w:pPr>
              <w:jc w:val="right"/>
              <w:ind w:right="55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(0.05 </w:t>
            </w:r>
            <w:r>
              <w:rPr>
                <w:rFonts w:ascii="Times New Roman" w:cs="Times New Roman" w:eastAsia="Times New Roman" w:hAnsi="Times New Roman"/>
                <w:sz w:val="10"/>
                <w:szCs w:val="10"/>
                <w:b w:val="1"/>
                <w:bCs w:val="1"/>
                <w:color w:val="auto"/>
                <w:vertAlign w:val="subscript"/>
              </w:rPr>
              <w:t>)</w:t>
            </w:r>
          </w:p>
        </w:tc>
        <w:tc>
          <w:tcPr>
            <w:tcW w:w="640" w:type="dxa"/>
            <w:vAlign w:val="bottom"/>
          </w:tcPr>
          <w:p>
            <w:pPr>
              <w:jc w:val="right"/>
              <w:ind w:right="53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(0.00 </w:t>
            </w:r>
            <w:r>
              <w:rPr>
                <w:rFonts w:ascii="Times New Roman" w:cs="Times New Roman" w:eastAsia="Times New Roman" w:hAnsi="Times New Roman"/>
                <w:sz w:val="10"/>
                <w:szCs w:val="10"/>
                <w:b w:val="1"/>
                <w:bCs w:val="1"/>
                <w:color w:val="auto"/>
                <w:vertAlign w:val="subscript"/>
              </w:rPr>
              <w:t>)</w:t>
            </w: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20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(0.09 </w:t>
            </w:r>
            <w:r>
              <w:rPr>
                <w:rFonts w:ascii="Times New Roman" w:cs="Times New Roman" w:eastAsia="Times New Roman" w:hAnsi="Times New Roman"/>
                <w:sz w:val="10"/>
                <w:szCs w:val="10"/>
                <w:b w:val="1"/>
                <w:bCs w:val="1"/>
                <w:color w:val="auto"/>
                <w:vertAlign w:val="subscript"/>
              </w:rPr>
              <w:t>)</w:t>
            </w:r>
          </w:p>
        </w:tc>
        <w:tc>
          <w:tcPr>
            <w:tcW w:w="400" w:type="dxa"/>
            <w:vAlign w:val="bottom"/>
          </w:tcPr>
          <w:p>
            <w:pPr>
              <w:jc w:val="right"/>
              <w:ind w:right="29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AND SIX MONTHS ENDED MARCH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(159,034 )</w:t>
            </w: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(308,850 )</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(9,155,746 )</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(9,155,176 )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25,200</w:t>
            </w:r>
          </w:p>
        </w:tc>
        <w:tc>
          <w:tcPr>
            <w:tcW w:w="100" w:type="dxa"/>
            <w:vAlign w:val="bottom"/>
            <w:shd w:val="clear" w:color="auto" w:fill="CFF0FC"/>
          </w:tcPr>
          <w:p>
            <w:pPr>
              <w:spacing w:after="0"/>
              <w:rPr>
                <w:sz w:val="9"/>
                <w:szCs w:val="9"/>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325,826</w:t>
            </w:r>
          </w:p>
        </w:tc>
        <w:tc>
          <w:tcPr>
            <w:tcW w:w="100" w:type="dxa"/>
            <w:vAlign w:val="bottom"/>
          </w:tcPr>
          <w:p>
            <w:pPr>
              <w:spacing w:after="0"/>
              <w:rPr>
                <w:sz w:val="10"/>
                <w:szCs w:val="10"/>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(347,252 )</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(347,252 )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(3,774 )</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(100,071 )</w:t>
            </w:r>
          </w:p>
        </w:tc>
        <w:tc>
          <w:tcPr>
            <w:tcW w:w="160" w:type="dxa"/>
            <w:vAlign w:val="bottom"/>
          </w:tcPr>
          <w:p>
            <w:pPr>
              <w:spacing w:after="0"/>
              <w:rPr>
                <w:sz w:val="9"/>
                <w:szCs w:val="9"/>
                <w:color w:val="auto"/>
              </w:rPr>
            </w:pP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(103,845 )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(380,846 )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(380,846 )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March 31, 2024</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(9,636,663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(9,636,093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800" w:type="dxa"/>
            <w:vAlign w:val="bottom"/>
            <w:gridSpan w:val="6"/>
          </w:tcPr>
          <w:p>
            <w:pPr>
              <w:ind w:left="3900"/>
              <w:spacing w:after="0"/>
              <w:rPr>
                <w:sz w:val="20"/>
                <w:szCs w:val="20"/>
                <w:color w:val="auto"/>
              </w:rPr>
            </w:pPr>
            <w:r>
              <w:rPr>
                <w:rFonts w:ascii="Times New Roman" w:cs="Times New Roman" w:eastAsia="Times New Roman" w:hAnsi="Times New Roman"/>
                <w:sz w:val="10"/>
                <w:szCs w:val="10"/>
                <w:b w:val="1"/>
                <w:bCs w:val="1"/>
                <w:color w:val="auto"/>
                <w:w w:val="99"/>
              </w:rPr>
              <w:t>FOR THE THREE AND SIX MONTHS ENDED MARCH 31, 2023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8"/>
                <w:szCs w:val="8"/>
                <w:b w:val="1"/>
                <w:bCs w:val="1"/>
                <w:color w:val="auto"/>
              </w:rPr>
              <w:t>Amount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480" w:type="dxa"/>
            <w:vAlign w:val="bottom"/>
            <w:gridSpan w:val="2"/>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969,759</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(5,964,009 )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(4,993,680 )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 the</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shareholder non-redemption agreements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shareholder</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(669,074 )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(669,074 )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(997,722 )</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(173,077 )</w:t>
            </w:r>
          </w:p>
        </w:tc>
        <w:tc>
          <w:tcPr>
            <w:tcW w:w="160" w:type="dxa"/>
            <w:vAlign w:val="bottom"/>
          </w:tcPr>
          <w:p>
            <w:pPr>
              <w:spacing w:after="0"/>
              <w:rPr>
                <w:sz w:val="9"/>
                <w:szCs w:val="9"/>
                <w:color w:val="auto"/>
              </w:rPr>
            </w:pPr>
          </w:p>
        </w:tc>
        <w:tc>
          <w:tcPr>
            <w:tcW w:w="9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(1,170,799 )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(27,143 )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(27,143 )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March 31, 2023</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gridSpan w:val="2"/>
          </w:tcPr>
          <w:p>
            <w:pPr>
              <w:jc w:val="right"/>
              <w:ind w:right="2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(6,833,303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(6,832,733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gridSpan w:val="3"/>
          </w:tcPr>
          <w:p>
            <w:pPr>
              <w:jc w:val="right"/>
              <w:ind w:right="156"/>
              <w:spacing w:after="0"/>
              <w:rPr>
                <w:sz w:val="20"/>
                <w:szCs w:val="20"/>
                <w:color w:val="auto"/>
              </w:rPr>
            </w:pPr>
            <w:r>
              <w:rPr>
                <w:rFonts w:ascii="Times New Roman" w:cs="Times New Roman" w:eastAsia="Times New Roman" w:hAnsi="Times New Roman"/>
                <w:sz w:val="8"/>
                <w:szCs w:val="8"/>
                <w:b w:val="1"/>
                <w:bCs w:val="1"/>
                <w:color w:val="auto"/>
              </w:rPr>
              <w:t>For the Six Months Ended</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80" w:type="dxa"/>
            <w:vAlign w:val="bottom"/>
          </w:tcPr>
          <w:p>
            <w:pPr>
              <w:spacing w:after="0"/>
              <w:rPr>
                <w:sz w:val="9"/>
                <w:szCs w:val="9"/>
                <w:color w:val="auto"/>
              </w:rPr>
            </w:pPr>
          </w:p>
        </w:tc>
        <w:tc>
          <w:tcPr>
            <w:tcW w:w="920" w:type="dxa"/>
            <w:vAlign w:val="bottom"/>
            <w:vMerge w:val="restart"/>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2024</w:t>
            </w:r>
          </w:p>
        </w:tc>
        <w:tc>
          <w:tcPr>
            <w:tcW w:w="1340" w:type="dxa"/>
            <w:vAlign w:val="bottom"/>
            <w:gridSpan w:val="3"/>
          </w:tcPr>
          <w:p>
            <w:pPr>
              <w:jc w:val="right"/>
              <w:ind w:right="436"/>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98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2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920" w:type="dxa"/>
            <w:vAlign w:val="bottom"/>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(741,160 )</w:t>
            </w:r>
          </w:p>
        </w:tc>
        <w:tc>
          <w:tcPr>
            <w:tcW w:w="480" w:type="dxa"/>
            <w:vAlign w:val="bottom"/>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579,884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(604,992 )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(2,264,081 )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124,198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75,600</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55,926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29,824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58,206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 and accrued expenses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684,212</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407,667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43,761</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35,497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10,500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(68,800 )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(378,057 )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(1,195,701 )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for redemptions</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10,384,496</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to pay for income and franchise taxes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156,174</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804,072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(382,840 )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10,157,830</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116,383,951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 to related party</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440,000</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 of class A shares</w:t>
            </w:r>
          </w:p>
        </w:tc>
        <w:tc>
          <w:tcPr>
            <w:tcW w:w="9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480" w:type="dxa"/>
            <w:vAlign w:val="bottom"/>
            <w:shd w:val="clear" w:color="auto" w:fill="CFF0FC"/>
          </w:tcPr>
          <w:p>
            <w:pPr>
              <w:spacing w:after="0"/>
              <w:rPr>
                <w:sz w:val="9"/>
                <w:szCs w:val="9"/>
                <w:color w:val="auto"/>
              </w:rPr>
            </w:pPr>
          </w:p>
        </w:tc>
        <w:tc>
          <w:tcPr>
            <w:tcW w:w="10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(117,079,879 )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financing activities</w:t>
            </w:r>
          </w:p>
        </w:tc>
        <w:tc>
          <w:tcPr>
            <w:tcW w:w="920" w:type="dxa"/>
            <w:vAlign w:val="bottom"/>
          </w:tcPr>
          <w:p>
            <w:pPr>
              <w:spacing w:after="0"/>
              <w:rPr>
                <w:sz w:val="9"/>
                <w:szCs w:val="9"/>
                <w:color w:val="auto"/>
              </w:rPr>
            </w:pPr>
          </w:p>
        </w:tc>
        <w:tc>
          <w:tcPr>
            <w:tcW w:w="8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(9,732,335 )</w:t>
            </w:r>
          </w:p>
        </w:tc>
        <w:tc>
          <w:tcPr>
            <w:tcW w:w="480" w:type="dxa"/>
            <w:vAlign w:val="bottom"/>
          </w:tcPr>
          <w:p>
            <w:pPr>
              <w:spacing w:after="0"/>
              <w:rPr>
                <w:sz w:val="9"/>
                <w:szCs w:val="9"/>
                <w:color w:val="auto"/>
              </w:rPr>
            </w:pPr>
          </w:p>
        </w:tc>
        <w:tc>
          <w:tcPr>
            <w:tcW w:w="108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(115,129,879 )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9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47,438</w:t>
            </w:r>
          </w:p>
        </w:tc>
        <w:tc>
          <w:tcPr>
            <w:tcW w:w="2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58,371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92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107,722</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235,949</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financing activities and taxes paid:</w:t>
            </w: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815,136</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3,148,417</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 on redemptions</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103,845</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1,170,799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920" w:type="dxa"/>
            <w:vAlign w:val="bottom"/>
            <w:tcBorders>
              <w:bottom w:val="single" w:sz="8" w:color="auto"/>
            </w:tcBorders>
            <w:shd w:val="clear" w:color="auto" w:fill="CFF0FC"/>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434,460</w:t>
            </w:r>
          </w:p>
        </w:tc>
        <w:tc>
          <w:tcPr>
            <w:tcW w:w="2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taxes paid</w:t>
            </w:r>
          </w:p>
        </w:tc>
        <w:tc>
          <w:tcPr>
            <w:tcW w:w="920" w:type="dxa"/>
            <w:vAlign w:val="bottom"/>
            <w:tcBorders>
              <w:bottom w:val="single" w:sz="8" w:color="auto"/>
            </w:tcBorders>
          </w:tcPr>
          <w:p>
            <w:pPr>
              <w:jc w:val="right"/>
              <w:ind w:right="812"/>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71,153</w:t>
            </w:r>
          </w:p>
        </w:tc>
        <w:tc>
          <w:tcPr>
            <w:tcW w:w="280" w:type="dxa"/>
            <w:vAlign w:val="bottom"/>
          </w:tcPr>
          <w:p>
            <w:pPr>
              <w:spacing w:after="0"/>
              <w:rPr>
                <w:sz w:val="10"/>
                <w:szCs w:val="10"/>
                <w:color w:val="auto"/>
              </w:rPr>
            </w:pPr>
          </w:p>
        </w:tc>
        <w:tc>
          <w:tcPr>
            <w:tcW w:w="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407,687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27" w:name="page228"/>
    <w:bookmarkEnd w:id="227"/>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MARCH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1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33" w:right="620" w:bottom="1440" w:gutter="0" w:footer="0" w:header="0"/>
        </w:sectPr>
      </w:pPr>
    </w:p>
    <w:bookmarkStart w:id="228" w:name="page229"/>
    <w:bookmarkEnd w:id="228"/>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jc w:val="both"/>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29" w:name="page230"/>
    <w:bookmarkEnd w:id="229"/>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30" w:name="page231"/>
    <w:bookmarkEnd w:id="230"/>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 -month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March 31, 2024, the Company had $107,722 of cash in its bank operating account and a working capital deficiency of approximately $9.7 million.</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31" w:name="page232"/>
    <w:bookmarkEnd w:id="231"/>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89"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 10-K, as filed with the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34" w:name="page235"/>
    <w:bookmarkEnd w:id="234"/>
    <w:tbl>
      <w:tblPr>
        <w:tblLayout w:type="fixed"/>
        <w:tblInd w:w="480" w:type="dxa"/>
        <w:tblCellMar>
          <w:top w:w="0" w:type="dxa"/>
          <w:left w:w="0" w:type="dxa"/>
          <w:bottom w:w="0" w:type="dxa"/>
          <w:right w:w="0" w:type="dxa"/>
        </w:tblCellMar>
      </w:tblPr>
      <w:tr>
        <w:trPr>
          <w:trHeight w:val="125"/>
        </w:trPr>
        <w:tc>
          <w:tcPr>
            <w:tcW w:w="68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March 31, 2024 and September 30, 2023, the common stock reflected in the balance sheets are reconciled in the following table:</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6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300" w:type="dxa"/>
            <w:vAlign w:val="bottom"/>
            <w:shd w:val="clear" w:color="auto" w:fill="CFF0FC"/>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300" w:type="dxa"/>
            <w:vAlign w:val="bottom"/>
          </w:tcPr>
          <w:p>
            <w:pPr>
              <w:spacing w:after="0"/>
              <w:rPr>
                <w:sz w:val="9"/>
                <w:szCs w:val="9"/>
                <w:color w:val="auto"/>
              </w:rPr>
            </w:pPr>
          </w:p>
        </w:tc>
        <w:tc>
          <w:tcPr>
            <w:tcW w:w="8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(11,700,000 )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3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(3,261,589 )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14,961,589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9"/>
                <w:szCs w:val="9"/>
                <w:color w:val="auto"/>
              </w:rPr>
            </w:pPr>
          </w:p>
        </w:tc>
        <w:tc>
          <w:tcPr>
            <w:tcW w:w="52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30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548,862</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30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150,548,862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(129,175,094 )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25,316,806</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tcPr>
          <w:p>
            <w:pPr>
              <w:spacing w:after="0"/>
              <w:rPr>
                <w:sz w:val="9"/>
                <w:szCs w:val="9"/>
                <w:color w:val="auto"/>
              </w:rPr>
            </w:pPr>
          </w:p>
        </w:tc>
        <w:tc>
          <w:tcPr>
            <w:tcW w:w="7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467,884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5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25,784,690</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300" w:type="dxa"/>
            <w:vAlign w:val="bottom"/>
          </w:tcPr>
          <w:p>
            <w:pPr>
              <w:spacing w:after="0"/>
              <w:rPr>
                <w:sz w:val="9"/>
                <w:szCs w:val="9"/>
                <w:color w:val="auto"/>
              </w:rPr>
            </w:pPr>
          </w:p>
        </w:tc>
        <w:tc>
          <w:tcPr>
            <w:tcW w:w="840" w:type="dxa"/>
            <w:vAlign w:val="bottom"/>
            <w:gridSpan w:val="2"/>
          </w:tcPr>
          <w:p>
            <w:pPr>
              <w:jc w:val="right"/>
              <w:ind w:right="20"/>
              <w:spacing w:after="0" w:line="113" w:lineRule="exact"/>
              <w:rPr>
                <w:sz w:val="20"/>
                <w:szCs w:val="20"/>
                <w:color w:val="auto"/>
              </w:rPr>
            </w:pPr>
            <w:r>
              <w:rPr>
                <w:rFonts w:ascii="Times New Roman" w:cs="Times New Roman" w:eastAsia="Times New Roman" w:hAnsi="Times New Roman"/>
                <w:sz w:val="10"/>
                <w:szCs w:val="10"/>
                <w:color w:val="auto"/>
              </w:rPr>
              <w:t>(10,384,496 )</w:t>
            </w:r>
          </w:p>
        </w:tc>
        <w:tc>
          <w:tcPr>
            <w:tcW w:w="0" w:type="dxa"/>
            <w:vAlign w:val="bottom"/>
          </w:tcPr>
          <w:p>
            <w:pPr>
              <w:spacing w:after="0"/>
              <w:rPr>
                <w:sz w:val="1"/>
                <w:szCs w:val="1"/>
                <w:color w:val="auto"/>
              </w:rPr>
            </w:pPr>
          </w:p>
        </w:tc>
      </w:tr>
      <w:tr>
        <w:trPr>
          <w:trHeight w:val="113"/>
        </w:trPr>
        <w:tc>
          <w:tcPr>
            <w:tcW w:w="1640" w:type="dxa"/>
            <w:vAlign w:val="bottom"/>
          </w:tcPr>
          <w:p>
            <w:pPr>
              <w:spacing w:after="0"/>
              <w:rPr>
                <w:sz w:val="9"/>
                <w:szCs w:val="9"/>
                <w:color w:val="auto"/>
              </w:rPr>
            </w:pPr>
          </w:p>
        </w:tc>
        <w:tc>
          <w:tcPr>
            <w:tcW w:w="52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30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347,252</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40" w:type="dxa"/>
            <w:vAlign w:val="bottom"/>
          </w:tcPr>
          <w:p>
            <w:pPr>
              <w:spacing w:after="0"/>
              <w:rPr>
                <w:sz w:val="9"/>
                <w:szCs w:val="9"/>
                <w:color w:val="auto"/>
              </w:rPr>
            </w:pPr>
          </w:p>
        </w:tc>
        <w:tc>
          <w:tcPr>
            <w:tcW w:w="52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30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15,747,446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40" w:type="dxa"/>
            <w:vAlign w:val="bottom"/>
          </w:tcPr>
          <w:p>
            <w:pPr>
              <w:spacing w:after="0"/>
              <w:rPr>
                <w:sz w:val="8"/>
                <w:szCs w:val="8"/>
                <w:color w:val="auto"/>
              </w:rPr>
            </w:pPr>
          </w:p>
        </w:tc>
        <w:tc>
          <w:tcPr>
            <w:tcW w:w="524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March 31, 2024</w:t>
            </w:r>
          </w:p>
        </w:tc>
        <w:tc>
          <w:tcPr>
            <w:tcW w:w="30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2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60" w:type="dxa"/>
            <w:vAlign w:val="bottom"/>
            <w:gridSpan w:val="3"/>
          </w:tcPr>
          <w:p>
            <w:pPr>
              <w:jc w:val="right"/>
              <w:ind w:right="536"/>
              <w:spacing w:after="0"/>
              <w:rPr>
                <w:sz w:val="20"/>
                <w:szCs w:val="20"/>
                <w:color w:val="auto"/>
              </w:rPr>
            </w:pPr>
            <w:r>
              <w:rPr>
                <w:rFonts w:ascii="Times New Roman" w:cs="Times New Roman" w:eastAsia="Times New Roman" w:hAnsi="Times New Roman"/>
                <w:sz w:val="8"/>
                <w:szCs w:val="8"/>
                <w:b w:val="1"/>
                <w:bCs w:val="1"/>
                <w:color w:val="auto"/>
              </w:rPr>
              <w:t>For the Three Months Ended March 31,</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98"/>
        </w:trPr>
        <w:tc>
          <w:tcPr>
            <w:tcW w:w="5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20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520" w:type="dxa"/>
            <w:vAlign w:val="bottom"/>
          </w:tcPr>
          <w:p>
            <w:pPr>
              <w:spacing w:after="0"/>
              <w:rPr>
                <w:sz w:val="8"/>
                <w:szCs w:val="8"/>
                <w:color w:val="auto"/>
              </w:rPr>
            </w:pPr>
          </w:p>
        </w:tc>
      </w:tr>
      <w:tr>
        <w:trPr>
          <w:trHeight w:val="106"/>
        </w:trPr>
        <w:tc>
          <w:tcPr>
            <w:tcW w:w="5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102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0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86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(94,932 )</w:t>
            </w:r>
          </w:p>
        </w:tc>
        <w:tc>
          <w:tcPr>
            <w:tcW w:w="22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(285,914 )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(15,605 )</w:t>
            </w:r>
          </w:p>
        </w:tc>
        <w:tc>
          <w:tcPr>
            <w:tcW w:w="20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(11,538 )</w:t>
            </w: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13"/>
        </w:trPr>
        <w:tc>
          <w:tcPr>
            <w:tcW w:w="520" w:type="dxa"/>
            <w:vAlign w:val="bottom"/>
          </w:tcPr>
          <w:p>
            <w:pPr>
              <w:spacing w:after="0"/>
              <w:rPr>
                <w:sz w:val="9"/>
                <w:szCs w:val="9"/>
                <w:color w:val="auto"/>
              </w:rPr>
            </w:pPr>
          </w:p>
        </w:tc>
        <w:tc>
          <w:tcPr>
            <w:tcW w:w="32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86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1,895,714</w:t>
            </w: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7,722,273</w:t>
            </w:r>
          </w:p>
        </w:tc>
        <w:tc>
          <w:tcPr>
            <w:tcW w:w="20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520" w:type="dxa"/>
            <w:vAlign w:val="bottom"/>
          </w:tcPr>
          <w:p>
            <w:pPr>
              <w:spacing w:after="0"/>
              <w:rPr>
                <w:sz w:val="9"/>
                <w:szCs w:val="9"/>
                <w:color w:val="auto"/>
              </w:rPr>
            </w:pPr>
          </w:p>
        </w:tc>
      </w:tr>
      <w:tr>
        <w:trPr>
          <w:trHeight w:val="125"/>
        </w:trPr>
        <w:tc>
          <w:tcPr>
            <w:tcW w:w="520" w:type="dxa"/>
            <w:vAlign w:val="bottom"/>
          </w:tcPr>
          <w:p>
            <w:pPr>
              <w:spacing w:after="0"/>
              <w:rPr>
                <w:sz w:val="10"/>
                <w:szCs w:val="1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(0.05 )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0"/>
                <w:szCs w:val="10"/>
                <w:color w:val="auto"/>
              </w:rPr>
              <w:t>(0.00 )</w:t>
            </w:r>
          </w:p>
        </w:tc>
        <w:tc>
          <w:tcPr>
            <w:tcW w:w="2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(0.00 )</w:t>
            </w:r>
          </w:p>
        </w:tc>
        <w:tc>
          <w:tcPr>
            <w:tcW w:w="520" w:type="dxa"/>
            <w:vAlign w:val="bottom"/>
          </w:tcPr>
          <w:p>
            <w:pPr>
              <w:spacing w:after="0"/>
              <w:rPr>
                <w:sz w:val="10"/>
                <w:szCs w:val="10"/>
                <w:color w:val="auto"/>
              </w:rPr>
            </w:pPr>
          </w:p>
        </w:tc>
      </w:tr>
      <w:tr>
        <w:trPr>
          <w:trHeight w:val="278"/>
        </w:trPr>
        <w:tc>
          <w:tcPr>
            <w:tcW w:w="5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F-96</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22"/>
        </w:trPr>
        <w:tc>
          <w:tcPr>
            <w:tcW w:w="52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18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5" w:name="page236"/>
    <w:bookmarkEnd w:id="235"/>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2024</w:t>
            </w:r>
          </w:p>
        </w:tc>
        <w:tc>
          <w:tcPr>
            <w:tcW w:w="220" w:type="dxa"/>
            <w:vAlign w:val="bottom"/>
          </w:tcPr>
          <w:p>
            <w:pPr>
              <w:spacing w:after="0"/>
              <w:rPr>
                <w:sz w:val="9"/>
                <w:szCs w:val="9"/>
                <w:color w:val="auto"/>
              </w:rPr>
            </w:pPr>
          </w:p>
        </w:tc>
        <w:tc>
          <w:tcPr>
            <w:tcW w:w="1980" w:type="dxa"/>
            <w:vAlign w:val="bottom"/>
            <w:gridSpan w:val="3"/>
          </w:tcPr>
          <w:p>
            <w:pPr>
              <w:jc w:val="right"/>
              <w:ind w:right="416"/>
              <w:spacing w:after="0"/>
              <w:rPr>
                <w:sz w:val="20"/>
                <w:szCs w:val="20"/>
                <w:color w:val="auto"/>
              </w:rPr>
            </w:pPr>
            <w:r>
              <w:rPr>
                <w:rFonts w:ascii="Times New Roman" w:cs="Times New Roman" w:eastAsia="Times New Roman" w:hAnsi="Times New Roman"/>
                <w:sz w:val="8"/>
                <w:szCs w:val="8"/>
                <w:b w:val="1"/>
                <w:bCs w:val="1"/>
                <w:color w:val="auto"/>
              </w:rPr>
              <w:t>For the Six Months Ended March 31,</w:t>
            </w:r>
          </w:p>
        </w:tc>
        <w:tc>
          <w:tcPr>
            <w:tcW w:w="380" w:type="dxa"/>
            <w:vAlign w:val="bottom"/>
            <w:vMerge w:val="restart"/>
          </w:tcPr>
          <w:p>
            <w:pPr>
              <w:jc w:val="right"/>
              <w:ind w:right="154"/>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w w:val="95"/>
              </w:rPr>
              <w:t>possible</w:t>
            </w:r>
          </w:p>
        </w:tc>
        <w:tc>
          <w:tcPr>
            <w:tcW w:w="220" w:type="dxa"/>
            <w:vAlign w:val="bottom"/>
          </w:tcPr>
          <w:p>
            <w:pPr>
              <w:spacing w:after="0"/>
              <w:rPr>
                <w:sz w:val="8"/>
                <w:szCs w:val="8"/>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20" w:type="dxa"/>
            <w:vAlign w:val="bottom"/>
          </w:tcPr>
          <w:p>
            <w:pPr>
              <w:spacing w:after="0"/>
              <w:rPr>
                <w:sz w:val="8"/>
                <w:szCs w:val="8"/>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80" w:type="dxa"/>
            <w:vAlign w:val="bottom"/>
          </w:tcPr>
          <w:p>
            <w:pPr>
              <w:spacing w:after="0"/>
              <w:rPr>
                <w:sz w:val="8"/>
                <w:szCs w:val="8"/>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8"/>
                <w:szCs w:val="8"/>
                <w:b w:val="1"/>
                <w:bCs w:val="1"/>
                <w:color w:val="auto"/>
              </w:rPr>
              <w:t>Common</w:t>
            </w: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4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stock</w:t>
            </w:r>
          </w:p>
        </w:tc>
        <w:tc>
          <w:tcPr>
            <w:tcW w:w="220" w:type="dxa"/>
            <w:vAlign w:val="bottom"/>
          </w:tcPr>
          <w:p>
            <w:pPr>
              <w:spacing w:after="0"/>
              <w:rPr>
                <w:sz w:val="9"/>
                <w:szCs w:val="9"/>
                <w:color w:val="auto"/>
              </w:rPr>
            </w:pPr>
          </w:p>
        </w:tc>
        <w:tc>
          <w:tcPr>
            <w:tcW w:w="84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80" w:type="dxa"/>
            <w:vAlign w:val="bottom"/>
          </w:tcPr>
          <w:p>
            <w:pPr>
              <w:spacing w:after="0"/>
              <w:rPr>
                <w:sz w:val="9"/>
                <w:szCs w:val="9"/>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8"/>
                <w:szCs w:val="8"/>
                <w:b w:val="1"/>
                <w:bCs w:val="1"/>
                <w:color w:val="auto"/>
              </w:rPr>
              <w:t>stock</w:t>
            </w: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7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(201,430 )</w:t>
            </w:r>
          </w:p>
        </w:tc>
        <w:tc>
          <w:tcPr>
            <w:tcW w:w="220" w:type="dxa"/>
            <w:vAlign w:val="bottom"/>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(539,730 )</w:t>
            </w:r>
          </w:p>
        </w:tc>
        <w:tc>
          <w:tcPr>
            <w:tcW w:w="2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386,387</w:t>
            </w:r>
          </w:p>
        </w:tc>
        <w:tc>
          <w:tcPr>
            <w:tcW w:w="380" w:type="dxa"/>
            <w:vAlign w:val="bottom"/>
            <w:shd w:val="clear" w:color="auto" w:fill="CFF0FC"/>
          </w:tcPr>
          <w:p>
            <w:pPr>
              <w:jc w:val="right"/>
              <w:ind w:right="74"/>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193,497</w:t>
            </w: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20" w:type="dxa"/>
            <w:vAlign w:val="bottom"/>
            <w:shd w:val="clear" w:color="auto" w:fill="CFF0FC"/>
          </w:tcPr>
          <w:p>
            <w:pPr>
              <w:spacing w:after="0"/>
              <w:rPr>
                <w:sz w:val="9"/>
                <w:szCs w:val="9"/>
                <w:color w:val="auto"/>
              </w:rPr>
            </w:pPr>
          </w:p>
        </w:tc>
        <w:tc>
          <w:tcPr>
            <w:tcW w:w="104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2,130,809</w:t>
            </w:r>
          </w:p>
        </w:tc>
        <w:tc>
          <w:tcPr>
            <w:tcW w:w="220" w:type="dxa"/>
            <w:vAlign w:val="bottom"/>
            <w:shd w:val="clear" w:color="auto" w:fill="CFF0FC"/>
          </w:tcPr>
          <w:p>
            <w:pPr>
              <w:spacing w:after="0"/>
              <w:rPr>
                <w:sz w:val="9"/>
                <w:szCs w:val="9"/>
                <w:color w:val="auto"/>
              </w:rPr>
            </w:pPr>
          </w:p>
        </w:tc>
        <w:tc>
          <w:tcPr>
            <w:tcW w:w="92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11,401,124</w:t>
            </w:r>
          </w:p>
        </w:tc>
        <w:tc>
          <w:tcPr>
            <w:tcW w:w="380" w:type="dxa"/>
            <w:vAlign w:val="bottom"/>
            <w:shd w:val="clear" w:color="auto" w:fill="CFF0FC"/>
          </w:tcPr>
          <w:p>
            <w:pPr>
              <w:spacing w:after="0"/>
              <w:rPr>
                <w:sz w:val="9"/>
                <w:szCs w:val="9"/>
                <w:color w:val="auto"/>
              </w:rPr>
            </w:pPr>
          </w:p>
        </w:tc>
        <w:tc>
          <w:tcPr>
            <w:tcW w:w="880" w:type="dxa"/>
            <w:vAlign w:val="bottom"/>
            <w:shd w:val="clear" w:color="auto" w:fill="CFF0FC"/>
          </w:tcPr>
          <w:p>
            <w:pPr>
              <w:jc w:val="right"/>
              <w:ind w:right="54"/>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0" w:type="dxa"/>
            <w:vAlign w:val="bottom"/>
          </w:tcPr>
          <w:p>
            <w:pPr>
              <w:spacing w:after="0"/>
              <w:rPr>
                <w:sz w:val="1"/>
                <w:szCs w:val="1"/>
                <w:color w:val="auto"/>
              </w:rPr>
            </w:pPr>
          </w:p>
        </w:tc>
      </w:tr>
      <w:tr>
        <w:trPr>
          <w:trHeight w:val="125"/>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(0.09 )</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80" w:type="dxa"/>
            <w:vAlign w:val="bottom"/>
          </w:tcPr>
          <w:p>
            <w:pPr>
              <w:jc w:val="right"/>
              <w:ind w:right="74"/>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0.03</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91" w:right="620" w:bottom="1440" w:gutter="0" w:footer="0" w:header="0"/>
        </w:sectPr>
      </w:pPr>
    </w:p>
    <w:bookmarkStart w:id="236" w:name="page237"/>
    <w:bookmarkEnd w:id="236"/>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2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37" w:name="page238"/>
    <w:bookmarkEnd w:id="237"/>
    <w:p>
      <w:pPr>
        <w:ind w:left="10"/>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left="10"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01"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left="10"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left="10" w:right="12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215" w:right="640" w:bottom="1440" w:gutter="0" w:footer="0" w:header="0"/>
        </w:sectPr>
      </w:pPr>
    </w:p>
    <w:bookmarkStart w:id="238" w:name="page239"/>
    <w:bookmarkEnd w:id="238"/>
    <w:p>
      <w:pPr>
        <w:ind w:right="20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05"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05" w:lineRule="exact"/>
        <w:rPr>
          <w:sz w:val="20"/>
          <w:szCs w:val="20"/>
          <w:color w:val="auto"/>
        </w:rPr>
      </w:pPr>
    </w:p>
    <w:p>
      <w:pPr>
        <w:jc w:val="both"/>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05"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05"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05"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01"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39" w:name="page240"/>
    <w:bookmarkEnd w:id="239"/>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01"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right="20" w:firstLine="480"/>
        <w:spacing w:after="0" w:line="236" w:lineRule="auto"/>
        <w:rPr>
          <w:sz w:val="20"/>
          <w:szCs w:val="20"/>
          <w:color w:val="auto"/>
        </w:rPr>
      </w:pPr>
      <w:r>
        <w:rPr>
          <w:rFonts w:ascii="Times New Roman" w:cs="Times New Roman" w:eastAsia="Times New Roman" w:hAnsi="Times New Roman"/>
          <w:sz w:val="10"/>
          <w:szCs w:val="10"/>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13"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0" w:name="page241"/>
    <w:bookmarkEnd w:id="240"/>
    <w:p>
      <w:pPr>
        <w:ind w:firstLine="480"/>
        <w:spacing w:after="0" w:line="277" w:lineRule="auto"/>
        <w:rPr>
          <w:sz w:val="20"/>
          <w:szCs w:val="20"/>
          <w:color w:val="auto"/>
        </w:rPr>
      </w:pPr>
      <w:r>
        <w:rPr>
          <w:rFonts w:ascii="Times New Roman" w:cs="Times New Roman" w:eastAsia="Times New Roman" w:hAnsi="Times New Roman"/>
          <w:sz w:val="9"/>
          <w:szCs w:val="9"/>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right="20"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155" w:right="6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0"/>
          <w:szCs w:val="10"/>
          <w:b w:val="1"/>
          <w:bCs w:val="1"/>
          <w:color w:val="auto"/>
        </w:rPr>
        <w:t>Note 6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5620" w:type="dxa"/>
            <w:vAlign w:val="bottom"/>
          </w:tcPr>
          <w:p>
            <w:pPr>
              <w:spacing w:after="0"/>
              <w:rPr>
                <w:sz w:val="8"/>
                <w:szCs w:val="8"/>
                <w:color w:val="auto"/>
              </w:rPr>
            </w:pPr>
          </w:p>
        </w:tc>
        <w:tc>
          <w:tcPr>
            <w:tcW w:w="760" w:type="dxa"/>
            <w:vAlign w:val="bottom"/>
            <w:gridSpan w:val="2"/>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March 31, 2024</w:t>
            </w:r>
          </w:p>
        </w:tc>
        <w:tc>
          <w:tcPr>
            <w:tcW w:w="1000" w:type="dxa"/>
            <w:vAlign w:val="bottom"/>
          </w:tcPr>
          <w:p>
            <w:pPr>
              <w:spacing w:after="0"/>
              <w:rPr>
                <w:sz w:val="8"/>
                <w:szCs w:val="8"/>
                <w:color w:val="auto"/>
              </w:rPr>
            </w:pPr>
          </w:p>
        </w:tc>
        <w:tc>
          <w:tcPr>
            <w:tcW w:w="1400" w:type="dxa"/>
            <w:vAlign w:val="bottom"/>
            <w:gridSpan w:val="2"/>
          </w:tcPr>
          <w:p>
            <w:pPr>
              <w:jc w:val="right"/>
              <w:ind w:right="31"/>
              <w:spacing w:after="0"/>
              <w:rPr>
                <w:sz w:val="20"/>
                <w:szCs w:val="20"/>
                <w:color w:val="auto"/>
              </w:rPr>
            </w:pPr>
            <w:r>
              <w:rPr>
                <w:rFonts w:ascii="Times New Roman" w:cs="Times New Roman" w:eastAsia="Times New Roman" w:hAnsi="Times New Roman"/>
                <w:sz w:val="8"/>
                <w:szCs w:val="8"/>
                <w:b w:val="1"/>
                <w:bCs w:val="1"/>
                <w:color w:val="auto"/>
              </w:rPr>
              <w:t>December 31, 2023</w:t>
            </w:r>
          </w:p>
        </w:tc>
        <w:tc>
          <w:tcPr>
            <w:tcW w:w="800" w:type="dxa"/>
            <w:vAlign w:val="bottom"/>
          </w:tcPr>
          <w:p>
            <w:pPr>
              <w:spacing w:after="0"/>
              <w:rPr>
                <w:sz w:val="8"/>
                <w:szCs w:val="8"/>
                <w:color w:val="auto"/>
              </w:rPr>
            </w:pPr>
          </w:p>
        </w:tc>
      </w:tr>
      <w:tr>
        <w:trPr>
          <w:trHeight w:val="106"/>
        </w:trPr>
        <w:tc>
          <w:tcPr>
            <w:tcW w:w="5620" w:type="dxa"/>
            <w:vAlign w:val="bottom"/>
          </w:tcPr>
          <w:p>
            <w:pPr>
              <w:ind w:left="5320"/>
              <w:spacing w:after="0"/>
              <w:rPr>
                <w:sz w:val="20"/>
                <w:szCs w:val="20"/>
                <w:color w:val="auto"/>
              </w:rPr>
            </w:pPr>
            <w:r>
              <w:rPr>
                <w:rFonts w:ascii="Times New Roman" w:cs="Times New Roman" w:eastAsia="Times New Roman" w:hAnsi="Times New Roman"/>
                <w:sz w:val="8"/>
                <w:szCs w:val="8"/>
                <w:b w:val="1"/>
                <w:bCs w:val="1"/>
                <w:color w:val="auto"/>
              </w:rPr>
              <w:t>Level</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jc w:val="right"/>
              <w:ind w:right="57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8"/>
                <w:szCs w:val="8"/>
                <w:b w:val="1"/>
                <w:bCs w:val="1"/>
                <w:color w:val="auto"/>
              </w:rPr>
              <w:t>Level</w:t>
            </w:r>
          </w:p>
        </w:tc>
        <w:tc>
          <w:tcPr>
            <w:tcW w:w="400" w:type="dxa"/>
            <w:vAlign w:val="bottom"/>
          </w:tcPr>
          <w:p>
            <w:pPr>
              <w:spacing w:after="0"/>
              <w:rPr>
                <w:sz w:val="9"/>
                <w:szCs w:val="9"/>
                <w:color w:val="auto"/>
              </w:rPr>
            </w:pPr>
          </w:p>
        </w:tc>
        <w:tc>
          <w:tcPr>
            <w:tcW w:w="800" w:type="dxa"/>
            <w:vAlign w:val="bottom"/>
          </w:tcPr>
          <w:p>
            <w:pPr>
              <w:jc w:val="right"/>
              <w:ind w:right="415"/>
              <w:spacing w:after="0"/>
              <w:rPr>
                <w:sz w:val="20"/>
                <w:szCs w:val="20"/>
                <w:color w:val="auto"/>
              </w:rPr>
            </w:pPr>
            <w:r>
              <w:rPr>
                <w:rFonts w:ascii="Times New Roman" w:cs="Times New Roman" w:eastAsia="Times New Roman" w:hAnsi="Times New Roman"/>
                <w:sz w:val="8"/>
                <w:szCs w:val="8"/>
                <w:b w:val="1"/>
                <w:bCs w:val="1"/>
                <w:color w:val="auto"/>
              </w:rPr>
              <w:t>Amount</w:t>
            </w:r>
          </w:p>
        </w:tc>
      </w:tr>
      <w:tr>
        <w:trPr>
          <w:trHeight w:val="113"/>
        </w:trPr>
        <w:tc>
          <w:tcPr>
            <w:tcW w:w="56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4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r>
      <w:tr>
        <w:trPr>
          <w:trHeight w:val="125"/>
        </w:trPr>
        <w:tc>
          <w:tcPr>
            <w:tcW w:w="56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Interest-bearing demand deposit account</w:t>
            </w:r>
          </w:p>
        </w:tc>
        <w:tc>
          <w:tcPr>
            <w:tcW w:w="42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1</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0"/>
                <w:szCs w:val="10"/>
                <w:color w:val="auto"/>
              </w:rPr>
              <w:t>15,771,190</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43" w:name="page244"/>
    <w:bookmarkEnd w:id="243"/>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April 16, 2024, the Company borrowed $49,619 under the Second Extension Note and deposited the funds into the Trust Account thereby extending the Termination Date to May 17, 2024.</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0"/>
          <w:szCs w:val="10"/>
          <w:b w:val="1"/>
          <w:bCs w:val="1"/>
          <w:color w:val="auto"/>
        </w:rPr>
        <w:t>PART I—FINANCIAL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w:t>
      </w:r>
      <w:r>
        <w:rPr>
          <w:rFonts w:ascii="Arial" w:cs="Arial" w:eastAsia="Arial" w:hAnsi="Arial"/>
          <w:sz w:val="10"/>
          <w:szCs w:val="10"/>
          <w:b w:val="1"/>
          <w:bCs w:val="1"/>
          <w:color w:val="auto"/>
        </w:rPr>
        <w:t xml:space="preserve"> </w:t>
      </w:r>
      <w:r>
        <w:rPr>
          <w:rFonts w:ascii="Times New Roman" w:cs="Times New Roman" w:eastAsia="Times New Roman" w:hAnsi="Times New Roman"/>
          <w:sz w:val="10"/>
          <w:szCs w:val="10"/>
          <w:b w:val="1"/>
          <w:bCs w:val="1"/>
          <w:color w:val="auto"/>
        </w:rPr>
        <w:t>1. Financial Statements.</w:t>
      </w:r>
    </w:p>
    <w:p>
      <w:pPr>
        <w:spacing w:after="0" w:line="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CONDENSED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280" w:type="dxa"/>
            <w:vAlign w:val="bottom"/>
          </w:tcPr>
          <w:p>
            <w:pPr>
              <w:spacing w:after="0"/>
              <w:rPr>
                <w:sz w:val="8"/>
                <w:szCs w:val="8"/>
                <w:color w:val="auto"/>
              </w:rPr>
            </w:pPr>
          </w:p>
        </w:tc>
        <w:tc>
          <w:tcPr>
            <w:tcW w:w="1020" w:type="dxa"/>
            <w:vAlign w:val="bottom"/>
          </w:tcPr>
          <w:p>
            <w:pPr>
              <w:jc w:val="center"/>
              <w:ind w:left="45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98"/>
        </w:trPr>
        <w:tc>
          <w:tcPr>
            <w:tcW w:w="7280" w:type="dxa"/>
            <w:vAlign w:val="bottom"/>
          </w:tcPr>
          <w:p>
            <w:pPr>
              <w:spacing w:after="0"/>
              <w:rPr>
                <w:sz w:val="8"/>
                <w:szCs w:val="8"/>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20" w:type="dxa"/>
            <w:vAlign w:val="bottom"/>
          </w:tcPr>
          <w:p>
            <w:pPr>
              <w:jc w:val="center"/>
              <w:ind w:left="434"/>
              <w:spacing w:after="0"/>
              <w:rPr>
                <w:sz w:val="20"/>
                <w:szCs w:val="20"/>
                <w:color w:val="auto"/>
              </w:rPr>
            </w:pPr>
            <w:r>
              <w:rPr>
                <w:rFonts w:ascii="Times New Roman" w:cs="Times New Roman" w:eastAsia="Times New Roman" w:hAnsi="Times New Roman"/>
                <w:sz w:val="8"/>
                <w:szCs w:val="8"/>
                <w:b w:val="1"/>
                <w:bCs w:val="1"/>
                <w:color w:val="auto"/>
                <w:w w:val="97"/>
              </w:rPr>
              <w:t>unaudited</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020" w:type="dxa"/>
            <w:vAlign w:val="bottom"/>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54,405</w:t>
            </w:r>
          </w:p>
        </w:tc>
        <w:tc>
          <w:tcPr>
            <w:tcW w:w="280" w:type="dxa"/>
            <w:vAlign w:val="bottom"/>
          </w:tcPr>
          <w:p>
            <w:pPr>
              <w:spacing w:after="0"/>
              <w:rPr>
                <w:sz w:val="9"/>
                <w:szCs w:val="9"/>
                <w:color w:val="auto"/>
              </w:rPr>
            </w:pPr>
          </w:p>
        </w:tc>
        <w:tc>
          <w:tcPr>
            <w:tcW w:w="260" w:type="dxa"/>
            <w:vAlign w:val="bottom"/>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13,534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67,939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25,871,565</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25,324,028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20" w:type="dxa"/>
            <w:vAlign w:val="bottom"/>
            <w:tcBorders>
              <w:bottom w:val="single" w:sz="8" w:color="auto"/>
            </w:tcBorders>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10"/>
                <w:szCs w:val="10"/>
                <w:color w:val="auto"/>
              </w:rPr>
            </w:pPr>
          </w:p>
        </w:tc>
        <w:tc>
          <w:tcPr>
            <w:tcW w:w="2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28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20" w:type="dxa"/>
            <w:vAlign w:val="bottom"/>
            <w:shd w:val="clear" w:color="auto" w:fill="CFF0FC"/>
          </w:tcPr>
          <w:p>
            <w:pPr>
              <w:jc w:val="right"/>
              <w:ind w:right="91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5,132,351</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23,919</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78,617</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Subscription agreement liability, net</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6,752</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2,776,600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102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9,309,990</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5)</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2,363,349 shares at redemption</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of approximately $10.91 and $10.71 per share at December 31, 2023 and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September 30, 2023, respectively</w:t>
            </w:r>
          </w:p>
        </w:tc>
        <w:tc>
          <w:tcPr>
            <w:tcW w:w="10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25,784,690</w:t>
            </w: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25,316,806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or outstanding</w:t>
            </w:r>
          </w:p>
        </w:tc>
        <w:tc>
          <w:tcPr>
            <w:tcW w:w="10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28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2,363,349 shares subject to</w:t>
            </w: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2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possible redemption) at December 31, 2023 and September 30, 2023, respectively</w:t>
            </w:r>
          </w:p>
        </w:tc>
        <w:tc>
          <w:tcPr>
            <w:tcW w:w="10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02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159,034</w:t>
            </w: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020" w:type="dxa"/>
            <w:vAlign w:val="bottom"/>
          </w:tcPr>
          <w:p>
            <w:pPr>
              <w:spacing w:after="0"/>
              <w:rPr>
                <w:sz w:val="9"/>
                <w:szCs w:val="9"/>
                <w:color w:val="auto"/>
              </w:rPr>
            </w:pPr>
          </w:p>
        </w:tc>
        <w:tc>
          <w:tcPr>
            <w:tcW w:w="76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(9,314,780 )</w:t>
            </w:r>
          </w:p>
        </w:tc>
        <w:tc>
          <w:tcPr>
            <w:tcW w:w="26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2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(9,155,176 )</w:t>
            </w:r>
          </w:p>
        </w:tc>
        <w:tc>
          <w:tcPr>
            <w:tcW w:w="2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0" w:type="dxa"/>
            <w:vAlign w:val="bottom"/>
          </w:tcPr>
          <w:p>
            <w:pPr>
              <w:spacing w:after="0"/>
              <w:rPr>
                <w:sz w:val="1"/>
                <w:szCs w:val="1"/>
                <w:color w:val="auto"/>
              </w:rPr>
            </w:pPr>
          </w:p>
        </w:tc>
      </w:tr>
      <w:tr>
        <w:trPr>
          <w:trHeight w:val="104"/>
        </w:trPr>
        <w:tc>
          <w:tcPr>
            <w:tcW w:w="728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20" w:type="dxa"/>
            <w:vAlign w:val="bottom"/>
            <w:vMerge w:val="restart"/>
          </w:tcPr>
          <w:p>
            <w:pPr>
              <w:jc w:val="right"/>
              <w:ind w:right="91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97"/>
              </w:rPr>
              <w:t>25,939,504</w:t>
            </w:r>
          </w:p>
        </w:tc>
        <w:tc>
          <w:tcPr>
            <w:tcW w:w="280" w:type="dxa"/>
            <w:vAlign w:val="bottom"/>
          </w:tcPr>
          <w:p>
            <w:pPr>
              <w:spacing w:after="0"/>
              <w:rPr>
                <w:sz w:val="9"/>
                <w:szCs w:val="9"/>
                <w:color w:val="auto"/>
              </w:rPr>
            </w:pP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25,417,917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2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102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OPERATIONS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16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87"/>
        </w:trPr>
        <w:tc>
          <w:tcPr>
            <w:tcW w:w="72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8"/>
                <w:szCs w:val="8"/>
                <w:b w:val="1"/>
                <w:bCs w:val="1"/>
                <w:color w:val="auto"/>
              </w:rPr>
              <w:t>2023</w:t>
            </w: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1040" w:type="dxa"/>
            <w:vAlign w:val="bottom"/>
            <w:shd w:val="clear" w:color="auto" w:fill="CFF0FC"/>
          </w:tcPr>
          <w:p>
            <w:pPr>
              <w:jc w:val="right"/>
              <w:ind w:right="93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571,529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0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10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(621,929 )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(422,315 )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10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334,836</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040" w:type="dxa"/>
            <w:vAlign w:val="bottom"/>
          </w:tcPr>
          <w:p>
            <w:pPr>
              <w:spacing w:after="0"/>
              <w:rPr>
                <w:sz w:val="9"/>
                <w:szCs w:val="9"/>
                <w:color w:val="auto"/>
              </w:rPr>
            </w:pPr>
          </w:p>
        </w:tc>
        <w:tc>
          <w:tcPr>
            <w:tcW w:w="7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(5,387 )</w:t>
            </w: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Total other income</w:t>
            </w:r>
          </w:p>
        </w:tc>
        <w:tc>
          <w:tcPr>
            <w:tcW w:w="104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329,449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1,289,673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before provision for income taxes</w:t>
            </w:r>
          </w:p>
        </w:tc>
        <w:tc>
          <w:tcPr>
            <w:tcW w:w="1040" w:type="dxa"/>
            <w:vAlign w:val="bottom"/>
          </w:tcPr>
          <w:p>
            <w:pPr>
              <w:spacing w:after="0"/>
              <w:rPr>
                <w:sz w:val="9"/>
                <w:szCs w:val="9"/>
                <w:color w:val="auto"/>
              </w:rPr>
            </w:pPr>
          </w:p>
        </w:tc>
        <w:tc>
          <w:tcPr>
            <w:tcW w:w="74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(292,480 )</w:t>
            </w: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867,358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Provision for income taxes</w:t>
            </w:r>
          </w:p>
        </w:tc>
        <w:tc>
          <w:tcPr>
            <w:tcW w:w="10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(67,834 )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(260,331 )</w:t>
            </w:r>
          </w:p>
        </w:tc>
        <w:tc>
          <w:tcPr>
            <w:tcW w:w="0" w:type="dxa"/>
            <w:vAlign w:val="bottom"/>
          </w:tcPr>
          <w:p>
            <w:pPr>
              <w:spacing w:after="0"/>
              <w:rPr>
                <w:sz w:val="1"/>
                <w:szCs w:val="1"/>
                <w:color w:val="auto"/>
              </w:rPr>
            </w:pPr>
          </w:p>
        </w:tc>
      </w:tr>
      <w:tr>
        <w:trPr>
          <w:trHeight w:val="115"/>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 income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(360,314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607,027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28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104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2,363,349</w:t>
            </w:r>
          </w:p>
        </w:tc>
        <w:tc>
          <w:tcPr>
            <w:tcW w:w="280" w:type="dxa"/>
            <w:vAlign w:val="bottom"/>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10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280" w:type="dxa"/>
            <w:vAlign w:val="bottom"/>
            <w:tcBorders>
              <w:bottom w:val="single" w:sz="8" w:color="CFF0FC"/>
            </w:tcBorders>
            <w:shd w:val="clear" w:color="auto" w:fill="CFF0FC"/>
          </w:tcPr>
          <w:p>
            <w:pPr>
              <w:ind w:left="80"/>
              <w:spacing w:after="0" w:line="77" w:lineRule="exact"/>
              <w:rPr>
                <w:sz w:val="20"/>
                <w:szCs w:val="20"/>
                <w:color w:val="auto"/>
              </w:rPr>
            </w:pPr>
            <w:r>
              <w:rPr>
                <w:rFonts w:ascii="Times New Roman" w:cs="Times New Roman" w:eastAsia="Times New Roman" w:hAnsi="Times New Roman"/>
                <w:sz w:val="7"/>
                <w:szCs w:val="7"/>
                <w:color w:val="auto"/>
              </w:rPr>
              <w:t>possible redemption</w:t>
            </w:r>
          </w:p>
        </w:tc>
        <w:tc>
          <w:tcPr>
            <w:tcW w:w="1040" w:type="dxa"/>
            <w:vAlign w:val="bottom"/>
            <w:tcBorders>
              <w:bottom w:val="single" w:sz="8" w:color="auto"/>
            </w:tcBorders>
            <w:shd w:val="clear" w:color="auto" w:fill="CFF0FC"/>
          </w:tcPr>
          <w:p>
            <w:pPr>
              <w:spacing w:after="0"/>
              <w:rPr>
                <w:sz w:val="8"/>
                <w:szCs w:val="8"/>
                <w:color w:val="auto"/>
              </w:rPr>
            </w:pPr>
          </w:p>
        </w:tc>
        <w:tc>
          <w:tcPr>
            <w:tcW w:w="460" w:type="dxa"/>
            <w:vAlign w:val="bottom"/>
            <w:tcBorders>
              <w:bottom w:val="single" w:sz="8" w:color="auto"/>
            </w:tcBorders>
            <w:vMerge w:val="continue"/>
            <w:shd w:val="clear" w:color="auto" w:fill="CFF0FC"/>
          </w:tcPr>
          <w:p>
            <w:pPr>
              <w:spacing w:after="0"/>
              <w:rPr>
                <w:sz w:val="8"/>
                <w:szCs w:val="8"/>
                <w:color w:val="auto"/>
              </w:rPr>
            </w:pPr>
          </w:p>
        </w:tc>
        <w:tc>
          <w:tcPr>
            <w:tcW w:w="280" w:type="dxa"/>
            <w:vAlign w:val="bottom"/>
            <w:tcBorders>
              <w:bottom w:val="single" w:sz="8" w:color="CFF0FC"/>
            </w:tcBorders>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spacing w:after="0"/>
              <w:rPr>
                <w:sz w:val="8"/>
                <w:szCs w:val="8"/>
                <w:color w:val="auto"/>
              </w:rPr>
            </w:pPr>
          </w:p>
        </w:tc>
        <w:tc>
          <w:tcPr>
            <w:tcW w:w="104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1040" w:type="dxa"/>
            <w:vAlign w:val="bottom"/>
            <w:tcBorders>
              <w:top w:val="single" w:sz="8" w:color="auto"/>
              <w:bottom w:val="single" w:sz="8" w:color="auto"/>
            </w:tcBorders>
            <w:shd w:val="clear" w:color="auto" w:fill="CFF0FC"/>
          </w:tcPr>
          <w:p>
            <w:pPr>
              <w:spacing w:after="0"/>
              <w:rPr>
                <w:sz w:val="10"/>
                <w:szCs w:val="10"/>
                <w:color w:val="auto"/>
              </w:rPr>
            </w:pPr>
          </w:p>
        </w:tc>
        <w:tc>
          <w:tcPr>
            <w:tcW w:w="46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8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top w:val="single" w:sz="8" w:color="auto"/>
              <w:bottom w:val="single" w:sz="8" w:color="auto"/>
            </w:tcBorders>
            <w:shd w:val="clear" w:color="auto" w:fill="CFF0FC"/>
          </w:tcPr>
          <w:p>
            <w:pPr>
              <w:spacing w:after="0"/>
              <w:rPr>
                <w:sz w:val="10"/>
                <w:szCs w:val="10"/>
                <w:color w:val="auto"/>
              </w:rPr>
            </w:pPr>
          </w:p>
        </w:tc>
        <w:tc>
          <w:tcPr>
            <w:tcW w:w="1040" w:type="dxa"/>
            <w:vAlign w:val="bottom"/>
            <w:tcBorders>
              <w:top w:val="single" w:sz="8" w:color="auto"/>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income per share</w:t>
            </w:r>
          </w:p>
        </w:tc>
        <w:tc>
          <w:tcPr>
            <w:tcW w:w="1040" w:type="dxa"/>
            <w:vAlign w:val="bottom"/>
          </w:tcPr>
          <w:p>
            <w:pPr>
              <w:jc w:val="right"/>
              <w:ind w:right="934"/>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gridSpan w:val="2"/>
          </w:tcPr>
          <w:p>
            <w:pPr>
              <w:jc w:val="right"/>
              <w:ind w:right="24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(0.04 </w:t>
            </w:r>
            <w:r>
              <w:rPr>
                <w:rFonts w:ascii="Times New Roman" w:cs="Times New Roman" w:eastAsia="Times New Roman" w:hAnsi="Times New Roman"/>
                <w:sz w:val="10"/>
                <w:szCs w:val="10"/>
                <w:b w:val="1"/>
                <w:bCs w:val="1"/>
                <w:color w:val="auto"/>
                <w:vertAlign w:val="subscript"/>
              </w:rPr>
              <w:t>)</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6" w:name="page247"/>
    <w:bookmarkEnd w:id="24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CONDENSED STATEMENTS OF CHANGES IN STOCKHOLDERS’ DEFICIT</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THREE MONTHS ENDED DECEMBER 31,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ind w:right="1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(8,486,582 )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(8,486,012 )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Proceeds allocated to Sponsor Shares for subscription</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agreement liability (see note 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108,634</w:t>
            </w:r>
          </w:p>
        </w:tc>
        <w:tc>
          <w:tcPr>
            <w:tcW w:w="100" w:type="dxa"/>
            <w:vAlign w:val="bottom"/>
            <w:shd w:val="clear" w:color="auto" w:fill="CFF0FC"/>
          </w:tcPr>
          <w:p>
            <w:pPr>
              <w:spacing w:after="0"/>
              <w:rPr>
                <w:sz w:val="10"/>
                <w:szCs w:val="10"/>
                <w:color w:val="auto"/>
              </w:rPr>
            </w:pPr>
          </w:p>
        </w:tc>
      </w:tr>
      <w:tr>
        <w:trPr>
          <w:trHeight w:val="106"/>
        </w:trPr>
        <w:tc>
          <w:tcPr>
            <w:tcW w:w="516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5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(467,884 )</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(467,884 )</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1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(360,314 )</w:t>
            </w:r>
          </w:p>
        </w:tc>
      </w:tr>
      <w:tr>
        <w:trPr>
          <w:trHeight w:val="113"/>
        </w:trPr>
        <w:tc>
          <w:tcPr>
            <w:tcW w:w="4500" w:type="dxa"/>
            <w:vAlign w:val="bottom"/>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660" w:type="dxa"/>
            <w:vAlign w:val="bottom"/>
          </w:tcPr>
          <w:p>
            <w:pPr>
              <w:spacing w:after="0"/>
              <w:rPr>
                <w:sz w:val="9"/>
                <w:szCs w:val="9"/>
                <w:color w:val="auto"/>
              </w:rPr>
            </w:pPr>
          </w:p>
        </w:tc>
        <w:tc>
          <w:tcPr>
            <w:tcW w:w="40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tcPr>
          <w:p>
            <w:pPr>
              <w:spacing w:after="0"/>
              <w:rPr>
                <w:sz w:val="9"/>
                <w:szCs w:val="9"/>
                <w:color w:val="auto"/>
              </w:rPr>
            </w:pPr>
          </w:p>
        </w:tc>
        <w:tc>
          <w:tcPr>
            <w:tcW w:w="840" w:type="dxa"/>
            <w:vAlign w:val="bottom"/>
          </w:tcPr>
          <w:p>
            <w:pPr>
              <w:jc w:val="right"/>
              <w:ind w:right="735"/>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159,036</w:t>
            </w:r>
          </w:p>
        </w:tc>
        <w:tc>
          <w:tcPr>
            <w:tcW w:w="380" w:type="dxa"/>
            <w:vAlign w:val="bottom"/>
            <w:gridSpan w:val="2"/>
          </w:tcPr>
          <w:p>
            <w:pPr>
              <w:jc w:val="right"/>
              <w:ind w:right="1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(9,314,780 </w:t>
            </w:r>
            <w:r>
              <w:rPr>
                <w:rFonts w:ascii="Times New Roman" w:cs="Times New Roman" w:eastAsia="Times New Roman" w:hAnsi="Times New Roman"/>
                <w:sz w:val="10"/>
                <w:szCs w:val="10"/>
                <w:b w:val="1"/>
                <w:bCs w:val="1"/>
                <w:color w:val="auto"/>
                <w:vertAlign w:val="subscript"/>
              </w:rPr>
              <w:t>)</w:t>
            </w:r>
          </w:p>
        </w:tc>
        <w:tc>
          <w:tcPr>
            <w:tcW w:w="16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(9,155,176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620" w:type="dxa"/>
            <w:vAlign w:val="bottom"/>
            <w:gridSpan w:val="5"/>
          </w:tcPr>
          <w:p>
            <w:pPr>
              <w:ind w:left="4020"/>
              <w:spacing w:after="0"/>
              <w:rPr>
                <w:sz w:val="20"/>
                <w:szCs w:val="20"/>
                <w:color w:val="auto"/>
              </w:rPr>
            </w:pPr>
            <w:r>
              <w:rPr>
                <w:rFonts w:ascii="Times New Roman" w:cs="Times New Roman" w:eastAsia="Times New Roman" w:hAnsi="Times New Roman"/>
                <w:sz w:val="10"/>
                <w:szCs w:val="10"/>
                <w:b w:val="1"/>
                <w:bCs w:val="1"/>
                <w:color w:val="auto"/>
                <w:w w:val="97"/>
              </w:rPr>
              <w:t>FOR THE THREE MONTHS ENDED DECEMBER 31, 2022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1"/>
        </w:trPr>
        <w:tc>
          <w:tcPr>
            <w:tcW w:w="4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Total</w:t>
            </w:r>
          </w:p>
        </w:tc>
      </w:tr>
      <w:tr>
        <w:trPr>
          <w:trHeight w:val="98"/>
        </w:trPr>
        <w:tc>
          <w:tcPr>
            <w:tcW w:w="4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gridSpan w:val="3"/>
          </w:tcPr>
          <w:p>
            <w:pPr>
              <w:jc w:val="right"/>
              <w:ind w:right="6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6"/>
              </w:rPr>
              <w:t>Paid-in</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500" w:type="dxa"/>
            <w:vAlign w:val="bottom"/>
          </w:tcPr>
          <w:p>
            <w:pPr>
              <w:spacing w:after="0"/>
              <w:rPr>
                <w:sz w:val="9"/>
                <w:szCs w:val="9"/>
                <w:color w:val="auto"/>
              </w:rPr>
            </w:pPr>
          </w:p>
        </w:tc>
        <w:tc>
          <w:tcPr>
            <w:tcW w:w="660" w:type="dxa"/>
            <w:vAlign w:val="bottom"/>
          </w:tcPr>
          <w:p>
            <w:pPr>
              <w:ind w:left="420"/>
              <w:spacing w:after="0"/>
              <w:rPr>
                <w:sz w:val="20"/>
                <w:szCs w:val="20"/>
                <w:color w:val="auto"/>
              </w:rPr>
            </w:pPr>
            <w:r>
              <w:rPr>
                <w:rFonts w:ascii="Times New Roman" w:cs="Times New Roman" w:eastAsia="Times New Roman" w:hAnsi="Times New Roman"/>
                <w:sz w:val="8"/>
                <w:szCs w:val="8"/>
                <w:b w:val="1"/>
                <w:bCs w:val="1"/>
                <w:color w:val="auto"/>
                <w:w w:val="94"/>
              </w:rPr>
              <w:t>Shares</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ind w:right="1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Deficit</w:t>
            </w:r>
          </w:p>
        </w:tc>
      </w:tr>
      <w:tr>
        <w:trPr>
          <w:trHeight w:val="113"/>
        </w:trPr>
        <w:tc>
          <w:tcPr>
            <w:tcW w:w="5160" w:type="dxa"/>
            <w:vAlign w:val="bottom"/>
            <w:gridSpan w:val="2"/>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 (audited)</w:t>
            </w:r>
          </w:p>
        </w:tc>
        <w:tc>
          <w:tcPr>
            <w:tcW w:w="4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1060" w:type="dxa"/>
            <w:vAlign w:val="bottom"/>
            <w:gridSpan w:val="2"/>
            <w:shd w:val="clear" w:color="auto" w:fill="CFF0FC"/>
          </w:tcPr>
          <w:p>
            <w:pPr>
              <w:jc w:val="right"/>
              <w:ind w:right="735"/>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380" w:type="dxa"/>
            <w:vAlign w:val="bottom"/>
            <w:gridSpan w:val="2"/>
            <w:shd w:val="clear" w:color="auto" w:fill="CFF0FC"/>
          </w:tcPr>
          <w:p>
            <w:pPr>
              <w:jc w:val="right"/>
              <w:ind w:right="120"/>
              <w:spacing w:after="0" w:line="11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r>
      <w:tr>
        <w:trPr>
          <w:trHeight w:val="106"/>
        </w:trPr>
        <w:tc>
          <w:tcPr>
            <w:tcW w:w="516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 subject</w:t>
            </w:r>
          </w:p>
        </w:tc>
        <w:tc>
          <w:tcPr>
            <w:tcW w:w="4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5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to possible redemption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(2,479,343 )</w:t>
            </w:r>
          </w:p>
        </w:tc>
        <w:tc>
          <w:tcPr>
            <w:tcW w:w="1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(2,479,343 )</w:t>
            </w:r>
          </w:p>
        </w:tc>
      </w:tr>
      <w:tr>
        <w:trPr>
          <w:trHeight w:val="113"/>
        </w:trPr>
        <w:tc>
          <w:tcPr>
            <w:tcW w:w="5160" w:type="dxa"/>
            <w:vAlign w:val="bottom"/>
            <w:gridSpan w:val="2"/>
          </w:tcPr>
          <w:p>
            <w:pPr>
              <w:spacing w:after="0" w:line="113" w:lineRule="exact"/>
              <w:rPr>
                <w:sz w:val="20"/>
                <w:szCs w:val="20"/>
                <w:color w:val="auto"/>
              </w:rPr>
            </w:pPr>
            <w:r>
              <w:rPr>
                <w:rFonts w:ascii="Times New Roman" w:cs="Times New Roman" w:eastAsia="Times New Roman" w:hAnsi="Times New Roman"/>
                <w:sz w:val="10"/>
                <w:szCs w:val="10"/>
                <w:color w:val="auto"/>
              </w:rPr>
              <w:t>Net income</w:t>
            </w:r>
          </w:p>
        </w:tc>
        <w:tc>
          <w:tcPr>
            <w:tcW w:w="4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r>
      <w:tr>
        <w:trPr>
          <w:trHeight w:val="113"/>
        </w:trPr>
        <w:tc>
          <w:tcPr>
            <w:tcW w:w="450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66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4"/>
              </w:rPr>
              <w:t>5,709,500</w:t>
            </w: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jc w:val="right"/>
              <w:ind w:right="735"/>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w w:val="93"/>
              </w:rPr>
              <w:t>570</w:t>
            </w:r>
          </w:p>
        </w:tc>
        <w:tc>
          <w:tcPr>
            <w:tcW w:w="400" w:type="dxa"/>
            <w:vAlign w:val="bottom"/>
            <w:gridSpan w:val="2"/>
            <w:shd w:val="clear" w:color="auto" w:fill="CFF0FC"/>
          </w:tcPr>
          <w:p>
            <w:pPr>
              <w:jc w:val="right"/>
              <w:ind w:right="14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969,759</w:t>
            </w:r>
          </w:p>
        </w:tc>
        <w:tc>
          <w:tcPr>
            <w:tcW w:w="380" w:type="dxa"/>
            <w:vAlign w:val="bottom"/>
            <w:gridSpan w:val="2"/>
            <w:shd w:val="clear" w:color="auto" w:fill="CFF0FC"/>
          </w:tcPr>
          <w:p>
            <w:pPr>
              <w:jc w:val="right"/>
              <w:ind w:right="120"/>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106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(5,964,009 </w:t>
            </w:r>
            <w:r>
              <w:rPr>
                <w:rFonts w:ascii="Times New Roman" w:cs="Times New Roman" w:eastAsia="Times New Roman" w:hAnsi="Times New Roman"/>
                <w:sz w:val="10"/>
                <w:szCs w:val="10"/>
                <w:b w:val="1"/>
                <w:bCs w:val="1"/>
                <w:color w:val="auto"/>
                <w:vertAlign w:val="subscript"/>
              </w:rPr>
              <w:t>)</w:t>
            </w: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(4,993,680 </w:t>
            </w:r>
            <w:r>
              <w:rPr>
                <w:rFonts w:ascii="Times New Roman" w:cs="Times New Roman" w:eastAsia="Times New Roman" w:hAnsi="Times New Roman"/>
                <w:sz w:val="10"/>
                <w:szCs w:val="10"/>
                <w:b w:val="1"/>
                <w:bCs w:val="1"/>
                <w:color w:val="auto"/>
                <w:vertAlign w:val="subscript"/>
              </w:rPr>
              <w:t>)</w:t>
            </w:r>
          </w:p>
        </w:tc>
      </w:tr>
      <w:tr>
        <w:trPr>
          <w:trHeight w:val="23"/>
        </w:trPr>
        <w:tc>
          <w:tcPr>
            <w:tcW w:w="45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 CONDENSED STATEMENTS OF CASH FLOWS</w:t>
      </w:r>
    </w:p>
    <w:p>
      <w:pPr>
        <w:jc w:val="center"/>
        <w:spacing w:after="0"/>
        <w:rPr>
          <w:sz w:val="20"/>
          <w:szCs w:val="20"/>
          <w:color w:val="auto"/>
        </w:rPr>
      </w:pPr>
      <w:r>
        <w:rPr>
          <w:rFonts w:ascii="Times New Roman" w:cs="Times New Roman" w:eastAsia="Times New Roman" w:hAnsi="Times New Roman"/>
          <w:sz w:val="10"/>
          <w:szCs w:val="10"/>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280" w:type="dxa"/>
            <w:vAlign w:val="bottom"/>
          </w:tcPr>
          <w:p>
            <w:pPr>
              <w:spacing w:after="0"/>
              <w:rPr>
                <w:sz w:val="9"/>
                <w:szCs w:val="9"/>
                <w:color w:val="auto"/>
              </w:rPr>
            </w:pPr>
          </w:p>
        </w:tc>
        <w:tc>
          <w:tcPr>
            <w:tcW w:w="1060" w:type="dxa"/>
            <w:vAlign w:val="bottom"/>
            <w:vMerge w:val="restart"/>
          </w:tcPr>
          <w:p>
            <w:pPr>
              <w:jc w:val="right"/>
              <w:ind w:right="14"/>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140" w:type="dxa"/>
            <w:vAlign w:val="bottom"/>
            <w:gridSpan w:val="3"/>
          </w:tcPr>
          <w:p>
            <w:pPr>
              <w:jc w:val="right"/>
              <w:ind w:right="36"/>
              <w:spacing w:after="0"/>
              <w:rPr>
                <w:sz w:val="20"/>
                <w:szCs w:val="20"/>
                <w:color w:val="auto"/>
              </w:rPr>
            </w:pPr>
            <w:r>
              <w:rPr>
                <w:rFonts w:ascii="Times New Roman" w:cs="Times New Roman" w:eastAsia="Times New Roman" w:hAnsi="Times New Roman"/>
                <w:sz w:val="8"/>
                <w:szCs w:val="8"/>
                <w:b w:val="1"/>
                <w:bCs w:val="1"/>
                <w:color w:val="auto"/>
              </w:rPr>
              <w:t>For the Three Months Ended</w:t>
            </w: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87"/>
        </w:trPr>
        <w:tc>
          <w:tcPr>
            <w:tcW w:w="72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7280" w:type="dxa"/>
            <w:vAlign w:val="bottom"/>
          </w:tcPr>
          <w:p>
            <w:pPr>
              <w:spacing w:after="0"/>
              <w:rPr>
                <w:sz w:val="9"/>
                <w:szCs w:val="9"/>
                <w:color w:val="auto"/>
              </w:rPr>
            </w:pP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8"/>
                <w:szCs w:val="8"/>
                <w:b w:val="1"/>
                <w:bCs w:val="1"/>
                <w:color w:val="auto"/>
              </w:rPr>
              <w:t>2023</w:t>
            </w: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 income</w:t>
            </w:r>
          </w:p>
        </w:tc>
        <w:tc>
          <w:tcPr>
            <w:tcW w:w="1060" w:type="dxa"/>
            <w:vAlign w:val="bottom"/>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(360,314 )</w:t>
            </w:r>
          </w:p>
        </w:tc>
        <w:tc>
          <w:tcPr>
            <w:tcW w:w="420" w:type="dxa"/>
            <w:vAlign w:val="bottom"/>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607,027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income to net cash used in operating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investments held in Trust Account</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(334,836 )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(1,289,673 )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Interest expense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5,387</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50,400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27,963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100"/>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200"/>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20,071</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55,678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424,300</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24,344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ind w:left="200"/>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67,834</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260,331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ind w:left="200"/>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11,819</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(115,339 )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(264,331 )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Principal deposited in Trust Account</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(212,701 )</w:t>
            </w:r>
          </w:p>
        </w:tc>
        <w:tc>
          <w:tcPr>
            <w:tcW w:w="420" w:type="dxa"/>
            <w:vAlign w:val="bottom"/>
          </w:tcPr>
          <w:p>
            <w:pPr>
              <w:spacing w:after="0"/>
              <w:rPr>
                <w:sz w:val="9"/>
                <w:szCs w:val="9"/>
                <w:color w:val="auto"/>
              </w:rPr>
            </w:pPr>
          </w:p>
        </w:tc>
        <w:tc>
          <w:tcPr>
            <w:tcW w:w="11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(1,500,000 )</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106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(212,701 )</w:t>
            </w:r>
          </w:p>
        </w:tc>
        <w:tc>
          <w:tcPr>
            <w:tcW w:w="420" w:type="dxa"/>
            <w:vAlign w:val="bottom"/>
            <w:shd w:val="clear" w:color="auto" w:fill="CFF0FC"/>
          </w:tcPr>
          <w:p>
            <w:pPr>
              <w:spacing w:after="0"/>
              <w:rPr>
                <w:sz w:val="9"/>
                <w:szCs w:val="9"/>
                <w:color w:val="auto"/>
              </w:rPr>
            </w:pPr>
          </w:p>
        </w:tc>
        <w:tc>
          <w:tcPr>
            <w:tcW w:w="11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(1,500,000 )</w:t>
            </w: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212,161</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subscription agreement</w:t>
            </w:r>
          </w:p>
        </w:tc>
        <w:tc>
          <w:tcPr>
            <w:tcW w:w="106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110,000</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financing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322,161</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1,950,000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1060" w:type="dxa"/>
            <w:vAlign w:val="bottom"/>
          </w:tcPr>
          <w:p>
            <w:pPr>
              <w:spacing w:after="0"/>
              <w:rPr>
                <w:sz w:val="9"/>
                <w:szCs w:val="9"/>
                <w:color w:val="auto"/>
              </w:rPr>
            </w:pPr>
          </w:p>
        </w:tc>
        <w:tc>
          <w:tcPr>
            <w:tcW w:w="72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b w:val="1"/>
                <w:bCs w:val="1"/>
                <w:color w:val="auto"/>
              </w:rPr>
              <w:t>(5,879 )</w:t>
            </w:r>
          </w:p>
        </w:tc>
        <w:tc>
          <w:tcPr>
            <w:tcW w:w="420" w:type="dxa"/>
            <w:vAlign w:val="bottom"/>
          </w:tcPr>
          <w:p>
            <w:pPr>
              <w:spacing w:after="0"/>
              <w:rPr>
                <w:sz w:val="9"/>
                <w:szCs w:val="9"/>
                <w:color w:val="auto"/>
              </w:rPr>
            </w:pPr>
          </w:p>
        </w:tc>
        <w:tc>
          <w:tcPr>
            <w:tcW w:w="10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185,669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beginning of the period</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1060" w:type="dxa"/>
            <w:vAlign w:val="bottom"/>
            <w:tcBorders>
              <w:bottom w:val="single" w:sz="8" w:color="auto"/>
            </w:tcBorders>
          </w:tcPr>
          <w:p>
            <w:pPr>
              <w:jc w:val="right"/>
              <w:ind w:right="954"/>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54,405</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363,247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8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Subsequent remeasurement of common stock subject to possible redemption</w:t>
            </w:r>
          </w:p>
        </w:tc>
        <w:tc>
          <w:tcPr>
            <w:tcW w:w="1060" w:type="dxa"/>
            <w:vAlign w:val="bottom"/>
            <w:tcBorders>
              <w:bottom w:val="single" w:sz="8" w:color="auto"/>
            </w:tcBorders>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467,884</w:t>
            </w:r>
          </w:p>
        </w:tc>
        <w:tc>
          <w:tcPr>
            <w:tcW w:w="280" w:type="dxa"/>
            <w:vAlign w:val="bottom"/>
          </w:tcPr>
          <w:p>
            <w:pPr>
              <w:spacing w:after="0"/>
              <w:rPr>
                <w:sz w:val="10"/>
                <w:szCs w:val="10"/>
                <w:color w:val="auto"/>
              </w:rPr>
            </w:pPr>
          </w:p>
        </w:tc>
        <w:tc>
          <w:tcPr>
            <w:tcW w:w="4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2,479,343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Cost of issuance of debt under Polar agreement</w:t>
            </w:r>
          </w:p>
        </w:tc>
        <w:tc>
          <w:tcPr>
            <w:tcW w:w="1060" w:type="dxa"/>
            <w:vAlign w:val="bottom"/>
            <w:tcBorders>
              <w:bottom w:val="single" w:sz="8" w:color="auto"/>
            </w:tcBorders>
            <w:shd w:val="clear" w:color="auto" w:fill="CFF0FC"/>
          </w:tcPr>
          <w:p>
            <w:pPr>
              <w:jc w:val="right"/>
              <w:ind w:right="95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108,634</w:t>
            </w:r>
          </w:p>
        </w:tc>
        <w:tc>
          <w:tcPr>
            <w:tcW w:w="280" w:type="dxa"/>
            <w:vAlign w:val="bottom"/>
            <w:tcBorders>
              <w:bottom w:val="single" w:sz="8" w:color="CFF0FC"/>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i w:val="1"/>
          <w:iCs w:val="1"/>
          <w:color w:val="auto"/>
        </w:rPr>
        <w:t>The accompanying notes are an integral part of these unaudited condensed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UNAUDITED CONDENSED FINANCIAL STATEMENTS</w:t>
      </w:r>
    </w:p>
    <w:p>
      <w:pPr>
        <w:jc w:val="center"/>
        <w:spacing w:after="0"/>
        <w:rPr>
          <w:sz w:val="20"/>
          <w:szCs w:val="20"/>
          <w:color w:val="auto"/>
        </w:rPr>
      </w:pPr>
      <w:r>
        <w:rPr>
          <w:rFonts w:ascii="Times New Roman" w:cs="Times New Roman" w:eastAsia="Times New Roman" w:hAnsi="Times New Roman"/>
          <w:sz w:val="10"/>
          <w:szCs w:val="10"/>
          <w:b w:val="1"/>
          <w:bCs w:val="1"/>
          <w:color w:val="auto"/>
        </w:rPr>
        <w:t>DECEMBER 31,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08" w:lineRule="exact"/>
        <w:rPr>
          <w:sz w:val="20"/>
          <w:szCs w:val="20"/>
          <w:color w:val="auto"/>
        </w:rPr>
      </w:pPr>
    </w:p>
    <w:p>
      <w:pPr>
        <w:ind w:right="120" w:firstLine="480"/>
        <w:spacing w:after="0" w:line="245" w:lineRule="auto"/>
        <w:rPr>
          <w:sz w:val="20"/>
          <w:szCs w:val="20"/>
          <w:color w:val="auto"/>
        </w:rPr>
      </w:pPr>
      <w:r>
        <w:rPr>
          <w:rFonts w:ascii="Times New Roman" w:cs="Times New Roman" w:eastAsia="Times New Roman" w:hAnsi="Times New Roman"/>
          <w:sz w:val="10"/>
          <w:szCs w:val="10"/>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49" w:name="page250"/>
    <w:bookmarkEnd w:id="249"/>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10"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05"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01"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 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0" w:name="page251"/>
    <w:bookmarkEnd w:id="250"/>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8"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1" w:name="page252"/>
    <w:bookmarkEnd w:id="251"/>
    <w:p>
      <w:pPr>
        <w:ind w:right="40" w:firstLine="480"/>
        <w:spacing w:after="0" w:line="270" w:lineRule="auto"/>
        <w:rPr>
          <w:sz w:val="20"/>
          <w:szCs w:val="20"/>
          <w:color w:val="auto"/>
        </w:rPr>
      </w:pPr>
      <w:r>
        <w:rPr>
          <w:rFonts w:ascii="Times New Roman" w:cs="Times New Roman" w:eastAsia="Times New Roman" w:hAnsi="Times New Roman"/>
          <w:sz w:val="9"/>
          <w:szCs w:val="9"/>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96"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01"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0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December 31, 2023, the Company had approximately $54,000 of cash in its bank operating account and a working capital deficiency of approximately $9.1 million (excluding income tax payable and franchise tax payable).</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2" w:name="page253"/>
    <w:bookmarkEnd w:id="252"/>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10" w:lineRule="exact"/>
        <w:rPr>
          <w:sz w:val="20"/>
          <w:szCs w:val="20"/>
          <w:color w:val="auto"/>
        </w:rPr>
      </w:pPr>
    </w:p>
    <w:p>
      <w:pPr>
        <w:ind w:right="6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jc w:val="both"/>
        <w:ind w:right="260" w:firstLine="480"/>
        <w:spacing w:after="0" w:line="285" w:lineRule="auto"/>
        <w:rPr>
          <w:sz w:val="20"/>
          <w:szCs w:val="20"/>
          <w:color w:val="auto"/>
        </w:rPr>
      </w:pPr>
      <w:r>
        <w:rPr>
          <w:rFonts w:ascii="Times New Roman" w:cs="Times New Roman" w:eastAsia="Times New Roman" w:hAnsi="Times New Roman"/>
          <w:sz w:val="9"/>
          <w:szCs w:val="9"/>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89"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unaudited condensed financial statements should be read in conjunction with the Company’s Annual Report on Form10-K, as filed with SEC on December 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260" w:firstLine="480"/>
        <w:spacing w:after="0" w:line="245" w:lineRule="auto"/>
        <w:rPr>
          <w:sz w:val="20"/>
          <w:szCs w:val="20"/>
          <w:color w:val="auto"/>
        </w:rPr>
      </w:pPr>
      <w:r>
        <w:rPr>
          <w:rFonts w:ascii="Times New Roman" w:cs="Times New Roman" w:eastAsia="Times New Roman" w:hAnsi="Times New Roman"/>
          <w:sz w:val="10"/>
          <w:szCs w:val="10"/>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4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0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 340- 10 -S99-1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5" w:name="page256"/>
    <w:bookmarkEnd w:id="255"/>
    <w:tbl>
      <w:tblPr>
        <w:tblLayout w:type="fixed"/>
        <w:tblInd w:w="480" w:type="dxa"/>
        <w:tblCellMar>
          <w:top w:w="0" w:type="dxa"/>
          <w:left w:w="0" w:type="dxa"/>
          <w:bottom w:w="0" w:type="dxa"/>
          <w:right w:w="0" w:type="dxa"/>
        </w:tblCellMar>
      </w:tblPr>
      <w:tr>
        <w:trPr>
          <w:trHeight w:val="125"/>
        </w:trPr>
        <w:tc>
          <w:tcPr>
            <w:tcW w:w="59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December 31, 2023 and September 30, 2023, the common stock reflected in the balance sheets are reconciled in the following table:</w:t>
            </w: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1120" w:type="dxa"/>
            <w:vAlign w:val="bottom"/>
            <w:shd w:val="clear" w:color="auto" w:fill="CFF0FC"/>
          </w:tcPr>
          <w:p>
            <w:pPr>
              <w:jc w:val="right"/>
              <w:ind w:right="2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150,000,000</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1120" w:type="dxa"/>
            <w:vAlign w:val="bottom"/>
          </w:tcPr>
          <w:p>
            <w:pPr>
              <w:spacing w:after="0"/>
              <w:rPr>
                <w:sz w:val="9"/>
                <w:szCs w:val="9"/>
                <w:color w:val="auto"/>
              </w:rPr>
            </w:pPr>
          </w:p>
        </w:tc>
        <w:tc>
          <w:tcPr>
            <w:tcW w:w="92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14,961,589</w:t>
            </w:r>
          </w:p>
        </w:tc>
      </w:tr>
      <w:tr>
        <w:trPr>
          <w:trHeight w:val="106"/>
        </w:trPr>
        <w:tc>
          <w:tcPr>
            <w:tcW w:w="1640" w:type="dxa"/>
            <w:vAlign w:val="bottom"/>
          </w:tcPr>
          <w:p>
            <w:pPr>
              <w:spacing w:after="0"/>
              <w:rPr>
                <w:sz w:val="9"/>
                <w:szCs w:val="9"/>
                <w:color w:val="auto"/>
              </w:rPr>
            </w:pPr>
          </w:p>
        </w:tc>
        <w:tc>
          <w:tcPr>
            <w:tcW w:w="43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 that</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can be withdrawn from Trust Account for taxes)</w:t>
            </w:r>
          </w:p>
        </w:tc>
        <w:tc>
          <w:tcPr>
            <w:tcW w:w="112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04"/>
        </w:trPr>
        <w:tc>
          <w:tcPr>
            <w:tcW w:w="1640" w:type="dxa"/>
            <w:vAlign w:val="bottom"/>
          </w:tcPr>
          <w:p>
            <w:pPr>
              <w:spacing w:after="0"/>
              <w:rPr>
                <w:sz w:val="9"/>
                <w:szCs w:val="9"/>
                <w:color w:val="auto"/>
              </w:rPr>
            </w:pPr>
          </w:p>
        </w:tc>
        <w:tc>
          <w:tcPr>
            <w:tcW w:w="434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120" w:type="dxa"/>
            <w:vAlign w:val="bottom"/>
          </w:tcPr>
          <w:p>
            <w:pPr>
              <w:spacing w:after="0"/>
              <w:rPr>
                <w:sz w:val="10"/>
                <w:szCs w:val="1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13"/>
        </w:trPr>
        <w:tc>
          <w:tcPr>
            <w:tcW w:w="1640" w:type="dxa"/>
            <w:vAlign w:val="bottom"/>
          </w:tcPr>
          <w:p>
            <w:pPr>
              <w:spacing w:after="0"/>
              <w:rPr>
                <w:sz w:val="9"/>
                <w:szCs w:val="9"/>
                <w:color w:val="auto"/>
              </w:rPr>
            </w:pPr>
          </w:p>
        </w:tc>
        <w:tc>
          <w:tcPr>
            <w:tcW w:w="43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3,943,038</w:t>
            </w:r>
          </w:p>
        </w:tc>
      </w:tr>
      <w:tr>
        <w:trPr>
          <w:trHeight w:val="104"/>
        </w:trPr>
        <w:tc>
          <w:tcPr>
            <w:tcW w:w="1640" w:type="dxa"/>
            <w:vAlign w:val="bottom"/>
          </w:tcPr>
          <w:p>
            <w:pPr>
              <w:spacing w:after="0"/>
              <w:rPr>
                <w:sz w:val="9"/>
                <w:szCs w:val="9"/>
                <w:color w:val="auto"/>
              </w:rPr>
            </w:pPr>
          </w:p>
        </w:tc>
        <w:tc>
          <w:tcPr>
            <w:tcW w:w="43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r>
        <w:trPr>
          <w:trHeight w:val="113"/>
        </w:trPr>
        <w:tc>
          <w:tcPr>
            <w:tcW w:w="1640" w:type="dxa"/>
            <w:vAlign w:val="bottom"/>
          </w:tcPr>
          <w:p>
            <w:pPr>
              <w:spacing w:after="0"/>
              <w:rPr>
                <w:sz w:val="9"/>
                <w:szCs w:val="9"/>
                <w:color w:val="auto"/>
              </w:rPr>
            </w:pPr>
          </w:p>
        </w:tc>
        <w:tc>
          <w:tcPr>
            <w:tcW w:w="43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120" w:type="dxa"/>
            <w:vAlign w:val="bottom"/>
          </w:tcPr>
          <w:p>
            <w:pPr>
              <w:spacing w:after="0"/>
              <w:rPr>
                <w:sz w:val="9"/>
                <w:szCs w:val="9"/>
                <w:color w:val="auto"/>
              </w:rPr>
            </w:pPr>
          </w:p>
        </w:tc>
        <w:tc>
          <w:tcPr>
            <w:tcW w:w="92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467,884</w:t>
            </w:r>
          </w:p>
        </w:tc>
      </w:tr>
      <w:tr>
        <w:trPr>
          <w:trHeight w:val="104"/>
        </w:trPr>
        <w:tc>
          <w:tcPr>
            <w:tcW w:w="1640" w:type="dxa"/>
            <w:vAlign w:val="bottom"/>
          </w:tcPr>
          <w:p>
            <w:pPr>
              <w:spacing w:after="0"/>
              <w:rPr>
                <w:sz w:val="9"/>
                <w:szCs w:val="9"/>
                <w:color w:val="auto"/>
              </w:rPr>
            </w:pPr>
          </w:p>
        </w:tc>
        <w:tc>
          <w:tcPr>
            <w:tcW w:w="434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120" w:type="dxa"/>
            <w:vAlign w:val="bottom"/>
            <w:shd w:val="clear" w:color="auto" w:fill="CFF0FC"/>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25,784,690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Income Per Common Stock</w:t>
      </w:r>
    </w:p>
    <w:p>
      <w:pPr>
        <w:spacing w:after="0" w:line="60" w:lineRule="exact"/>
        <w:rPr>
          <w:sz w:val="20"/>
          <w:szCs w:val="20"/>
          <w:color w:val="auto"/>
        </w:rPr>
      </w:pPr>
    </w:p>
    <w:p>
      <w:pPr>
        <w:ind w:right="40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01"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income per common stock because the redemption value approximates fair value.</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108"/>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140" w:type="dxa"/>
            <w:vAlign w:val="bottom"/>
          </w:tcPr>
          <w:p>
            <w:pPr>
              <w:spacing w:after="0"/>
              <w:rPr>
                <w:sz w:val="9"/>
                <w:szCs w:val="9"/>
                <w:color w:val="auto"/>
              </w:rPr>
            </w:pPr>
          </w:p>
        </w:tc>
        <w:tc>
          <w:tcPr>
            <w:tcW w:w="2060" w:type="dxa"/>
            <w:vAlign w:val="bottom"/>
            <w:gridSpan w:val="3"/>
          </w:tcPr>
          <w:p>
            <w:pPr>
              <w:jc w:val="right"/>
              <w:ind w:right="296"/>
              <w:spacing w:after="0"/>
              <w:rPr>
                <w:sz w:val="20"/>
                <w:szCs w:val="20"/>
                <w:color w:val="auto"/>
              </w:rPr>
            </w:pPr>
            <w:r>
              <w:rPr>
                <w:rFonts w:ascii="Times New Roman" w:cs="Times New Roman" w:eastAsia="Times New Roman" w:hAnsi="Times New Roman"/>
                <w:sz w:val="8"/>
                <w:szCs w:val="8"/>
                <w:b w:val="1"/>
                <w:bCs w:val="1"/>
                <w:color w:val="auto"/>
              </w:rPr>
              <w:t>For the Three Months Ended December 31,</w:t>
            </w:r>
          </w:p>
        </w:tc>
        <w:tc>
          <w:tcPr>
            <w:tcW w:w="320" w:type="dxa"/>
            <w:vAlign w:val="bottom"/>
            <w:vMerge w:val="restart"/>
          </w:tcPr>
          <w:p>
            <w:pPr>
              <w:jc w:val="right"/>
              <w:ind w:right="94"/>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3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Common</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Stock</w:t>
            </w: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w w:val="98"/>
              </w:rPr>
              <w:t>Subject to</w:t>
            </w:r>
          </w:p>
        </w:tc>
        <w:tc>
          <w:tcPr>
            <w:tcW w:w="140" w:type="dxa"/>
            <w:vAlign w:val="bottom"/>
          </w:tcPr>
          <w:p>
            <w:pPr>
              <w:spacing w:after="0"/>
              <w:rPr>
                <w:sz w:val="8"/>
                <w:szCs w:val="8"/>
                <w:color w:val="auto"/>
              </w:rPr>
            </w:pPr>
          </w:p>
        </w:tc>
        <w:tc>
          <w:tcPr>
            <w:tcW w:w="1000" w:type="dxa"/>
            <w:vAlign w:val="bottom"/>
          </w:tcPr>
          <w:p>
            <w:pPr>
              <w:jc w:val="center"/>
              <w:ind w:right="236"/>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Non-Redeemable</w:t>
            </w:r>
          </w:p>
        </w:tc>
        <w:tc>
          <w:tcPr>
            <w:tcW w:w="0" w:type="dxa"/>
            <w:vAlign w:val="bottom"/>
          </w:tcPr>
          <w:p>
            <w:pPr>
              <w:spacing w:after="0"/>
              <w:rPr>
                <w:sz w:val="1"/>
                <w:szCs w:val="1"/>
                <w:color w:val="auto"/>
              </w:rPr>
            </w:pPr>
          </w:p>
        </w:tc>
      </w:tr>
      <w:tr>
        <w:trPr>
          <w:trHeight w:val="98"/>
        </w:trPr>
        <w:tc>
          <w:tcPr>
            <w:tcW w:w="33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20" w:type="dxa"/>
            <w:vAlign w:val="bottom"/>
          </w:tcPr>
          <w:p>
            <w:pPr>
              <w:jc w:val="center"/>
              <w:ind w:right="3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140" w:type="dxa"/>
            <w:vAlign w:val="bottom"/>
          </w:tcPr>
          <w:p>
            <w:pPr>
              <w:spacing w:after="0"/>
              <w:rPr>
                <w:sz w:val="8"/>
                <w:szCs w:val="8"/>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82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Possible</w:t>
            </w:r>
          </w:p>
        </w:tc>
        <w:tc>
          <w:tcPr>
            <w:tcW w:w="320" w:type="dxa"/>
            <w:vAlign w:val="bottom"/>
          </w:tcPr>
          <w:p>
            <w:pPr>
              <w:spacing w:after="0"/>
              <w:rPr>
                <w:sz w:val="8"/>
                <w:szCs w:val="8"/>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Common</w:t>
            </w: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2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40" w:type="dxa"/>
            <w:vAlign w:val="bottom"/>
          </w:tcPr>
          <w:p>
            <w:pPr>
              <w:spacing w:after="0"/>
              <w:rPr>
                <w:sz w:val="9"/>
                <w:szCs w:val="9"/>
                <w:color w:val="auto"/>
              </w:rPr>
            </w:pPr>
          </w:p>
        </w:tc>
        <w:tc>
          <w:tcPr>
            <w:tcW w:w="1000" w:type="dxa"/>
            <w:vAlign w:val="bottom"/>
          </w:tcPr>
          <w:p>
            <w:pPr>
              <w:jc w:val="center"/>
              <w:ind w:right="216"/>
              <w:spacing w:after="0"/>
              <w:rPr>
                <w:sz w:val="20"/>
                <w:szCs w:val="20"/>
                <w:color w:val="auto"/>
              </w:rPr>
            </w:pPr>
            <w:r>
              <w:rPr>
                <w:rFonts w:ascii="Times New Roman" w:cs="Times New Roman" w:eastAsia="Times New Roman" w:hAnsi="Times New Roman"/>
                <w:sz w:val="8"/>
                <w:szCs w:val="8"/>
                <w:b w:val="1"/>
                <w:bCs w:val="1"/>
                <w:color w:val="auto"/>
                <w:w w:val="93"/>
              </w:rPr>
              <w:t>Stock</w:t>
            </w:r>
          </w:p>
        </w:tc>
        <w:tc>
          <w:tcPr>
            <w:tcW w:w="240" w:type="dxa"/>
            <w:vAlign w:val="bottom"/>
          </w:tcPr>
          <w:p>
            <w:pPr>
              <w:spacing w:after="0"/>
              <w:rPr>
                <w:sz w:val="9"/>
                <w:szCs w:val="9"/>
                <w:color w:val="auto"/>
              </w:rPr>
            </w:pPr>
          </w:p>
        </w:tc>
        <w:tc>
          <w:tcPr>
            <w:tcW w:w="8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320" w:type="dxa"/>
            <w:vAlign w:val="bottom"/>
          </w:tcPr>
          <w:p>
            <w:pPr>
              <w:spacing w:after="0"/>
              <w:rPr>
                <w:sz w:val="9"/>
                <w:szCs w:val="9"/>
                <w:color w:val="auto"/>
              </w:rPr>
            </w:pPr>
          </w:p>
        </w:tc>
        <w:tc>
          <w:tcPr>
            <w:tcW w:w="940" w:type="dxa"/>
            <w:vAlign w:val="bottom"/>
          </w:tcPr>
          <w:p>
            <w:pPr>
              <w:jc w:val="center"/>
              <w:ind w:right="175"/>
              <w:spacing w:after="0"/>
              <w:rPr>
                <w:sz w:val="20"/>
                <w:szCs w:val="20"/>
                <w:color w:val="auto"/>
              </w:rPr>
            </w:pPr>
            <w:r>
              <w:rPr>
                <w:rFonts w:ascii="Times New Roman" w:cs="Times New Roman" w:eastAsia="Times New Roman" w:hAnsi="Times New Roman"/>
                <w:sz w:val="8"/>
                <w:szCs w:val="8"/>
                <w:b w:val="1"/>
                <w:bCs w:val="1"/>
                <w:color w:val="auto"/>
              </w:rPr>
              <w:t>Stock</w:t>
            </w: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 income</w:t>
            </w:r>
          </w:p>
        </w:tc>
        <w:tc>
          <w:tcPr>
            <w:tcW w:w="17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(105,483 )</w:t>
            </w:r>
          </w:p>
        </w:tc>
        <w:tc>
          <w:tcPr>
            <w:tcW w:w="140" w:type="dxa"/>
            <w:vAlign w:val="bottom"/>
            <w:shd w:val="clear" w:color="auto" w:fill="CFF0FC"/>
          </w:tcPr>
          <w:p>
            <w:pPr>
              <w:jc w:val="right"/>
              <w:ind w:right="1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FF0FC"/>
          </w:tcPr>
          <w:p>
            <w:pPr>
              <w:jc w:val="right"/>
              <w:ind w:right="56"/>
              <w:spacing w:after="0" w:line="113" w:lineRule="exact"/>
              <w:rPr>
                <w:sz w:val="20"/>
                <w:szCs w:val="20"/>
                <w:color w:val="auto"/>
              </w:rPr>
            </w:pPr>
            <w:r>
              <w:rPr>
                <w:rFonts w:ascii="Times New Roman" w:cs="Times New Roman" w:eastAsia="Times New Roman" w:hAnsi="Times New Roman"/>
                <w:sz w:val="10"/>
                <w:szCs w:val="10"/>
                <w:color w:val="auto"/>
              </w:rPr>
              <w:t>(254,831 )</w:t>
            </w:r>
          </w:p>
        </w:tc>
        <w:tc>
          <w:tcPr>
            <w:tcW w:w="24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439,673</w:t>
            </w:r>
          </w:p>
        </w:tc>
        <w:tc>
          <w:tcPr>
            <w:tcW w:w="320" w:type="dxa"/>
            <w:vAlign w:val="bottom"/>
            <w:shd w:val="clear" w:color="auto" w:fill="CFF0FC"/>
          </w:tcPr>
          <w:p>
            <w:pPr>
              <w:jc w:val="right"/>
              <w:ind w:right="14"/>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167,354</w:t>
            </w:r>
          </w:p>
        </w:tc>
        <w:tc>
          <w:tcPr>
            <w:tcW w:w="0" w:type="dxa"/>
            <w:vAlign w:val="bottom"/>
          </w:tcPr>
          <w:p>
            <w:pPr>
              <w:spacing w:after="0"/>
              <w:rPr>
                <w:sz w:val="1"/>
                <w:szCs w:val="1"/>
                <w:color w:val="auto"/>
              </w:rPr>
            </w:pPr>
          </w:p>
        </w:tc>
      </w:tr>
      <w:tr>
        <w:trPr>
          <w:trHeight w:val="113"/>
        </w:trPr>
        <w:tc>
          <w:tcPr>
            <w:tcW w:w="33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3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40" w:type="dxa"/>
            <w:vAlign w:val="bottom"/>
            <w:shd w:val="clear" w:color="auto" w:fill="CFF0FC"/>
          </w:tcPr>
          <w:p>
            <w:pPr>
              <w:spacing w:after="0"/>
              <w:rPr>
                <w:sz w:val="9"/>
                <w:szCs w:val="9"/>
                <w:color w:val="auto"/>
              </w:rPr>
            </w:pPr>
          </w:p>
        </w:tc>
        <w:tc>
          <w:tcPr>
            <w:tcW w:w="102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2,363,349</w:t>
            </w:r>
          </w:p>
        </w:tc>
        <w:tc>
          <w:tcPr>
            <w:tcW w:w="140" w:type="dxa"/>
            <w:vAlign w:val="bottom"/>
            <w:shd w:val="clear" w:color="auto" w:fill="CFF0FC"/>
          </w:tcPr>
          <w:p>
            <w:pPr>
              <w:spacing w:after="0"/>
              <w:rPr>
                <w:sz w:val="9"/>
                <w:szCs w:val="9"/>
                <w:color w:val="auto"/>
              </w:rPr>
            </w:pPr>
          </w:p>
        </w:tc>
        <w:tc>
          <w:tcPr>
            <w:tcW w:w="1000" w:type="dxa"/>
            <w:vAlign w:val="bottom"/>
            <w:shd w:val="clear" w:color="auto" w:fill="CFF0FC"/>
          </w:tcPr>
          <w:p>
            <w:pPr>
              <w:jc w:val="right"/>
              <w:ind w:right="96"/>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15,000,000</w:t>
            </w:r>
          </w:p>
        </w:tc>
        <w:tc>
          <w:tcPr>
            <w:tcW w:w="320" w:type="dxa"/>
            <w:vAlign w:val="bottom"/>
            <w:shd w:val="clear" w:color="auto" w:fill="CFF0FC"/>
          </w:tcPr>
          <w:p>
            <w:pPr>
              <w:spacing w:after="0"/>
              <w:rPr>
                <w:sz w:val="9"/>
                <w:szCs w:val="9"/>
                <w:color w:val="auto"/>
              </w:rPr>
            </w:pPr>
          </w:p>
        </w:tc>
        <w:tc>
          <w:tcPr>
            <w:tcW w:w="940" w:type="dxa"/>
            <w:vAlign w:val="bottom"/>
            <w:shd w:val="clear" w:color="auto" w:fill="CFF0FC"/>
          </w:tcPr>
          <w:p>
            <w:pPr>
              <w:jc w:val="right"/>
              <w:ind w:right="5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0" w:type="dxa"/>
            <w:vAlign w:val="bottom"/>
          </w:tcPr>
          <w:p>
            <w:pPr>
              <w:spacing w:after="0"/>
              <w:rPr>
                <w:sz w:val="1"/>
                <w:szCs w:val="1"/>
                <w:color w:val="auto"/>
              </w:rPr>
            </w:pPr>
          </w:p>
        </w:tc>
      </w:tr>
      <w:tr>
        <w:trPr>
          <w:trHeight w:val="125"/>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income per share</w:t>
            </w: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(0.04 )</w:t>
            </w:r>
          </w:p>
        </w:tc>
        <w:tc>
          <w:tcPr>
            <w:tcW w:w="1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0"/>
                <w:szCs w:val="10"/>
                <w:color w:val="auto"/>
              </w:rPr>
              <w:t>(0.04 )</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0.03</w:t>
            </w:r>
          </w:p>
        </w:tc>
        <w:tc>
          <w:tcPr>
            <w:tcW w:w="32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0"/>
                <w:szCs w:val="10"/>
                <w:color w:val="auto"/>
              </w:rPr>
              <w:t>0.03</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56" w:name="page257"/>
    <w:bookmarkEnd w:id="256"/>
    <w:p>
      <w:pPr>
        <w:jc w:val="both"/>
        <w:ind w:right="220" w:firstLine="480"/>
        <w:spacing w:after="0" w:line="285" w:lineRule="auto"/>
        <w:rPr>
          <w:sz w:val="20"/>
          <w:szCs w:val="20"/>
          <w:color w:val="auto"/>
        </w:rPr>
      </w:pPr>
      <w:r>
        <w:rPr>
          <w:rFonts w:ascii="Times New Roman" w:cs="Times New Roman" w:eastAsia="Times New Roman" w:hAnsi="Times New Roman"/>
          <w:sz w:val="9"/>
          <w:szCs w:val="9"/>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 -classified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89"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$50,400 and $27,963 of stock-based compensation for the three-month periods ended December 31, 2023 and December 31,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01"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01"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Debt discounts</w:t>
      </w:r>
    </w:p>
    <w:p>
      <w:pPr>
        <w:spacing w:after="0" w:line="60"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Recent Accounting Pronouncements</w:t>
      </w:r>
    </w:p>
    <w:p>
      <w:pPr>
        <w:spacing w:after="0" w:line="60" w:lineRule="exact"/>
        <w:rPr>
          <w:sz w:val="20"/>
          <w:szCs w:val="20"/>
          <w:color w:val="auto"/>
        </w:rPr>
      </w:pPr>
    </w:p>
    <w:p>
      <w:pPr>
        <w:ind w:right="240" w:firstLine="480"/>
        <w:spacing w:after="0" w:line="245" w:lineRule="auto"/>
        <w:rPr>
          <w:sz w:val="20"/>
          <w:szCs w:val="20"/>
          <w:color w:val="auto"/>
        </w:rPr>
      </w:pPr>
      <w:r>
        <w:rPr>
          <w:rFonts w:ascii="Times New Roman" w:cs="Times New Roman" w:eastAsia="Times New Roman" w:hAnsi="Times New Roman"/>
          <w:sz w:val="10"/>
          <w:szCs w:val="10"/>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340" w:firstLine="488"/>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right="20"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08"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58" w:name="page259"/>
    <w:bookmarkEnd w:id="258"/>
    <w:p>
      <w:pPr>
        <w:ind w:left="10"/>
        <w:spacing w:after="0"/>
        <w:rPr>
          <w:sz w:val="20"/>
          <w:szCs w:val="20"/>
          <w:color w:val="auto"/>
        </w:rPr>
      </w:pPr>
      <w:r>
        <w:rPr>
          <w:rFonts w:ascii="Times New Roman" w:cs="Times New Roman" w:eastAsia="Times New Roman" w:hAnsi="Times New Roman"/>
          <w:sz w:val="10"/>
          <w:szCs w:val="10"/>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20" w:hanging="10"/>
        <w:spacing w:after="0" w:line="237" w:lineRule="auto"/>
        <w:tabs>
          <w:tab w:leader="none" w:pos="153"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ind w:left="10" w:hanging="10"/>
        <w:spacing w:after="0" w:line="235" w:lineRule="auto"/>
        <w:tabs>
          <w:tab w:leader="none" w:pos="153"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09" w:lineRule="exact"/>
        <w:rPr>
          <w:sz w:val="20"/>
          <w:szCs w:val="20"/>
          <w:color w:val="auto"/>
        </w:rPr>
      </w:pPr>
    </w:p>
    <w:p>
      <w:pPr>
        <w:ind w:left="10" w:right="22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05" w:lineRule="exact"/>
        <w:rPr>
          <w:sz w:val="20"/>
          <w:szCs w:val="20"/>
          <w:color w:val="auto"/>
        </w:rPr>
      </w:pPr>
    </w:p>
    <w:p>
      <w:pPr>
        <w:jc w:val="both"/>
        <w:ind w:left="10" w:right="20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05" w:lineRule="exact"/>
        <w:rPr>
          <w:sz w:val="20"/>
          <w:szCs w:val="20"/>
          <w:color w:val="auto"/>
        </w:rPr>
      </w:pPr>
    </w:p>
    <w:p>
      <w:pPr>
        <w:ind w:left="10" w:right="10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05" w:lineRule="exact"/>
        <w:rPr>
          <w:sz w:val="20"/>
          <w:szCs w:val="20"/>
          <w:color w:val="auto"/>
        </w:rPr>
      </w:pPr>
    </w:p>
    <w:p>
      <w:pPr>
        <w:ind w:left="10" w:right="120" w:firstLine="480"/>
        <w:spacing w:after="0" w:line="245" w:lineRule="auto"/>
        <w:rPr>
          <w:sz w:val="20"/>
          <w:szCs w:val="20"/>
          <w:color w:val="auto"/>
        </w:rPr>
      </w:pPr>
      <w:r>
        <w:rPr>
          <w:rFonts w:ascii="Times New Roman" w:cs="Times New Roman" w:eastAsia="Times New Roman" w:hAnsi="Times New Roman"/>
          <w:sz w:val="10"/>
          <w:szCs w:val="10"/>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4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155" w:right="640" w:bottom="1440" w:gutter="0" w:footer="0" w:header="0"/>
        </w:sectPr>
      </w:pPr>
    </w:p>
    <w:bookmarkStart w:id="259" w:name="page260"/>
    <w:bookmarkEnd w:id="259"/>
    <w:p>
      <w:pPr>
        <w:ind w:right="480" w:firstLine="480"/>
        <w:spacing w:after="0" w:line="255" w:lineRule="auto"/>
        <w:rPr>
          <w:sz w:val="20"/>
          <w:szCs w:val="20"/>
          <w:color w:val="auto"/>
        </w:rPr>
      </w:pPr>
      <w:r>
        <w:rPr>
          <w:rFonts w:ascii="Times New Roman" w:cs="Times New Roman" w:eastAsia="Times New Roman" w:hAnsi="Times New Roman"/>
          <w:sz w:val="10"/>
          <w:szCs w:val="10"/>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right="140" w:firstLine="480"/>
        <w:spacing w:after="0" w:line="24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 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4 — Subscription Agreement Liability</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Effective December 12, 2023, the Company and the Sponsor, entered into a subscription agreement (the “Subscription Agreement”) with Polar Multi-Strategy Master Fund (“Polar”), an unaffiliated third party of the Company, pursuant to which Polar agreed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make certain capital contributions (the “Investor Capital Contribution”) from time to time, at the request of the Sponsor, subject to the terms and conditions of the Subscription Agreement, to the Sponsor to meet the Sponsor’s commitment to fund the Company’s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capital needs and extension payments. In exchange for the commitment of Polar to provide the Investor Capital Contribution, (i) the Sponsor will transfer shares of common stock, par value $0.0001 per share, to Polar at the closing of its initial business combination,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further described below; and (ii) the Company and the Sponsor have agreed jointly and severally to return the Investor Capital Contribution to the Investor at the closing of an initial business combination. The maximum aggregate Investor Capital Contribution is $440,000,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with an initial Investor Capital Contribution of $110,000 available for drawdown within five (5) business days of the Subscription Agreement and the remaining amount to be available for drawdown in three equal tranches of $110,000 during January, February and March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2024. The initial Investor Capital Contribution of $110,000 has been funded to the Sponsor, on January 16, 2024, the second Investor Capital Contribution of $110,000 was funded to the Sponsor, and on February 13, 2024, the third Investor Capital Contribution of</w:t>
      </w:r>
    </w:p>
    <w:p>
      <w:pPr>
        <w:spacing w:after="0"/>
        <w:rPr>
          <w:sz w:val="20"/>
          <w:szCs w:val="20"/>
          <w:color w:val="auto"/>
        </w:rPr>
      </w:pPr>
      <w:r>
        <w:rPr>
          <w:rFonts w:ascii="Times New Roman" w:cs="Times New Roman" w:eastAsia="Times New Roman" w:hAnsi="Times New Roman"/>
          <w:sz w:val="9"/>
          <w:szCs w:val="9"/>
          <w:color w:val="auto"/>
        </w:rPr>
        <w:t>$110,000 was funded to the Sponsor. In exchange for the foregoing commitment of Polar to make the Investor Capital Contributions to the Sponsor, the Company agrees to, or cause the surviving entity following the closing of the Company’s initial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to, issue 880,000 shares of Company common stock currently held by the Sponsor in consideration for the amount that has been funded by Polar as of or prior to the closing of an initial business combination (the “Subscription Shares”). The Company or the surviving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of the business combination shall promptly file a registration statement for resale to register the Subscription Shares after the closing of an initial business combination, but no later than 45 calendar days after the closing of business combination, and cause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statement to be declared effective by 150 calendar days after the closing of an initial business combination. The Subscription Shares shall be free from the lockup provisions currently applicable to these shares (for a period of 180 days following the closing of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combination), provided that the stockholders of the Company shall have approved a proposal to such effect at the stockholders meeting held to approve the initial business combination.</w:t>
      </w:r>
    </w:p>
    <w:p>
      <w:pPr>
        <w:spacing w:after="0" w:line="10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01"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 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0"/>
          <w:szCs w:val="10"/>
          <w:b w:val="1"/>
          <w:bCs w:val="1"/>
          <w:color w:val="auto"/>
        </w:rPr>
        <w:t>Note 5 — Commitments and Contingencies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0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4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jc w:val="both"/>
        <w:ind w:right="40" w:firstLine="480"/>
        <w:spacing w:after="0" w:line="285" w:lineRule="auto"/>
        <w:rPr>
          <w:sz w:val="20"/>
          <w:szCs w:val="20"/>
          <w:color w:val="auto"/>
        </w:rPr>
      </w:pPr>
      <w:r>
        <w:rPr>
          <w:rFonts w:ascii="Times New Roman" w:cs="Times New Roman" w:eastAsia="Times New Roman" w:hAnsi="Times New Roman"/>
          <w:sz w:val="9"/>
          <w:szCs w:val="9"/>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13" w:right="660" w:bottom="1440" w:gutter="0" w:footer="0" w:header="0"/>
        </w:sectPr>
      </w:pPr>
    </w:p>
    <w:bookmarkStart w:id="261" w:name="page262"/>
    <w:bookmarkEnd w:id="261"/>
    <w:p>
      <w:pPr>
        <w:jc w:val="both"/>
        <w:spacing w:after="0" w:line="245" w:lineRule="auto"/>
        <w:rPr>
          <w:sz w:val="20"/>
          <w:szCs w:val="20"/>
          <w:color w:val="auto"/>
        </w:rPr>
      </w:pPr>
      <w:r>
        <w:rPr>
          <w:rFonts w:ascii="Times New Roman" w:cs="Times New Roman" w:eastAsia="Times New Roman" w:hAnsi="Times New Roman"/>
          <w:sz w:val="10"/>
          <w:szCs w:val="10"/>
          <w:color w:val="auto"/>
        </w:rPr>
        <w:t>Company will also pay the representative a separate capital market advisory fee of $ 2,500,000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2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8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095" w:right="60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0"/>
          <w:szCs w:val="10"/>
          <w:b w:val="1"/>
          <w:bCs w:val="1"/>
          <w:color w:val="auto"/>
        </w:rPr>
        <w:t>Note 6 — Stockholders’ Deficit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01"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1"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right="20" w:firstLine="480"/>
        <w:spacing w:after="0" w:line="238" w:lineRule="auto"/>
        <w:rPr>
          <w:sz w:val="20"/>
          <w:szCs w:val="20"/>
          <w:color w:val="auto"/>
        </w:rPr>
      </w:pPr>
      <w:r>
        <w:rPr>
          <w:rFonts w:ascii="Times New Roman" w:cs="Times New Roman" w:eastAsia="Times New Roman" w:hAnsi="Times New Roman"/>
          <w:sz w:val="10"/>
          <w:szCs w:val="10"/>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5180" w:right="1040" w:hanging="4717"/>
        <w:spacing w:after="0" w:line="380"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208280</wp:posOffset>
            </wp:positionV>
            <wp:extent cx="6778625" cy="34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63" w:name="page264"/>
    <w:bookmarkEnd w:id="263"/>
    <w:p>
      <w:pPr>
        <w:ind w:left="480" w:right="4040"/>
        <w:spacing w:after="0" w:line="380" w:lineRule="auto"/>
        <w:rPr>
          <w:sz w:val="20"/>
          <w:szCs w:val="20"/>
          <w:color w:val="auto"/>
        </w:rPr>
      </w:pPr>
      <w:r>
        <w:rPr>
          <w:rFonts w:ascii="Times New Roman" w:cs="Times New Roman" w:eastAsia="Times New Roman" w:hAnsi="Times New Roman"/>
          <w:sz w:val="10"/>
          <w:szCs w:val="10"/>
          <w:color w:val="auto"/>
        </w:rPr>
        <w:t>commencing at any time after the warrants become exercisable and ending on the third business day prior to the notice of redemption to warrant holders; and •if, and only if, there is a current registration statement in effect with respect to the shares of common stock underlying such warrants.</w:t>
      </w:r>
    </w:p>
    <w:p>
      <w:pPr>
        <w:spacing w:after="0" w:line="41"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Subsequent Events</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320" w:firstLine="480"/>
        <w:spacing w:after="0" w:line="255" w:lineRule="auto"/>
        <w:rPr>
          <w:sz w:val="20"/>
          <w:szCs w:val="20"/>
          <w:color w:val="auto"/>
        </w:rPr>
      </w:pPr>
      <w:r>
        <w:rPr>
          <w:rFonts w:ascii="Times New Roman" w:cs="Times New Roman" w:eastAsia="Times New Roman" w:hAnsi="Times New Roman"/>
          <w:sz w:val="10"/>
          <w:szCs w:val="10"/>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05" w:lineRule="exact"/>
        <w:rPr>
          <w:sz w:val="20"/>
          <w:szCs w:val="20"/>
          <w:color w:val="auto"/>
        </w:rPr>
      </w:pPr>
    </w:p>
    <w:p>
      <w:pPr>
        <w:ind w:right="160" w:firstLine="480"/>
        <w:spacing w:after="0" w:line="255" w:lineRule="auto"/>
        <w:rPr>
          <w:sz w:val="20"/>
          <w:szCs w:val="20"/>
          <w:color w:val="auto"/>
        </w:rPr>
      </w:pPr>
      <w:r>
        <w:rPr>
          <w:rFonts w:ascii="Times New Roman" w:cs="Times New Roman" w:eastAsia="Times New Roman" w:hAnsi="Times New Roman"/>
          <w:sz w:val="10"/>
          <w:szCs w:val="10"/>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10"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64" w:name="page265"/>
    <w:bookmarkEnd w:id="264"/>
    <w:p>
      <w:pPr>
        <w:ind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08"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01"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0"/>
          <w:szCs w:val="10"/>
          <w:b w:val="1"/>
          <w:bCs w:val="1"/>
          <w:color w:val="auto"/>
        </w:rPr>
        <w:t>REPORT OF INDEPENDENT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To the Stockholders and Board of Directors of Armada Acquisition Corp. 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Opinion on the Financial Statements</w:t>
      </w:r>
    </w:p>
    <w:p>
      <w:pPr>
        <w:spacing w:after="0" w:line="6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0"/>
          <w:szCs w:val="10"/>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Explanatory Paragraph – Going Concern</w:t>
      </w:r>
    </w:p>
    <w:p>
      <w:pPr>
        <w:spacing w:after="0" w:line="60"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0"/>
          <w:szCs w:val="10"/>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Basis for Opinion</w:t>
      </w:r>
    </w:p>
    <w:p>
      <w:pPr>
        <w:spacing w:after="0" w:line="60" w:lineRule="exact"/>
        <w:rPr>
          <w:sz w:val="20"/>
          <w:szCs w:val="20"/>
          <w:color w:val="auto"/>
        </w:rPr>
      </w:pPr>
    </w:p>
    <w:p>
      <w:pPr>
        <w:ind w:right="280"/>
        <w:spacing w:after="0" w:line="310" w:lineRule="auto"/>
        <w:rPr>
          <w:sz w:val="20"/>
          <w:szCs w:val="20"/>
          <w:color w:val="auto"/>
        </w:rPr>
      </w:pPr>
      <w:r>
        <w:rPr>
          <w:rFonts w:ascii="Times New Roman" w:cs="Times New Roman" w:eastAsia="Times New Roman" w:hAnsi="Times New Roman"/>
          <w:sz w:val="9"/>
          <w:szCs w:val="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0"/>
          <w:szCs w:val="10"/>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0"/>
          <w:szCs w:val="1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 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Marcum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We have served as the Company’s auditor since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East Hanover, NJ</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December 4, 2023</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7300" w:type="dxa"/>
            <w:vAlign w:val="bottom"/>
          </w:tcPr>
          <w:p>
            <w:pPr>
              <w:spacing w:after="0"/>
              <w:rPr>
                <w:sz w:val="8"/>
                <w:szCs w:val="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0" w:type="dxa"/>
            <w:vAlign w:val="bottom"/>
          </w:tcPr>
          <w:p>
            <w:pPr>
              <w:spacing w:after="0"/>
              <w:rPr>
                <w:sz w:val="1"/>
                <w:szCs w:val="1"/>
                <w:color w:val="auto"/>
              </w:rPr>
            </w:pPr>
          </w:p>
        </w:tc>
      </w:tr>
      <w:tr>
        <w:trPr>
          <w:trHeight w:val="106"/>
        </w:trPr>
        <w:tc>
          <w:tcPr>
            <w:tcW w:w="7300" w:type="dxa"/>
            <w:vAlign w:val="bottom"/>
          </w:tcPr>
          <w:p>
            <w:pPr>
              <w:spacing w:after="0"/>
              <w:rPr>
                <w:sz w:val="9"/>
                <w:szCs w:val="9"/>
                <w:color w:val="auto"/>
              </w:rPr>
            </w:pP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8"/>
                <w:szCs w:val="8"/>
                <w:b w:val="1"/>
                <w:bCs w:val="1"/>
                <w:color w:val="auto"/>
              </w:rPr>
              <w:t>2023</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Assets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000" w:type="dxa"/>
            <w:vAlign w:val="bottom"/>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60,284</w:t>
            </w:r>
          </w:p>
        </w:tc>
        <w:tc>
          <w:tcPr>
            <w:tcW w:w="260" w:type="dxa"/>
            <w:vAlign w:val="bottom"/>
          </w:tcPr>
          <w:p>
            <w:pPr>
              <w:spacing w:after="0"/>
              <w:rPr>
                <w:sz w:val="9"/>
                <w:szCs w:val="9"/>
                <w:color w:val="auto"/>
              </w:rPr>
            </w:pPr>
          </w:p>
        </w:tc>
        <w:tc>
          <w:tcPr>
            <w:tcW w:w="280" w:type="dxa"/>
            <w:vAlign w:val="bottom"/>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33,605</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61,942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93,889</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239,520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Investments held in Trust Account</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25,324,028</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150,844,925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00" w:type="dxa"/>
            <w:vAlign w:val="bottom"/>
            <w:tcBorders>
              <w:bottom w:val="single" w:sz="8" w:color="auto"/>
            </w:tcBorders>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w w:val="97"/>
              </w:rPr>
              <w:t>25,417,917</w:t>
            </w:r>
          </w:p>
        </w:tc>
        <w:tc>
          <w:tcPr>
            <w:tcW w:w="260" w:type="dxa"/>
            <w:vAlign w:val="bottom"/>
          </w:tcPr>
          <w:p>
            <w:pPr>
              <w:spacing w:after="0"/>
              <w:rPr>
                <w:sz w:val="10"/>
                <w:szCs w:val="10"/>
                <w:color w:val="auto"/>
              </w:rPr>
            </w:pPr>
          </w:p>
        </w:tc>
        <w:tc>
          <w:tcPr>
            <w:tcW w:w="280" w:type="dxa"/>
            <w:vAlign w:val="bottom"/>
            <w:tcBorders>
              <w:bottom w:val="single" w:sz="8" w:color="auto"/>
            </w:tcBorders>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151,084,445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3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Common Stock Subject to Possible Redemption and Stockholders’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Current liabilities:</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1000" w:type="dxa"/>
            <w:vAlign w:val="bottom"/>
            <w:shd w:val="clear" w:color="auto" w:fill="CFF0FC"/>
          </w:tcPr>
          <w:p>
            <w:pPr>
              <w:jc w:val="right"/>
              <w:ind w:right="894"/>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4,708,050</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jc w:val="right"/>
              <w:ind w:right="1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3,137,535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12,100</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150,000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10,783</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Promissory Notes-Related Party</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2,564,439</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251,754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payable</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00" w:type="dxa"/>
            <w:vAlign w:val="bottom"/>
          </w:tcPr>
          <w:p>
            <w:pPr>
              <w:spacing w:after="0"/>
              <w:rPr>
                <w:sz w:val="9"/>
                <w:szCs w:val="9"/>
                <w:color w:val="auto"/>
              </w:rPr>
            </w:pPr>
          </w:p>
        </w:tc>
        <w:tc>
          <w:tcPr>
            <w:tcW w:w="4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8,587,123</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3,684,910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Commitments and Contingencies (Note 4)</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Common stock subject to possible redemption, 2,363,349 and 15,000,000 shares</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ind w:left="80"/>
              <w:spacing w:after="0" w:line="113" w:lineRule="exact"/>
              <w:rPr>
                <w:sz w:val="20"/>
                <w:szCs w:val="20"/>
                <w:color w:val="auto"/>
              </w:rPr>
            </w:pPr>
            <w:r>
              <w:rPr>
                <w:rFonts w:ascii="Times New Roman" w:cs="Times New Roman" w:eastAsia="Times New Roman" w:hAnsi="Times New Roman"/>
                <w:sz w:val="10"/>
                <w:szCs w:val="10"/>
                <w:color w:val="auto"/>
              </w:rPr>
              <w:t>at redemption value of approximately $10.71 and $10.04 per share at</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September 30, 2023 and 2022, respectively</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25,316,806</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730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Preferred stock, $0.0001 par value; 1,000,000 shares authorized; none issued or</w:t>
            </w: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outstanding</w:t>
            </w:r>
          </w:p>
        </w:tc>
        <w:tc>
          <w:tcPr>
            <w:tcW w:w="1000" w:type="dxa"/>
            <w:vAlign w:val="bottom"/>
          </w:tcPr>
          <w:p>
            <w:pPr>
              <w:spacing w:after="0"/>
              <w:rPr>
                <w:sz w:val="10"/>
                <w:szCs w:val="10"/>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730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Common stock, $0.0001 par value; 100,000,000 shares authorized, 5,709,500 shares</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issued and outstanding (excluding 2,363,349 and 15,000,000 shares subject to</w:t>
            </w:r>
          </w:p>
        </w:tc>
        <w:tc>
          <w:tcPr>
            <w:tcW w:w="10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7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possible redemption) at September 30, 2023 and 2022, respectively</w:t>
            </w:r>
          </w:p>
        </w:tc>
        <w:tc>
          <w:tcPr>
            <w:tcW w:w="10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Additional paid-in capital</w:t>
            </w:r>
          </w:p>
        </w:tc>
        <w:tc>
          <w:tcPr>
            <w:tcW w:w="1000" w:type="dxa"/>
            <w:vAlign w:val="bottom"/>
          </w:tcPr>
          <w:p>
            <w:pPr>
              <w:spacing w:after="0"/>
              <w:rPr>
                <w:sz w:val="9"/>
                <w:szCs w:val="9"/>
                <w:color w:val="auto"/>
              </w:rPr>
            </w:pPr>
          </w:p>
        </w:tc>
        <w:tc>
          <w:tcPr>
            <w:tcW w:w="740" w:type="dxa"/>
            <w:vAlign w:val="bottom"/>
            <w:gridSpan w:val="2"/>
          </w:tcPr>
          <w:p>
            <w:pPr>
              <w:jc w:val="right"/>
              <w:ind w:right="28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12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941,796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Accumulated deficit</w:t>
            </w:r>
          </w:p>
        </w:tc>
        <w:tc>
          <w:tcPr>
            <w:tcW w:w="100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(8,486,582 )</w:t>
            </w:r>
          </w:p>
        </w:tc>
        <w:tc>
          <w:tcPr>
            <w:tcW w:w="28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(4,091,693 )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00" w:type="dxa"/>
            <w:vAlign w:val="bottom"/>
          </w:tcPr>
          <w:p>
            <w:pPr>
              <w:spacing w:after="0"/>
              <w:rPr>
                <w:sz w:val="9"/>
                <w:szCs w:val="9"/>
                <w:color w:val="auto"/>
              </w:rPr>
            </w:pPr>
          </w:p>
        </w:tc>
        <w:tc>
          <w:tcPr>
            <w:tcW w:w="7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(8,486,012 )</w:t>
            </w:r>
          </w:p>
        </w:tc>
        <w:tc>
          <w:tcPr>
            <w:tcW w:w="280" w:type="dxa"/>
            <w:vAlign w:val="bottom"/>
          </w:tcPr>
          <w:p>
            <w:pPr>
              <w:spacing w:after="0"/>
              <w:rPr>
                <w:sz w:val="9"/>
                <w:szCs w:val="9"/>
                <w:color w:val="auto"/>
              </w:rPr>
            </w:pPr>
          </w:p>
        </w:tc>
        <w:tc>
          <w:tcPr>
            <w:tcW w:w="13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(3,149,327 )</w:t>
            </w:r>
          </w:p>
        </w:tc>
        <w:tc>
          <w:tcPr>
            <w:tcW w:w="0" w:type="dxa"/>
            <w:vAlign w:val="bottom"/>
          </w:tcPr>
          <w:p>
            <w:pPr>
              <w:spacing w:after="0"/>
              <w:rPr>
                <w:sz w:val="1"/>
                <w:szCs w:val="1"/>
                <w:color w:val="auto"/>
              </w:rPr>
            </w:pPr>
          </w:p>
        </w:tc>
      </w:tr>
      <w:tr>
        <w:trPr>
          <w:trHeight w:val="104"/>
        </w:trPr>
        <w:tc>
          <w:tcPr>
            <w:tcW w:w="730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Total Liabilities, Common Stock Subject to Possible Redemption and</w:t>
            </w:r>
          </w:p>
        </w:tc>
        <w:tc>
          <w:tcPr>
            <w:tcW w:w="1000" w:type="dxa"/>
            <w:vAlign w:val="bottom"/>
            <w:vMerge w:val="restart"/>
            <w:shd w:val="clear" w:color="auto" w:fill="CFF0FC"/>
          </w:tcPr>
          <w:p>
            <w:pPr>
              <w:jc w:val="right"/>
              <w:ind w:right="894"/>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7"/>
              </w:rPr>
              <w:t>25,417,917</w:t>
            </w:r>
          </w:p>
        </w:tc>
        <w:tc>
          <w:tcPr>
            <w:tcW w:w="260" w:type="dxa"/>
            <w:vAlign w:val="bottom"/>
            <w:shd w:val="clear" w:color="auto" w:fill="CFF0FC"/>
          </w:tcPr>
          <w:p>
            <w:pPr>
              <w:spacing w:after="0"/>
              <w:rPr>
                <w:sz w:val="9"/>
                <w:szCs w:val="9"/>
                <w:color w:val="auto"/>
              </w:rPr>
            </w:pPr>
          </w:p>
        </w:tc>
        <w:tc>
          <w:tcPr>
            <w:tcW w:w="280" w:type="dxa"/>
            <w:vAlign w:val="bottom"/>
            <w:vMerge w:val="restart"/>
            <w:shd w:val="clear" w:color="auto" w:fill="CFF0FC"/>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151,084,445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7300" w:type="dxa"/>
            <w:vAlign w:val="bottom"/>
            <w:tcBorders>
              <w:bottom w:val="single" w:sz="8" w:color="CFF0FC"/>
            </w:tcBorders>
            <w:shd w:val="clear" w:color="auto" w:fill="CFF0FC"/>
          </w:tcPr>
          <w:p>
            <w:pPr>
              <w:ind w:left="80"/>
              <w:spacing w:after="0" w:line="79" w:lineRule="exact"/>
              <w:rPr>
                <w:sz w:val="20"/>
                <w:szCs w:val="20"/>
                <w:color w:val="auto"/>
              </w:rPr>
            </w:pPr>
            <w:r>
              <w:rPr>
                <w:rFonts w:ascii="Times New Roman" w:cs="Times New Roman" w:eastAsia="Times New Roman" w:hAnsi="Times New Roman"/>
                <w:sz w:val="9"/>
                <w:szCs w:val="9"/>
                <w:b w:val="1"/>
                <w:bCs w:val="1"/>
                <w:color w:val="auto"/>
              </w:rPr>
              <w:t>Stockholders’ Deficit</w:t>
            </w:r>
          </w:p>
        </w:tc>
        <w:tc>
          <w:tcPr>
            <w:tcW w:w="1000" w:type="dxa"/>
            <w:vAlign w:val="bottom"/>
            <w:tcBorders>
              <w:bottom w:val="single" w:sz="8" w:color="auto"/>
            </w:tcBorders>
            <w:vMerge w:val="continue"/>
            <w:shd w:val="clear" w:color="auto" w:fill="CFF0FC"/>
          </w:tcPr>
          <w:p>
            <w:pPr>
              <w:spacing w:after="0"/>
              <w:rPr>
                <w:sz w:val="8"/>
                <w:szCs w:val="8"/>
                <w:color w:val="auto"/>
              </w:rPr>
            </w:pPr>
          </w:p>
        </w:tc>
        <w:tc>
          <w:tcPr>
            <w:tcW w:w="480" w:type="dxa"/>
            <w:vAlign w:val="bottom"/>
            <w:tcBorders>
              <w:bottom w:val="single" w:sz="8" w:color="auto"/>
            </w:tcBorders>
            <w:vMerge w:val="continue"/>
            <w:shd w:val="clear" w:color="auto" w:fill="CFF0FC"/>
          </w:tcPr>
          <w:p>
            <w:pPr>
              <w:spacing w:after="0"/>
              <w:rPr>
                <w:sz w:val="8"/>
                <w:szCs w:val="8"/>
                <w:color w:val="auto"/>
              </w:rPr>
            </w:pPr>
          </w:p>
        </w:tc>
        <w:tc>
          <w:tcPr>
            <w:tcW w:w="260" w:type="dxa"/>
            <w:vAlign w:val="bottom"/>
            <w:tcBorders>
              <w:bottom w:val="single" w:sz="8" w:color="CFF0FC"/>
            </w:tcBorders>
            <w:shd w:val="clear" w:color="auto" w:fill="CFF0FC"/>
          </w:tcPr>
          <w:p>
            <w:pPr>
              <w:spacing w:after="0"/>
              <w:rPr>
                <w:sz w:val="8"/>
                <w:szCs w:val="8"/>
                <w:color w:val="auto"/>
              </w:rPr>
            </w:pPr>
          </w:p>
        </w:tc>
        <w:tc>
          <w:tcPr>
            <w:tcW w:w="280" w:type="dxa"/>
            <w:vAlign w:val="bottom"/>
            <w:tcBorders>
              <w:bottom w:val="single" w:sz="8" w:color="auto"/>
            </w:tcBorders>
            <w:vMerge w:val="continue"/>
            <w:shd w:val="clear" w:color="auto" w:fill="CFF0FC"/>
          </w:tcPr>
          <w:p>
            <w:pPr>
              <w:spacing w:after="0"/>
              <w:rPr>
                <w:sz w:val="8"/>
                <w:szCs w:val="8"/>
                <w:color w:val="auto"/>
              </w:rPr>
            </w:pPr>
          </w:p>
        </w:tc>
        <w:tc>
          <w:tcPr>
            <w:tcW w:w="1200" w:type="dxa"/>
            <w:vAlign w:val="bottom"/>
            <w:tcBorders>
              <w:bottom w:val="single" w:sz="8" w:color="auto"/>
            </w:tcBorders>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7" w:name="page268"/>
    <w:bookmarkEnd w:id="267"/>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300" w:type="dxa"/>
            <w:vAlign w:val="bottom"/>
          </w:tcPr>
          <w:p>
            <w:pPr>
              <w:spacing w:after="0"/>
              <w:rPr>
                <w:sz w:val="9"/>
                <w:szCs w:val="9"/>
                <w:color w:val="auto"/>
              </w:rPr>
            </w:pPr>
          </w:p>
        </w:tc>
        <w:tc>
          <w:tcPr>
            <w:tcW w:w="900" w:type="dxa"/>
            <w:vAlign w:val="bottom"/>
            <w:vMerge w:val="restart"/>
          </w:tcPr>
          <w:p>
            <w:pPr>
              <w:jc w:val="right"/>
              <w:ind w:right="33"/>
              <w:spacing w:after="0"/>
              <w:rPr>
                <w:sz w:val="20"/>
                <w:szCs w:val="20"/>
                <w:color w:val="auto"/>
              </w:rPr>
            </w:pPr>
            <w:r>
              <w:rPr>
                <w:rFonts w:ascii="Times New Roman" w:cs="Times New Roman" w:eastAsia="Times New Roman" w:hAnsi="Times New Roman"/>
                <w:sz w:val="8"/>
                <w:szCs w:val="8"/>
                <w:b w:val="1"/>
                <w:bCs w:val="1"/>
                <w:color w:val="auto"/>
              </w:rPr>
              <w:t>2023</w:t>
            </w:r>
          </w:p>
        </w:tc>
        <w:tc>
          <w:tcPr>
            <w:tcW w:w="1420" w:type="dxa"/>
            <w:vAlign w:val="bottom"/>
            <w:gridSpan w:val="3"/>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00" w:type="dxa"/>
            <w:vAlign w:val="bottom"/>
            <w:vMerge w:val="restart"/>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3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Formation and operating costs</w:t>
            </w:r>
          </w:p>
        </w:tc>
        <w:tc>
          <w:tcPr>
            <w:tcW w:w="900" w:type="dxa"/>
            <w:vAlign w:val="bottom"/>
            <w:shd w:val="clear" w:color="auto" w:fill="CFF0FC"/>
          </w:tcPr>
          <w:p>
            <w:pPr>
              <w:jc w:val="right"/>
              <w:ind w:right="79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2,570,872</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4,391,263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90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Loss from operations</w:t>
            </w:r>
          </w:p>
        </w:tc>
        <w:tc>
          <w:tcPr>
            <w:tcW w:w="900" w:type="dxa"/>
            <w:vAlign w:val="bottom"/>
            <w:shd w:val="clear" w:color="auto" w:fill="CFF0FC"/>
          </w:tcPr>
          <w:p>
            <w:pPr>
              <w:spacing w:after="0"/>
              <w:rPr>
                <w:sz w:val="9"/>
                <w:szCs w:val="9"/>
                <w:color w:val="auto"/>
              </w:rPr>
            </w:pPr>
          </w:p>
        </w:tc>
        <w:tc>
          <w:tcPr>
            <w:tcW w:w="840" w:type="dxa"/>
            <w:vAlign w:val="bottom"/>
            <w:gridSpan w:val="2"/>
            <w:shd w:val="clear" w:color="auto" w:fill="CFF0FC"/>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(2,789,126 )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(4,503,115 )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Other income</w:t>
            </w: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Trust interest income</w:t>
            </w:r>
          </w:p>
        </w:tc>
        <w:tc>
          <w:tcPr>
            <w:tcW w:w="9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3,084,260</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1,025,942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Total other income</w:t>
            </w:r>
          </w:p>
        </w:tc>
        <w:tc>
          <w:tcPr>
            <w:tcW w:w="90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3,084,260</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1,025,942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Income (loss) before income tax provision</w:t>
            </w:r>
          </w:p>
        </w:tc>
        <w:tc>
          <w:tcPr>
            <w:tcW w:w="9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295,134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(3,477,173 )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provision</w:t>
            </w:r>
          </w:p>
        </w:tc>
        <w:tc>
          <w:tcPr>
            <w:tcW w:w="900" w:type="dxa"/>
            <w:vAlign w:val="bottom"/>
          </w:tcPr>
          <w:p>
            <w:pPr>
              <w:spacing w:after="0"/>
              <w:rPr>
                <w:sz w:val="9"/>
                <w:szCs w:val="9"/>
                <w:color w:val="auto"/>
              </w:rPr>
            </w:pPr>
          </w:p>
        </w:tc>
        <w:tc>
          <w:tcPr>
            <w:tcW w:w="840" w:type="dxa"/>
            <w:vAlign w:val="bottom"/>
            <w:gridSpan w:val="2"/>
          </w:tcPr>
          <w:p>
            <w:pPr>
              <w:jc w:val="right"/>
              <w:ind w:right="183"/>
              <w:spacing w:after="0" w:line="113" w:lineRule="exact"/>
              <w:rPr>
                <w:sz w:val="20"/>
                <w:szCs w:val="20"/>
                <w:color w:val="auto"/>
              </w:rPr>
            </w:pPr>
            <w:r>
              <w:rPr>
                <w:rFonts w:ascii="Times New Roman" w:cs="Times New Roman" w:eastAsia="Times New Roman" w:hAnsi="Times New Roman"/>
                <w:sz w:val="10"/>
                <w:szCs w:val="10"/>
                <w:color w:val="auto"/>
              </w:rPr>
              <w:t>(615,284 )</w:t>
            </w:r>
          </w:p>
        </w:tc>
        <w:tc>
          <w:tcPr>
            <w:tcW w:w="580" w:type="dxa"/>
            <w:vAlign w:val="bottom"/>
          </w:tcPr>
          <w:p>
            <w:pPr>
              <w:spacing w:after="0"/>
              <w:rPr>
                <w:sz w:val="9"/>
                <w:szCs w:val="9"/>
                <w:color w:val="auto"/>
              </w:rPr>
            </w:pPr>
          </w:p>
        </w:tc>
        <w:tc>
          <w:tcPr>
            <w:tcW w:w="1000" w:type="dxa"/>
            <w:vAlign w:val="bottom"/>
            <w:gridSpan w:val="2"/>
          </w:tcPr>
          <w:p>
            <w:pPr>
              <w:jc w:val="right"/>
              <w:ind w:right="23"/>
              <w:spacing w:after="0" w:line="113" w:lineRule="exact"/>
              <w:rPr>
                <w:sz w:val="20"/>
                <w:szCs w:val="20"/>
                <w:color w:val="auto"/>
              </w:rPr>
            </w:pPr>
            <w:r>
              <w:rPr>
                <w:rFonts w:ascii="Times New Roman" w:cs="Times New Roman" w:eastAsia="Times New Roman" w:hAnsi="Times New Roman"/>
                <w:sz w:val="10"/>
                <w:szCs w:val="10"/>
                <w:color w:val="auto"/>
              </w:rPr>
              <w:t>(145,621 )</w:t>
            </w:r>
          </w:p>
        </w:tc>
        <w:tc>
          <w:tcPr>
            <w:tcW w:w="0" w:type="dxa"/>
            <w:vAlign w:val="bottom"/>
          </w:tcPr>
          <w:p>
            <w:pPr>
              <w:spacing w:after="0"/>
              <w:rPr>
                <w:sz w:val="1"/>
                <w:szCs w:val="1"/>
                <w:color w:val="auto"/>
              </w:rPr>
            </w:pPr>
          </w:p>
        </w:tc>
      </w:tr>
      <w:tr>
        <w:trPr>
          <w:trHeight w:val="115"/>
        </w:trPr>
        <w:tc>
          <w:tcPr>
            <w:tcW w:w="730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900" w:type="dxa"/>
            <w:vAlign w:val="bottom"/>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83"/>
              <w:spacing w:after="0" w:line="93" w:lineRule="exact"/>
              <w:rPr>
                <w:sz w:val="20"/>
                <w:szCs w:val="20"/>
                <w:color w:val="auto"/>
              </w:rPr>
            </w:pPr>
            <w:r>
              <w:rPr>
                <w:rFonts w:ascii="Times New Roman" w:cs="Times New Roman" w:eastAsia="Times New Roman" w:hAnsi="Times New Roman"/>
                <w:sz w:val="6"/>
                <w:szCs w:val="6"/>
                <w:color w:val="auto"/>
              </w:rPr>
              <w:t xml:space="preserve">(320,150 </w:t>
            </w:r>
            <w:r>
              <w:rPr>
                <w:rFonts w:ascii="Times New Roman" w:cs="Times New Roman" w:eastAsia="Times New Roman" w:hAnsi="Times New Roman"/>
                <w:sz w:val="10"/>
                <w:szCs w:val="10"/>
                <w:color w:val="auto"/>
                <w:vertAlign w:val="subscript"/>
              </w:rPr>
              <w:t>)</w:t>
            </w:r>
          </w:p>
        </w:tc>
        <w:tc>
          <w:tcPr>
            <w:tcW w:w="580" w:type="dxa"/>
            <w:vAlign w:val="bottom"/>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FF0FC"/>
          </w:tcPr>
          <w:p>
            <w:pPr>
              <w:jc w:val="right"/>
              <w:ind w:right="23"/>
              <w:spacing w:after="0" w:line="93" w:lineRule="exact"/>
              <w:rPr>
                <w:sz w:val="20"/>
                <w:szCs w:val="20"/>
                <w:color w:val="auto"/>
              </w:rPr>
            </w:pPr>
            <w:r>
              <w:rPr>
                <w:rFonts w:ascii="Times New Roman" w:cs="Times New Roman" w:eastAsia="Times New Roman" w:hAnsi="Times New Roman"/>
                <w:sz w:val="6"/>
                <w:szCs w:val="6"/>
                <w:color w:val="auto"/>
              </w:rPr>
              <w:t xml:space="preserve">(3,622,794 </w:t>
            </w:r>
            <w:r>
              <w:rPr>
                <w:rFonts w:ascii="Times New Roman" w:cs="Times New Roman" w:eastAsia="Times New Roman" w:hAnsi="Times New Roman"/>
                <w:sz w:val="10"/>
                <w:szCs w:val="10"/>
                <w:color w:val="auto"/>
                <w:vertAlign w:val="subscript"/>
              </w:rPr>
              <w:t>)</w:t>
            </w:r>
          </w:p>
        </w:tc>
        <w:tc>
          <w:tcPr>
            <w:tcW w:w="0" w:type="dxa"/>
            <w:vAlign w:val="bottom"/>
          </w:tcPr>
          <w:p>
            <w:pPr>
              <w:spacing w:after="0"/>
              <w:rPr>
                <w:sz w:val="1"/>
                <w:szCs w:val="1"/>
                <w:color w:val="auto"/>
              </w:rPr>
            </w:pPr>
          </w:p>
        </w:tc>
      </w:tr>
      <w:tr>
        <w:trPr>
          <w:trHeight w:val="106"/>
        </w:trPr>
        <w:tc>
          <w:tcPr>
            <w:tcW w:w="730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0"/>
                <w:szCs w:val="10"/>
                <w:color w:val="auto"/>
              </w:rPr>
              <w:t>Basic and diluted weighted average shares outstanding, common stock subject to</w:t>
            </w:r>
          </w:p>
        </w:tc>
        <w:tc>
          <w:tcPr>
            <w:tcW w:w="9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7,259,013</w:t>
            </w:r>
          </w:p>
        </w:tc>
        <w:tc>
          <w:tcPr>
            <w:tcW w:w="26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color w:val="auto"/>
              </w:rPr>
              <w:t>15,000,000</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300" w:type="dxa"/>
            <w:vAlign w:val="bottom"/>
          </w:tcPr>
          <w:p>
            <w:pPr>
              <w:ind w:left="80"/>
              <w:spacing w:after="0" w:line="77" w:lineRule="exact"/>
              <w:rPr>
                <w:sz w:val="20"/>
                <w:szCs w:val="20"/>
                <w:color w:val="auto"/>
              </w:rPr>
            </w:pPr>
            <w:r>
              <w:rPr>
                <w:rFonts w:ascii="Times New Roman" w:cs="Times New Roman" w:eastAsia="Times New Roman" w:hAnsi="Times New Roman"/>
                <w:sz w:val="7"/>
                <w:szCs w:val="7"/>
                <w:color w:val="auto"/>
              </w:rPr>
              <w:t>possible redemption</w:t>
            </w:r>
          </w:p>
        </w:tc>
        <w:tc>
          <w:tcPr>
            <w:tcW w:w="9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00" w:type="dxa"/>
            <w:vAlign w:val="bottom"/>
            <w:tcBorders>
              <w:bottom w:val="single" w:sz="8" w:color="auto"/>
            </w:tcBorders>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(0.02</w:t>
            </w:r>
          </w:p>
        </w:tc>
        <w:tc>
          <w:tcPr>
            <w:tcW w:w="260" w:type="dxa"/>
            <w:vAlign w:val="bottom"/>
            <w:tcBorders>
              <w:bottom w:val="single" w:sz="8" w:color="CFF0FC"/>
            </w:tcBorders>
            <w:shd w:val="clear" w:color="auto" w:fill="CFF0FC"/>
          </w:tcPr>
          <w:p>
            <w:pPr>
              <w:jc w:val="right"/>
              <w:ind w:right="18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80" w:type="dxa"/>
            <w:vAlign w:val="bottom"/>
            <w:tcBorders>
              <w:bottom w:val="single" w:sz="8" w:color="auto"/>
            </w:tcBorders>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Basic and diluted weighted average shares outstanding, non-redeemable common stock</w:t>
            </w:r>
          </w:p>
        </w:tc>
        <w:tc>
          <w:tcPr>
            <w:tcW w:w="9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Basic and diluted net loss per share</w:t>
            </w:r>
          </w:p>
        </w:tc>
        <w:tc>
          <w:tcPr>
            <w:tcW w:w="900" w:type="dxa"/>
            <w:vAlign w:val="bottom"/>
            <w:tcBorders>
              <w:bottom w:val="single" w:sz="8" w:color="auto"/>
            </w:tcBorders>
            <w:shd w:val="clear" w:color="auto" w:fill="CFF0FC"/>
          </w:tcPr>
          <w:p>
            <w:pPr>
              <w:jc w:val="right"/>
              <w:ind w:right="793"/>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(0.02</w:t>
            </w:r>
          </w:p>
        </w:tc>
        <w:tc>
          <w:tcPr>
            <w:tcW w:w="260" w:type="dxa"/>
            <w:vAlign w:val="bottom"/>
            <w:tcBorders>
              <w:bottom w:val="single" w:sz="8" w:color="CFF0FC"/>
            </w:tcBorders>
            <w:shd w:val="clear" w:color="auto" w:fill="CFF0FC"/>
          </w:tcPr>
          <w:p>
            <w:pPr>
              <w:jc w:val="right"/>
              <w:ind w:right="18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580" w:type="dxa"/>
            <w:vAlign w:val="bottom"/>
            <w:tcBorders>
              <w:bottom w:val="single" w:sz="8" w:color="auto"/>
            </w:tcBorders>
            <w:shd w:val="clear" w:color="auto" w:fill="CFF0FC"/>
          </w:tcPr>
          <w:p>
            <w:pPr>
              <w:jc w:val="right"/>
              <w:ind w:right="4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(0.17</w:t>
            </w:r>
          </w:p>
        </w:tc>
        <w:tc>
          <w:tcPr>
            <w:tcW w:w="100" w:type="dxa"/>
            <w:vAlign w:val="bottom"/>
            <w:tcBorders>
              <w:bottom w:val="single" w:sz="8" w:color="CFF0FC"/>
            </w:tcBorders>
            <w:shd w:val="clear" w:color="auto" w:fill="CFF0FC"/>
          </w:tcPr>
          <w:p>
            <w:pPr>
              <w:jc w:val="right"/>
              <w:ind w:right="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STATEMENTS OF CHANGES IN STOCKHOLDERS’ EQUITY (DEFICIT)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4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8"/>
        </w:trPr>
        <w:tc>
          <w:tcPr>
            <w:tcW w:w="4440" w:type="dxa"/>
            <w:vAlign w:val="bottom"/>
          </w:tcPr>
          <w:p>
            <w:pPr>
              <w:spacing w:after="0"/>
              <w:rPr>
                <w:sz w:val="8"/>
                <w:szCs w:val="8"/>
                <w:color w:val="auto"/>
              </w:rPr>
            </w:pPr>
          </w:p>
        </w:tc>
        <w:tc>
          <w:tcPr>
            <w:tcW w:w="1540" w:type="dxa"/>
            <w:vAlign w:val="bottom"/>
            <w:gridSpan w:val="3"/>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80" w:type="dxa"/>
            <w:vAlign w:val="bottom"/>
          </w:tcPr>
          <w:p>
            <w:pPr>
              <w:spacing w:after="0"/>
              <w:rPr>
                <w:sz w:val="8"/>
                <w:szCs w:val="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60" w:type="dxa"/>
            <w:vAlign w:val="bottom"/>
          </w:tcPr>
          <w:p>
            <w:pPr>
              <w:spacing w:after="0"/>
              <w:rPr>
                <w:sz w:val="8"/>
                <w:szCs w:val="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6"/>
        </w:trPr>
        <w:tc>
          <w:tcPr>
            <w:tcW w:w="4440" w:type="dxa"/>
            <w:vAlign w:val="bottom"/>
          </w:tcPr>
          <w:p>
            <w:pPr>
              <w:spacing w:after="0"/>
              <w:rPr>
                <w:sz w:val="9"/>
                <w:szCs w:val="9"/>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260" w:type="dxa"/>
            <w:vAlign w:val="bottom"/>
          </w:tcPr>
          <w:p>
            <w:pPr>
              <w:spacing w:after="0"/>
              <w:rPr>
                <w:sz w:val="9"/>
                <w:szCs w:val="9"/>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8"/>
                <w:szCs w:val="8"/>
                <w:b w:val="1"/>
                <w:bCs w:val="1"/>
                <w:color w:val="auto"/>
              </w:rPr>
              <w:t>Amount</w:t>
            </w:r>
          </w:p>
        </w:tc>
        <w:tc>
          <w:tcPr>
            <w:tcW w:w="180" w:type="dxa"/>
            <w:vAlign w:val="bottom"/>
          </w:tcPr>
          <w:p>
            <w:pPr>
              <w:spacing w:after="0"/>
              <w:rPr>
                <w:sz w:val="9"/>
                <w:szCs w:val="9"/>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80" w:type="dxa"/>
            <w:vAlign w:val="bottom"/>
          </w:tcPr>
          <w:p>
            <w:pPr>
              <w:spacing w:after="0"/>
              <w:rPr>
                <w:sz w:val="9"/>
                <w:szCs w:val="9"/>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60" w:type="dxa"/>
            <w:vAlign w:val="bottom"/>
          </w:tcPr>
          <w:p>
            <w:pPr>
              <w:spacing w:after="0"/>
              <w:rPr>
                <w:sz w:val="9"/>
                <w:szCs w:val="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Equity (Deficit)</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2021</w:t>
            </w:r>
          </w:p>
        </w:tc>
        <w:tc>
          <w:tcPr>
            <w:tcW w:w="10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6,834,500</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683</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1,378,693</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(468,899 )</w:t>
            </w:r>
          </w:p>
        </w:tc>
        <w:tc>
          <w:tcPr>
            <w:tcW w:w="1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910,477</w:t>
            </w:r>
          </w:p>
        </w:tc>
        <w:tc>
          <w:tcPr>
            <w:tcW w:w="100" w:type="dxa"/>
            <w:vAlign w:val="bottom"/>
            <w:shd w:val="clear" w:color="auto" w:fill="CFF0FC"/>
          </w:tcPr>
          <w:p>
            <w:pPr>
              <w:spacing w:after="0"/>
              <w:rPr>
                <w:sz w:val="9"/>
                <w:szCs w:val="9"/>
                <w:color w:val="auto"/>
              </w:rPr>
            </w:pP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Forfeiture of founder shares</w:t>
            </w:r>
          </w:p>
        </w:tc>
        <w:tc>
          <w:tcPr>
            <w:tcW w:w="12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(1,125,000 )</w:t>
            </w:r>
          </w:p>
        </w:tc>
        <w:tc>
          <w:tcPr>
            <w:tcW w:w="260" w:type="dxa"/>
            <w:vAlign w:val="bottom"/>
          </w:tcPr>
          <w:p>
            <w:pPr>
              <w:spacing w:after="0"/>
              <w:rPr>
                <w:sz w:val="9"/>
                <w:szCs w:val="9"/>
                <w:color w:val="auto"/>
              </w:rPr>
            </w:pPr>
          </w:p>
        </w:tc>
        <w:tc>
          <w:tcPr>
            <w:tcW w:w="98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(113 )</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04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9"/>
                <w:szCs w:val="9"/>
                <w:color w:val="auto"/>
              </w:rPr>
            </w:pPr>
          </w:p>
        </w:tc>
      </w:tr>
      <w:tr>
        <w:trPr>
          <w:trHeight w:val="106"/>
        </w:trPr>
        <w:tc>
          <w:tcPr>
            <w:tcW w:w="444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(548,862 )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(548,862 )</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(3,622,794 )</w:t>
            </w:r>
          </w:p>
        </w:tc>
        <w:tc>
          <w:tcPr>
            <w:tcW w:w="16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(3,622,794 )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Balance as of September 30, 2022</w:t>
            </w:r>
          </w:p>
        </w:tc>
        <w:tc>
          <w:tcPr>
            <w:tcW w:w="10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tcPr>
          <w:p>
            <w:pPr>
              <w:spacing w:after="0"/>
              <w:rPr>
                <w:sz w:val="9"/>
                <w:szCs w:val="9"/>
                <w:color w:val="auto"/>
              </w:rPr>
            </w:pPr>
          </w:p>
        </w:tc>
        <w:tc>
          <w:tcPr>
            <w:tcW w:w="260" w:type="dxa"/>
            <w:vAlign w:val="bottom"/>
          </w:tcPr>
          <w:p>
            <w:pPr>
              <w:jc w:val="right"/>
              <w:ind w:right="1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tcPr>
          <w:p>
            <w:pPr>
              <w:spacing w:after="0"/>
              <w:rPr>
                <w:sz w:val="9"/>
                <w:szCs w:val="9"/>
                <w:color w:val="auto"/>
              </w:rPr>
            </w:pPr>
          </w:p>
        </w:tc>
        <w:tc>
          <w:tcPr>
            <w:tcW w:w="180" w:type="dxa"/>
            <w:vAlign w:val="bottom"/>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941,796</w:t>
            </w:r>
          </w:p>
        </w:tc>
        <w:tc>
          <w:tcPr>
            <w:tcW w:w="200" w:type="dxa"/>
            <w:vAlign w:val="bottom"/>
          </w:tcPr>
          <w:p>
            <w:pPr>
              <w:spacing w:after="0"/>
              <w:rPr>
                <w:sz w:val="9"/>
                <w:szCs w:val="9"/>
                <w:color w:val="auto"/>
              </w:rPr>
            </w:pPr>
          </w:p>
        </w:tc>
        <w:tc>
          <w:tcPr>
            <w:tcW w:w="180" w:type="dxa"/>
            <w:vAlign w:val="bottom"/>
          </w:tcPr>
          <w:p>
            <w:pPr>
              <w:jc w:val="right"/>
              <w:ind w:right="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b w:val="1"/>
                <w:bCs w:val="1"/>
                <w:color w:val="auto"/>
              </w:rPr>
              <w:t>(4,091,693 )</w:t>
            </w:r>
          </w:p>
        </w:tc>
        <w:tc>
          <w:tcPr>
            <w:tcW w:w="160" w:type="dxa"/>
            <w:vAlign w:val="bottom"/>
          </w:tcPr>
          <w:p>
            <w:pPr>
              <w:jc w:val="right"/>
              <w:ind w:right="5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(3,149,327 )</w:t>
            </w:r>
          </w:p>
        </w:tc>
      </w:tr>
      <w:tr>
        <w:trPr>
          <w:trHeight w:val="106"/>
        </w:trPr>
        <w:tc>
          <w:tcPr>
            <w:tcW w:w="44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Capital contribution made by Sponsor related to</w:t>
            </w: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the stockholder non-redemption agreements</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1,102,909</w:t>
            </w:r>
          </w:p>
        </w:tc>
        <w:tc>
          <w:tcPr>
            <w:tcW w:w="100" w:type="dxa"/>
            <w:vAlign w:val="bottom"/>
            <w:shd w:val="clear" w:color="auto" w:fill="CFF0FC"/>
          </w:tcPr>
          <w:p>
            <w:pPr>
              <w:spacing w:after="0"/>
              <w:rPr>
                <w:sz w:val="10"/>
                <w:szCs w:val="10"/>
                <w:color w:val="auto"/>
              </w:rPr>
            </w:pPr>
          </w:p>
        </w:tc>
      </w:tr>
      <w:tr>
        <w:trPr>
          <w:trHeight w:val="106"/>
        </w:trPr>
        <w:tc>
          <w:tcPr>
            <w:tcW w:w="4440" w:type="dxa"/>
            <w:vAlign w:val="bottom"/>
          </w:tcPr>
          <w:p>
            <w:pPr>
              <w:spacing w:after="0" w:line="106" w:lineRule="exact"/>
              <w:rPr>
                <w:sz w:val="20"/>
                <w:szCs w:val="20"/>
                <w:color w:val="auto"/>
              </w:rPr>
            </w:pPr>
            <w:r>
              <w:rPr>
                <w:rFonts w:ascii="Times New Roman" w:cs="Times New Roman" w:eastAsia="Times New Roman" w:hAnsi="Times New Roman"/>
                <w:sz w:val="10"/>
                <w:szCs w:val="10"/>
                <w:color w:val="auto"/>
              </w:rPr>
              <w:t>Cost of raising capital related to the stockholder</w:t>
            </w: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9"/>
        </w:trPr>
        <w:tc>
          <w:tcPr>
            <w:tcW w:w="44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non-redemption agreements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0"/>
                <w:szCs w:val="1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(1,102,909 )</w:t>
            </w:r>
          </w:p>
        </w:tc>
        <w:tc>
          <w:tcPr>
            <w:tcW w:w="180" w:type="dxa"/>
            <w:vAlign w:val="bottom"/>
          </w:tcPr>
          <w:p>
            <w:pPr>
              <w:spacing w:after="0"/>
              <w:rPr>
                <w:sz w:val="10"/>
                <w:szCs w:val="1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(1,102,909 )</w:t>
            </w:r>
          </w:p>
        </w:tc>
      </w:tr>
      <w:tr>
        <w:trPr>
          <w:trHeight w:val="113"/>
        </w:trPr>
        <w:tc>
          <w:tcPr>
            <w:tcW w:w="444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on redemptions</w:t>
            </w:r>
          </w:p>
        </w:tc>
        <w:tc>
          <w:tcPr>
            <w:tcW w:w="128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9"/>
                <w:szCs w:val="9"/>
                <w:color w:val="auto"/>
              </w:rPr>
            </w:pPr>
          </w:p>
        </w:tc>
        <w:tc>
          <w:tcPr>
            <w:tcW w:w="980" w:type="dxa"/>
            <w:vAlign w:val="bottom"/>
            <w:gridSpan w:val="2"/>
            <w:shd w:val="clear" w:color="auto" w:fill="CFF0FC"/>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(1,160,050 )</w:t>
            </w:r>
          </w:p>
        </w:tc>
        <w:tc>
          <w:tcPr>
            <w:tcW w:w="180" w:type="dxa"/>
            <w:vAlign w:val="bottom"/>
            <w:shd w:val="clear" w:color="auto" w:fill="CFF0FC"/>
          </w:tcPr>
          <w:p>
            <w:pPr>
              <w:spacing w:after="0"/>
              <w:rPr>
                <w:sz w:val="9"/>
                <w:szCs w:val="9"/>
                <w:color w:val="auto"/>
              </w:rPr>
            </w:pPr>
          </w:p>
        </w:tc>
        <w:tc>
          <w:tcPr>
            <w:tcW w:w="1060" w:type="dxa"/>
            <w:vAlign w:val="bottom"/>
            <w:gridSpan w:val="2"/>
            <w:shd w:val="clear" w:color="auto" w:fill="CFF0FC"/>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(131,701 )</w:t>
            </w:r>
          </w:p>
        </w:tc>
        <w:tc>
          <w:tcPr>
            <w:tcW w:w="160" w:type="dxa"/>
            <w:vAlign w:val="bottom"/>
            <w:shd w:val="clear" w:color="auto" w:fill="CFF0FC"/>
          </w:tcPr>
          <w:p>
            <w:pPr>
              <w:spacing w:after="0"/>
              <w:rPr>
                <w:sz w:val="9"/>
                <w:szCs w:val="9"/>
                <w:color w:val="auto"/>
              </w:rPr>
            </w:pPr>
          </w:p>
        </w:tc>
        <w:tc>
          <w:tcPr>
            <w:tcW w:w="104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(1,291,751 )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12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100" w:type="dxa"/>
            <w:vAlign w:val="bottom"/>
          </w:tcPr>
          <w:p>
            <w:pPr>
              <w:spacing w:after="0"/>
              <w:rPr>
                <w:sz w:val="9"/>
                <w:szCs w:val="9"/>
                <w:color w:val="auto"/>
              </w:rPr>
            </w:pPr>
          </w:p>
        </w:tc>
      </w:tr>
      <w:tr>
        <w:trPr>
          <w:trHeight w:val="106"/>
        </w:trPr>
        <w:tc>
          <w:tcPr>
            <w:tcW w:w="444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common stock</w:t>
            </w: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19"/>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subject to possible redemption</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0"/>
                <w:szCs w:val="10"/>
                <w:color w:val="auto"/>
              </w:rPr>
              <w:t>(3,943,038 )</w:t>
            </w:r>
          </w:p>
        </w:tc>
        <w:tc>
          <w:tcPr>
            <w:tcW w:w="16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(3,943,038 )</w:t>
            </w:r>
          </w:p>
        </w:tc>
      </w:tr>
      <w:tr>
        <w:trPr>
          <w:trHeight w:val="113"/>
        </w:trPr>
        <w:tc>
          <w:tcPr>
            <w:tcW w:w="444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128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9"/>
                <w:szCs w:val="9"/>
                <w:color w:val="auto"/>
              </w:rPr>
            </w:pPr>
          </w:p>
        </w:tc>
        <w:tc>
          <w:tcPr>
            <w:tcW w:w="980" w:type="dxa"/>
            <w:vAlign w:val="bottom"/>
            <w:gridSpan w:val="2"/>
          </w:tcPr>
          <w:p>
            <w:pPr>
              <w:jc w:val="right"/>
              <w:ind w:right="24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4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06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0"/>
                <w:szCs w:val="10"/>
                <w:color w:val="auto"/>
              </w:rPr>
              <w:t>(320,150 )</w:t>
            </w:r>
          </w:p>
        </w:tc>
        <w:tc>
          <w:tcPr>
            <w:tcW w:w="160" w:type="dxa"/>
            <w:vAlign w:val="bottom"/>
          </w:tcPr>
          <w:p>
            <w:pPr>
              <w:spacing w:after="0"/>
              <w:rPr>
                <w:sz w:val="9"/>
                <w:szCs w:val="9"/>
                <w:color w:val="auto"/>
              </w:rPr>
            </w:pPr>
          </w:p>
        </w:tc>
        <w:tc>
          <w:tcPr>
            <w:tcW w:w="104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(320,150 )</w:t>
            </w:r>
          </w:p>
        </w:tc>
      </w:tr>
      <w:tr>
        <w:trPr>
          <w:trHeight w:val="113"/>
        </w:trPr>
        <w:tc>
          <w:tcPr>
            <w:tcW w:w="4440" w:type="dxa"/>
            <w:vAlign w:val="bottom"/>
            <w:shd w:val="clear" w:color="auto" w:fill="CFF0FC"/>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Balance as of September 30, 2023</w:t>
            </w:r>
          </w:p>
        </w:tc>
        <w:tc>
          <w:tcPr>
            <w:tcW w:w="10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5,709,500</w:t>
            </w:r>
          </w:p>
        </w:tc>
        <w:tc>
          <w:tcPr>
            <w:tcW w:w="220" w:type="dxa"/>
            <w:vAlign w:val="bottom"/>
            <w:shd w:val="clear" w:color="auto" w:fill="CFF0FC"/>
          </w:tcPr>
          <w:p>
            <w:pPr>
              <w:spacing w:after="0"/>
              <w:rPr>
                <w:sz w:val="9"/>
                <w:szCs w:val="9"/>
                <w:color w:val="auto"/>
              </w:rPr>
            </w:pPr>
          </w:p>
        </w:tc>
        <w:tc>
          <w:tcPr>
            <w:tcW w:w="260" w:type="dxa"/>
            <w:vAlign w:val="bottom"/>
            <w:shd w:val="clear" w:color="auto" w:fill="CFF0FC"/>
          </w:tcPr>
          <w:p>
            <w:pPr>
              <w:jc w:val="right"/>
              <w:ind w:right="1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570</w:t>
            </w: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shd w:val="clear" w:color="auto" w:fill="CFF0FC"/>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FF0FC"/>
          </w:tcPr>
          <w:p>
            <w:pPr>
              <w:spacing w:after="0"/>
              <w:rPr>
                <w:sz w:val="9"/>
                <w:szCs w:val="9"/>
                <w:color w:val="auto"/>
              </w:rPr>
            </w:pPr>
          </w:p>
        </w:tc>
        <w:tc>
          <w:tcPr>
            <w:tcW w:w="180" w:type="dxa"/>
            <w:vAlign w:val="bottom"/>
            <w:shd w:val="clear" w:color="auto" w:fill="CFF0FC"/>
          </w:tcPr>
          <w:p>
            <w:pPr>
              <w:jc w:val="right"/>
              <w:ind w:right="7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18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(8,486,582 </w:t>
            </w:r>
            <w:r>
              <w:rPr>
                <w:rFonts w:ascii="Times New Roman" w:cs="Times New Roman" w:eastAsia="Times New Roman" w:hAnsi="Times New Roman"/>
                <w:sz w:val="10"/>
                <w:szCs w:val="10"/>
                <w:b w:val="1"/>
                <w:bCs w:val="1"/>
                <w:color w:val="auto"/>
                <w:vertAlign w:val="subscript"/>
              </w:rPr>
              <w:t>)</w:t>
            </w:r>
          </w:p>
        </w:tc>
        <w:tc>
          <w:tcPr>
            <w:tcW w:w="160" w:type="dxa"/>
            <w:vAlign w:val="bottom"/>
            <w:shd w:val="clear" w:color="auto" w:fill="CFF0FC"/>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1040" w:type="dxa"/>
            <w:vAlign w:val="bottom"/>
            <w:gridSpan w:val="2"/>
            <w:shd w:val="clear" w:color="auto" w:fill="CFF0FC"/>
          </w:tcPr>
          <w:p>
            <w:pPr>
              <w:jc w:val="right"/>
              <w:ind w:right="60"/>
              <w:spacing w:after="0" w:line="93" w:lineRule="exact"/>
              <w:rPr>
                <w:sz w:val="20"/>
                <w:szCs w:val="20"/>
                <w:color w:val="auto"/>
              </w:rPr>
            </w:pPr>
            <w:r>
              <w:rPr>
                <w:rFonts w:ascii="Times New Roman" w:cs="Times New Roman" w:eastAsia="Times New Roman" w:hAnsi="Times New Roman"/>
                <w:sz w:val="6"/>
                <w:szCs w:val="6"/>
                <w:b w:val="1"/>
                <w:bCs w:val="1"/>
                <w:color w:val="auto"/>
              </w:rPr>
              <w:t xml:space="preserve">(8,486,012 </w:t>
            </w:r>
            <w:r>
              <w:rPr>
                <w:rFonts w:ascii="Times New Roman" w:cs="Times New Roman" w:eastAsia="Times New Roman" w:hAnsi="Times New Roman"/>
                <w:sz w:val="10"/>
                <w:szCs w:val="10"/>
                <w:b w:val="1"/>
                <w:bCs w:val="1"/>
                <w:color w:val="auto"/>
                <w:vertAlign w:val="subscript"/>
              </w:rPr>
              <w:t>)</w:t>
            </w:r>
          </w:p>
        </w:tc>
      </w:tr>
      <w:tr>
        <w:trPr>
          <w:trHeight w:val="23"/>
        </w:trPr>
        <w:tc>
          <w:tcPr>
            <w:tcW w:w="44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69" w:name="page270"/>
    <w:bookmarkEnd w:id="269"/>
    <w:p>
      <w:pPr>
        <w:ind w:left="4540"/>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0"/>
          <w:szCs w:val="10"/>
          <w:b w:val="1"/>
          <w:bCs w:val="1"/>
          <w:color w:val="auto"/>
        </w:rPr>
        <w:t>STATEMENTS OF CASH FLOWS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7300" w:type="dxa"/>
            <w:vAlign w:val="bottom"/>
          </w:tcPr>
          <w:p>
            <w:pPr>
              <w:spacing w:after="0"/>
              <w:rPr>
                <w:sz w:val="9"/>
                <w:szCs w:val="9"/>
                <w:color w:val="auto"/>
              </w:rPr>
            </w:pPr>
          </w:p>
        </w:tc>
        <w:tc>
          <w:tcPr>
            <w:tcW w:w="880" w:type="dxa"/>
            <w:vAlign w:val="bottom"/>
            <w:vMerge w:val="restart"/>
          </w:tcPr>
          <w:p>
            <w:pPr>
              <w:jc w:val="right"/>
              <w:ind w:right="13"/>
              <w:spacing w:after="0"/>
              <w:rPr>
                <w:sz w:val="20"/>
                <w:szCs w:val="20"/>
                <w:color w:val="auto"/>
              </w:rPr>
            </w:pPr>
            <w:r>
              <w:rPr>
                <w:rFonts w:ascii="Times New Roman" w:cs="Times New Roman" w:eastAsia="Times New Roman" w:hAnsi="Times New Roman"/>
                <w:sz w:val="8"/>
                <w:szCs w:val="8"/>
                <w:b w:val="1"/>
                <w:bCs w:val="1"/>
                <w:color w:val="auto"/>
              </w:rPr>
              <w:t>2023</w:t>
            </w:r>
          </w:p>
        </w:tc>
        <w:tc>
          <w:tcPr>
            <w:tcW w:w="1440" w:type="dxa"/>
            <w:vAlign w:val="bottom"/>
            <w:gridSpan w:val="3"/>
          </w:tcPr>
          <w:p>
            <w:pPr>
              <w:jc w:val="right"/>
              <w:ind w:right="51"/>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900" w:type="dxa"/>
            <w:vAlign w:val="bottom"/>
            <w:vMerge w:val="restart"/>
          </w:tcPr>
          <w:p>
            <w:pPr>
              <w:jc w:val="right"/>
              <w:ind w:right="612"/>
              <w:spacing w:after="0"/>
              <w:rPr>
                <w:sz w:val="20"/>
                <w:szCs w:val="20"/>
                <w:color w:val="auto"/>
              </w:rPr>
            </w:pPr>
            <w:r>
              <w:rPr>
                <w:rFonts w:ascii="Times New Roman" w:cs="Times New Roman" w:eastAsia="Times New Roman" w:hAnsi="Times New Roman"/>
                <w:sz w:val="8"/>
                <w:szCs w:val="8"/>
                <w:b w:val="1"/>
                <w:bCs w:val="1"/>
                <w:color w:val="auto"/>
              </w:rPr>
              <w:t>2022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(320,150 )</w:t>
            </w:r>
          </w:p>
        </w:tc>
        <w:tc>
          <w:tcPr>
            <w:tcW w:w="580" w:type="dxa"/>
            <w:vAlign w:val="bottom"/>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(3,622,794 )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Interest earned on cash and marketable securities held in Trust Account</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(3,084,260 )</w:t>
            </w:r>
          </w:p>
        </w:tc>
        <w:tc>
          <w:tcPr>
            <w:tcW w:w="5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(1,025,942 )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218,254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111,852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Changes in current assets and liabilities:</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Prepaid expenses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28,337</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398,920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Accounts payable</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1,570,515</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2,954,179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Franchise tax payable</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(137,900 )</w:t>
            </w: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124,329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Income tax payable</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(134,838 )</w:t>
            </w: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used in operating activities</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(1,860,042 )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(913,835 )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Cash Flows from Investing Activities:</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for redemptions of common stock</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Withdrawals from Trust Account to pay for taxes</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1,071,864</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182,069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Extension deposits in Trust Account</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(1,641,801 )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investing activities</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128,605,157</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182,069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Flows from Financing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from issuance of Promissory Notes to Related Party</w:t>
            </w:r>
          </w:p>
        </w:tc>
        <w:tc>
          <w:tcPr>
            <w:tcW w:w="880" w:type="dxa"/>
            <w:vAlign w:val="bottom"/>
          </w:tcPr>
          <w:p>
            <w:pPr>
              <w:spacing w:after="0"/>
              <w:rPr>
                <w:sz w:val="9"/>
                <w:szCs w:val="9"/>
                <w:color w:val="auto"/>
              </w:rPr>
            </w:pPr>
          </w:p>
        </w:tc>
        <w:tc>
          <w:tcPr>
            <w:tcW w:w="6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2,316,985</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483,034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Repayment of Promissory Notes to Related Party</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(4,300 )</w:t>
            </w:r>
          </w:p>
        </w:tc>
        <w:tc>
          <w:tcPr>
            <w:tcW w:w="580" w:type="dxa"/>
            <w:vAlign w:val="bottom"/>
            <w:shd w:val="clear" w:color="auto" w:fill="CFF0FC"/>
          </w:tcPr>
          <w:p>
            <w:pPr>
              <w:spacing w:after="0"/>
              <w:rPr>
                <w:sz w:val="9"/>
                <w:szCs w:val="9"/>
                <w:color w:val="auto"/>
              </w:rPr>
            </w:pPr>
          </w:p>
        </w:tc>
        <w:tc>
          <w:tcPr>
            <w:tcW w:w="1000" w:type="dxa"/>
            <w:vAlign w:val="bottom"/>
            <w:gridSpan w:val="2"/>
            <w:shd w:val="clear" w:color="auto" w:fill="CFF0FC"/>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(231,280 )</w:t>
            </w: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Redemptions of common stock</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color w:val="auto"/>
              </w:rPr>
              <w:t>(129,175,094 )</w:t>
            </w:r>
          </w:p>
        </w:tc>
        <w:tc>
          <w:tcPr>
            <w:tcW w:w="580" w:type="dxa"/>
            <w:vAlign w:val="bottom"/>
          </w:tcPr>
          <w:p>
            <w:pPr>
              <w:spacing w:after="0"/>
              <w:rPr>
                <w:sz w:val="9"/>
                <w:szCs w:val="9"/>
                <w:color w:val="auto"/>
              </w:rPr>
            </w:pPr>
          </w:p>
        </w:tc>
        <w:tc>
          <w:tcPr>
            <w:tcW w:w="1000" w:type="dxa"/>
            <w:vAlign w:val="bottom"/>
            <w:gridSpan w:val="2"/>
          </w:tcPr>
          <w:p>
            <w:pPr>
              <w:jc w:val="right"/>
              <w:ind w:right="100"/>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88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(126,862,409 )</w:t>
            </w: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251,754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Net change in cash</w:t>
            </w:r>
          </w:p>
        </w:tc>
        <w:tc>
          <w:tcPr>
            <w:tcW w:w="880" w:type="dxa"/>
            <w:vAlign w:val="bottom"/>
          </w:tcPr>
          <w:p>
            <w:pPr>
              <w:spacing w:after="0"/>
              <w:rPr>
                <w:sz w:val="9"/>
                <w:szCs w:val="9"/>
                <w:color w:val="auto"/>
              </w:rPr>
            </w:pPr>
          </w:p>
        </w:tc>
        <w:tc>
          <w:tcPr>
            <w:tcW w:w="86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0"/>
                <w:szCs w:val="10"/>
                <w:b w:val="1"/>
                <w:bCs w:val="1"/>
                <w:color w:val="auto"/>
              </w:rPr>
              <w:t>(117,294 )</w:t>
            </w:r>
          </w:p>
        </w:tc>
        <w:tc>
          <w:tcPr>
            <w:tcW w:w="580" w:type="dxa"/>
            <w:vAlign w:val="bottom"/>
          </w:tcPr>
          <w:p>
            <w:pPr>
              <w:spacing w:after="0"/>
              <w:rPr>
                <w:sz w:val="9"/>
                <w:szCs w:val="9"/>
                <w:color w:val="auto"/>
              </w:rPr>
            </w:pPr>
          </w:p>
        </w:tc>
        <w:tc>
          <w:tcPr>
            <w:tcW w:w="1000" w:type="dxa"/>
            <w:vAlign w:val="bottom"/>
            <w:gridSpan w:val="2"/>
          </w:tcPr>
          <w:p>
            <w:pPr>
              <w:jc w:val="right"/>
              <w:ind w:right="60"/>
              <w:spacing w:after="0" w:line="113" w:lineRule="exact"/>
              <w:rPr>
                <w:sz w:val="20"/>
                <w:szCs w:val="20"/>
                <w:color w:val="auto"/>
              </w:rPr>
            </w:pPr>
            <w:r>
              <w:rPr>
                <w:rFonts w:ascii="Times New Roman" w:cs="Times New Roman" w:eastAsia="Times New Roman" w:hAnsi="Times New Roman"/>
                <w:sz w:val="10"/>
                <w:szCs w:val="10"/>
                <w:b w:val="1"/>
                <w:bCs w:val="1"/>
                <w:color w:val="auto"/>
              </w:rPr>
              <w:t>(480,012 )</w:t>
            </w: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Cash, beginning of the period</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177,578</w:t>
            </w: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657,590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Cash, end of the period</w:t>
            </w:r>
          </w:p>
        </w:tc>
        <w:tc>
          <w:tcPr>
            <w:tcW w:w="880" w:type="dxa"/>
            <w:vAlign w:val="bottom"/>
            <w:tcBorders>
              <w:bottom w:val="single" w:sz="8" w:color="auto"/>
            </w:tcBorders>
          </w:tcPr>
          <w:p>
            <w:pPr>
              <w:jc w:val="right"/>
              <w:ind w:right="773"/>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60,284</w:t>
            </w:r>
          </w:p>
        </w:tc>
        <w:tc>
          <w:tcPr>
            <w:tcW w:w="260" w:type="dxa"/>
            <w:vAlign w:val="bottom"/>
          </w:tcPr>
          <w:p>
            <w:pPr>
              <w:spacing w:after="0"/>
              <w:rPr>
                <w:sz w:val="10"/>
                <w:szCs w:val="10"/>
                <w:color w:val="auto"/>
              </w:rPr>
            </w:pPr>
          </w:p>
        </w:tc>
        <w:tc>
          <w:tcPr>
            <w:tcW w:w="580" w:type="dxa"/>
            <w:vAlign w:val="bottom"/>
            <w:tcBorders>
              <w:bottom w:val="single" w:sz="8" w:color="auto"/>
            </w:tcBorders>
          </w:tcPr>
          <w:p>
            <w:pPr>
              <w:jc w:val="right"/>
              <w:ind w:right="471"/>
              <w:spacing w:after="0" w:line="113"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177,578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Supplemental disclosure of noncash investing and financing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730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common stock subject to possible redemption</w:t>
            </w:r>
          </w:p>
        </w:tc>
        <w:tc>
          <w:tcPr>
            <w:tcW w:w="880" w:type="dxa"/>
            <w:vAlign w:val="bottom"/>
            <w:tcBorders>
              <w:bottom w:val="single" w:sz="8" w:color="auto"/>
            </w:tcBorders>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3,943,038</w:t>
            </w:r>
          </w:p>
        </w:tc>
        <w:tc>
          <w:tcPr>
            <w:tcW w:w="260" w:type="dxa"/>
            <w:vAlign w:val="bottom"/>
          </w:tcPr>
          <w:p>
            <w:pPr>
              <w:spacing w:after="0"/>
              <w:rPr>
                <w:sz w:val="10"/>
                <w:szCs w:val="10"/>
                <w:color w:val="auto"/>
              </w:rPr>
            </w:pPr>
          </w:p>
        </w:tc>
        <w:tc>
          <w:tcPr>
            <w:tcW w:w="580" w:type="dxa"/>
            <w:vAlign w:val="bottom"/>
            <w:tcBorders>
              <w:bottom w:val="single" w:sz="8" w:color="auto"/>
            </w:tcBorders>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0"/>
                <w:szCs w:val="10"/>
                <w:color w:val="auto"/>
              </w:rPr>
              <w:t>548,862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300" w:type="dxa"/>
            <w:vAlign w:val="bottom"/>
            <w:tcBorders>
              <w:bottom w:val="single" w:sz="8" w:color="CFF0FC"/>
            </w:tcBorders>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Excise tax on redemptions</w:t>
            </w:r>
          </w:p>
        </w:tc>
        <w:tc>
          <w:tcPr>
            <w:tcW w:w="880" w:type="dxa"/>
            <w:vAlign w:val="bottom"/>
            <w:tcBorders>
              <w:bottom w:val="single" w:sz="8" w:color="auto"/>
            </w:tcBorders>
            <w:shd w:val="clear" w:color="auto" w:fill="CFF0FC"/>
          </w:tcPr>
          <w:p>
            <w:pPr>
              <w:jc w:val="right"/>
              <w:ind w:right="773"/>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1,291,751</w:t>
            </w:r>
          </w:p>
        </w:tc>
        <w:tc>
          <w:tcPr>
            <w:tcW w:w="260" w:type="dxa"/>
            <w:vAlign w:val="bottom"/>
            <w:tcBorders>
              <w:bottom w:val="single" w:sz="8" w:color="CFF0FC"/>
            </w:tcBorders>
            <w:shd w:val="clear" w:color="auto" w:fill="CFF0FC"/>
          </w:tcPr>
          <w:p>
            <w:pPr>
              <w:spacing w:after="0"/>
              <w:rPr>
                <w:sz w:val="10"/>
                <w:szCs w:val="10"/>
                <w:color w:val="auto"/>
              </w:rPr>
            </w:pPr>
          </w:p>
        </w:tc>
        <w:tc>
          <w:tcPr>
            <w:tcW w:w="580" w:type="dxa"/>
            <w:vAlign w:val="bottom"/>
            <w:tcBorders>
              <w:bottom w:val="single" w:sz="8" w:color="auto"/>
            </w:tcBorders>
            <w:shd w:val="clear" w:color="auto" w:fill="CFF0FC"/>
          </w:tcPr>
          <w:p>
            <w:pPr>
              <w:jc w:val="right"/>
              <w:ind w:right="4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The accompanying notes are an integral part of these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0"/>
          <w:szCs w:val="10"/>
          <w:b w:val="1"/>
          <w:bCs w:val="1"/>
          <w:color w:val="auto"/>
        </w:rPr>
        <w:t>ARMADA ACQUISITION CORP.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NOTES TO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Note–1 - Organization, Business Operations and Going Concern</w:t>
      </w:r>
    </w:p>
    <w:p>
      <w:pPr>
        <w:spacing w:after="0" w:line="60" w:lineRule="exact"/>
        <w:rPr>
          <w:sz w:val="20"/>
          <w:szCs w:val="20"/>
          <w:color w:val="auto"/>
        </w:rPr>
      </w:pPr>
    </w:p>
    <w:p>
      <w:pPr>
        <w:ind w:right="60" w:firstLine="480"/>
        <w:spacing w:after="0" w:line="285" w:lineRule="auto"/>
        <w:rPr>
          <w:sz w:val="20"/>
          <w:szCs w:val="20"/>
          <w:color w:val="auto"/>
        </w:rPr>
      </w:pPr>
      <w:r>
        <w:rPr>
          <w:rFonts w:ascii="Times New Roman" w:cs="Times New Roman" w:eastAsia="Times New Roman" w:hAnsi="Times New Roman"/>
          <w:sz w:val="9"/>
          <w:szCs w:val="9"/>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89"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sponsor is Armada Sponsor LLC (the “Sponsor”).</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registration statement for the Company’s IPO was declared effective on August 12, 2021 (the “Effective Date”). On August 17, 2021, the Company commenced the IPO of 15,000,000 units at $10.00 per unit (the “Units”).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Simultaneously with the consummation of the IPO, the Company consummated the private placement of 459,500 shares of common stock (“Private Shares”) at a price of $10.00 per share for an aggregate purchase price of $4,595,000.</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Transaction costs amounted to $3,537,515, consisting of $1,500,000 of underwriting commissions, and $2,037,515 of other offering costs.</w:t>
      </w:r>
    </w:p>
    <w:p>
      <w:pPr>
        <w:spacing w:after="0" w:line="118" w:lineRule="exact"/>
        <w:rPr>
          <w:sz w:val="20"/>
          <w:szCs w:val="20"/>
          <w:color w:val="auto"/>
        </w:rPr>
      </w:pPr>
    </w:p>
    <w:p>
      <w:pPr>
        <w:ind w:firstLine="480"/>
        <w:spacing w:after="0" w:line="238" w:lineRule="auto"/>
        <w:rPr>
          <w:sz w:val="20"/>
          <w:szCs w:val="20"/>
          <w:color w:val="auto"/>
        </w:rPr>
      </w:pPr>
      <w:r>
        <w:rPr>
          <w:rFonts w:ascii="Times New Roman" w:cs="Times New Roman" w:eastAsia="Times New Roman" w:hAnsi="Times New Roman"/>
          <w:sz w:val="10"/>
          <w:szCs w:val="10"/>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2a- 7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0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01" w:lineRule="exact"/>
        <w:rPr>
          <w:sz w:val="20"/>
          <w:szCs w:val="20"/>
          <w:color w:val="auto"/>
        </w:rPr>
      </w:pPr>
    </w:p>
    <w:p>
      <w:pPr>
        <w:ind w:right="60" w:firstLine="480"/>
        <w:spacing w:after="0" w:line="245" w:lineRule="auto"/>
        <w:rPr>
          <w:sz w:val="20"/>
          <w:szCs w:val="20"/>
          <w:color w:val="auto"/>
        </w:rPr>
      </w:pPr>
      <w:r>
        <w:rPr>
          <w:rFonts w:ascii="Times New Roman" w:cs="Times New Roman" w:eastAsia="Times New Roman" w:hAnsi="Times New Roman"/>
          <w:sz w:val="10"/>
          <w:szCs w:val="10"/>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05"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71" w:name="page272"/>
    <w:bookmarkEnd w:id="271"/>
    <w:p>
      <w:pPr>
        <w:spacing w:after="0" w:line="245" w:lineRule="auto"/>
        <w:rPr>
          <w:sz w:val="20"/>
          <w:szCs w:val="20"/>
          <w:color w:val="auto"/>
        </w:rPr>
      </w:pPr>
      <w:r>
        <w:rPr>
          <w:rFonts w:ascii="Times New Roman" w:cs="Times New Roman" w:eastAsia="Times New Roman" w:hAnsi="Times New Roman"/>
          <w:sz w:val="10"/>
          <w:szCs w:val="10"/>
          <w:color w:val="auto"/>
        </w:rPr>
        <w:t>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08" w:lineRule="exact"/>
        <w:rPr>
          <w:sz w:val="20"/>
          <w:szCs w:val="20"/>
          <w:color w:val="auto"/>
        </w:rPr>
      </w:pPr>
    </w:p>
    <w:p>
      <w:pPr>
        <w:ind w:right="20" w:firstLine="480"/>
        <w:spacing w:after="0" w:line="237" w:lineRule="auto"/>
        <w:rPr>
          <w:sz w:val="20"/>
          <w:szCs w:val="20"/>
          <w:color w:val="auto"/>
        </w:rPr>
      </w:pPr>
      <w:r>
        <w:rPr>
          <w:rFonts w:ascii="Times New Roman" w:cs="Times New Roman" w:eastAsia="Times New Roman" w:hAnsi="Times New Roman"/>
          <w:sz w:val="10"/>
          <w:szCs w:val="10"/>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for six monthly periods or until no later than February 17, 2024. On August 8, 2023, the Company deposited $70,900 into the Trust Account thereby extending the Combination Period until September 17, 2023, and on each of September 8, 2023, October 11, 2023 and November 9, 2023, the Company deposited $70,900 into the Trust Account thereby extending the Combination Period for three additional months or until December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11" w:lineRule="exact"/>
        <w:rPr>
          <w:sz w:val="20"/>
          <w:szCs w:val="20"/>
          <w:color w:val="auto"/>
        </w:rPr>
      </w:pPr>
    </w:p>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05"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10" w:lineRule="exact"/>
        <w:rPr>
          <w:sz w:val="20"/>
          <w:szCs w:val="20"/>
          <w:color w:val="auto"/>
        </w:rPr>
      </w:pPr>
    </w:p>
    <w:p>
      <w:pPr>
        <w:jc w:val="both"/>
        <w:ind w:right="60" w:firstLine="480"/>
        <w:spacing w:after="0" w:line="245" w:lineRule="auto"/>
        <w:rPr>
          <w:sz w:val="20"/>
          <w:szCs w:val="20"/>
          <w:color w:val="auto"/>
        </w:rPr>
      </w:pPr>
      <w:r>
        <w:rPr>
          <w:rFonts w:ascii="Times New Roman" w:cs="Times New Roman" w:eastAsia="Times New Roman" w:hAnsi="Times New Roman"/>
          <w:sz w:val="10"/>
          <w:szCs w:val="10"/>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05"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0"/>
          <w:szCs w:val="10"/>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2" w:name="page273"/>
    <w:bookmarkEnd w:id="272"/>
    <w:p>
      <w:pPr>
        <w:ind w:right="320"/>
        <w:spacing w:after="0" w:line="255" w:lineRule="auto"/>
        <w:rPr>
          <w:sz w:val="20"/>
          <w:szCs w:val="20"/>
          <w:color w:val="auto"/>
        </w:rPr>
      </w:pPr>
      <w:r>
        <w:rPr>
          <w:rFonts w:ascii="Times New Roman" w:cs="Times New Roman" w:eastAsia="Times New Roman" w:hAnsi="Times New Roman"/>
          <w:sz w:val="10"/>
          <w:szCs w:val="10"/>
          <w:color w:val="auto"/>
        </w:rPr>
        <w:t>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01" w:lineRule="exact"/>
        <w:rPr>
          <w:sz w:val="20"/>
          <w:szCs w:val="20"/>
          <w:color w:val="auto"/>
        </w:rPr>
      </w:pPr>
    </w:p>
    <w:p>
      <w:pPr>
        <w:ind w:right="60" w:firstLine="480"/>
        <w:spacing w:after="0" w:line="241" w:lineRule="auto"/>
        <w:rPr>
          <w:sz w:val="20"/>
          <w:szCs w:val="20"/>
          <w:color w:val="auto"/>
        </w:rPr>
      </w:pPr>
      <w:r>
        <w:rPr>
          <w:rFonts w:ascii="Times New Roman" w:cs="Times New Roman" w:eastAsia="Times New Roman" w:hAnsi="Times New Roman"/>
          <w:sz w:val="10"/>
          <w:szCs w:val="10"/>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08"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9"/>
          <w:szCs w:val="9"/>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 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96"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89"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1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01"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0"/>
          <w:szCs w:val="10"/>
          <w:color w:val="auto"/>
        </w:rPr>
        <w:t>9, 2023 the Company borrowed $70,900 under the Extension Note on each such date and deposited the funds into the Trust Account thereby extending the Combination Period for three additional months or until December 17, 2023.</w:t>
      </w:r>
    </w:p>
    <w:p>
      <w:pPr>
        <w:spacing w:after="0" w:line="118" w:lineRule="exact"/>
        <w:rPr>
          <w:sz w:val="20"/>
          <w:szCs w:val="20"/>
          <w:color w:val="auto"/>
        </w:rPr>
      </w:pPr>
    </w:p>
    <w:p>
      <w:pPr>
        <w:ind w:right="240" w:firstLine="480"/>
        <w:spacing w:after="0" w:line="255" w:lineRule="auto"/>
        <w:rPr>
          <w:sz w:val="20"/>
          <w:szCs w:val="20"/>
          <w:color w:val="auto"/>
        </w:rPr>
      </w:pPr>
      <w:r>
        <w:rPr>
          <w:rFonts w:ascii="Times New Roman" w:cs="Times New Roman" w:eastAsia="Times New Roman" w:hAnsi="Times New Roman"/>
          <w:sz w:val="10"/>
          <w:szCs w:val="10"/>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Liquidity and Going Concern</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2023, the Company had approximately $60,000 of cash in its bank operating account and a working capital deficiency of approximately $8.5 million (excluding income tax payable and franchise tax payable).</w:t>
      </w:r>
    </w:p>
    <w:p>
      <w:pPr>
        <w:spacing w:after="0" w:line="118" w:lineRule="exact"/>
        <w:rPr>
          <w:sz w:val="20"/>
          <w:szCs w:val="20"/>
          <w:color w:val="auto"/>
        </w:rPr>
      </w:pPr>
    </w:p>
    <w:p>
      <w:pPr>
        <w:ind w:right="120" w:firstLine="480"/>
        <w:spacing w:after="0" w:line="255" w:lineRule="auto"/>
        <w:rPr>
          <w:sz w:val="20"/>
          <w:szCs w:val="20"/>
          <w:color w:val="auto"/>
        </w:rPr>
      </w:pPr>
      <w:r>
        <w:rPr>
          <w:rFonts w:ascii="Times New Roman" w:cs="Times New Roman" w:eastAsia="Times New Roman" w:hAnsi="Times New Roman"/>
          <w:sz w:val="10"/>
          <w:szCs w:val="10"/>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18" w:lineRule="exact"/>
        <w:rPr>
          <w:sz w:val="20"/>
          <w:szCs w:val="20"/>
          <w:color w:val="auto"/>
        </w:rPr>
      </w:pPr>
    </w:p>
    <w:p>
      <w:pPr>
        <w:ind w:right="80" w:firstLine="480"/>
        <w:spacing w:after="0" w:line="241" w:lineRule="auto"/>
        <w:rPr>
          <w:sz w:val="20"/>
          <w:szCs w:val="20"/>
          <w:color w:val="auto"/>
        </w:rPr>
      </w:pPr>
      <w:r>
        <w:rPr>
          <w:rFonts w:ascii="Times New Roman" w:cs="Times New Roman" w:eastAsia="Times New Roman" w:hAnsi="Times New Roman"/>
          <w:sz w:val="10"/>
          <w:szCs w:val="10"/>
          <w:color w:val="auto"/>
        </w:rPr>
        <w:t>In connection with the Company’s assessment of going concern considerations in accordance with the Financial Accounting Standards Board’s (“FASB”) Accounting Standards Update (“ASU”) 2014 -15,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Risks and Uncertainties</w:t>
      </w:r>
    </w:p>
    <w:p>
      <w:pPr>
        <w:spacing w:after="0" w:line="60"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Inflation Reduction Act of 2022</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0"/>
          <w:szCs w:val="10"/>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60"/>
          </w:cols>
          <w:pgMar w:left="640" w:top="1155" w:right="600" w:bottom="1440" w:gutter="0" w:footer="0" w:header="0"/>
        </w:sectPr>
      </w:pPr>
    </w:p>
    <w:bookmarkStart w:id="274" w:name="page275"/>
    <w:bookmarkEnd w:id="274"/>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08" w:lineRule="exact"/>
        <w:rPr>
          <w:sz w:val="20"/>
          <w:szCs w:val="20"/>
          <w:color w:val="auto"/>
        </w:rPr>
      </w:pPr>
    </w:p>
    <w:p>
      <w:pPr>
        <w:ind w:right="20" w:firstLine="480"/>
        <w:spacing w:after="0" w:line="241" w:lineRule="auto"/>
        <w:rPr>
          <w:sz w:val="20"/>
          <w:szCs w:val="20"/>
          <w:color w:val="auto"/>
        </w:rPr>
      </w:pPr>
      <w:r>
        <w:rPr>
          <w:rFonts w:ascii="Times New Roman" w:cs="Times New Roman" w:eastAsia="Times New Roman" w:hAnsi="Times New Roman"/>
          <w:sz w:val="10"/>
          <w:szCs w:val="10"/>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2 - Significant Accounting Policies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Basis of Presentation</w:t>
      </w:r>
    </w:p>
    <w:p>
      <w:pPr>
        <w:spacing w:after="0" w:line="60" w:lineRule="exact"/>
        <w:rPr>
          <w:sz w:val="20"/>
          <w:szCs w:val="20"/>
          <w:color w:val="auto"/>
        </w:rPr>
      </w:pPr>
    </w:p>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Emerging Growth Company Status</w:t>
      </w:r>
    </w:p>
    <w:p>
      <w:pPr>
        <w:spacing w:after="0" w:line="60" w:lineRule="exact"/>
        <w:rPr>
          <w:sz w:val="20"/>
          <w:szCs w:val="20"/>
          <w:color w:val="auto"/>
        </w:rPr>
      </w:pPr>
    </w:p>
    <w:p>
      <w:pPr>
        <w:ind w:right="120" w:firstLine="480"/>
        <w:spacing w:after="0" w:line="241" w:lineRule="auto"/>
        <w:rPr>
          <w:sz w:val="20"/>
          <w:szCs w:val="20"/>
          <w:color w:val="auto"/>
        </w:rPr>
      </w:pPr>
      <w:r>
        <w:rPr>
          <w:rFonts w:ascii="Times New Roman" w:cs="Times New Roman" w:eastAsia="Times New Roman" w:hAnsi="Times New Roman"/>
          <w:sz w:val="10"/>
          <w:szCs w:val="10"/>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9"/>
          <w:szCs w:val="9"/>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Use of Estimates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0"/>
          <w:szCs w:val="10"/>
          <w:b w:val="1"/>
          <w:bCs w:val="1"/>
          <w:i w:val="1"/>
          <w:iCs w:val="1"/>
          <w:color w:val="auto"/>
        </w:rPr>
        <w:t>Cash</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Investments Held in Trust Account</w:t>
      </w:r>
    </w:p>
    <w:p>
      <w:pPr>
        <w:spacing w:after="0" w:line="60" w:lineRule="exact"/>
        <w:rPr>
          <w:sz w:val="20"/>
          <w:szCs w:val="20"/>
          <w:color w:val="auto"/>
        </w:rPr>
      </w:pPr>
    </w:p>
    <w:p>
      <w:pPr>
        <w:ind w:right="160" w:firstLine="480"/>
        <w:spacing w:after="0" w:line="245" w:lineRule="auto"/>
        <w:rPr>
          <w:sz w:val="20"/>
          <w:szCs w:val="20"/>
          <w:color w:val="auto"/>
        </w:rPr>
      </w:pPr>
      <w:r>
        <w:rPr>
          <w:rFonts w:ascii="Times New Roman" w:cs="Times New Roman" w:eastAsia="Times New Roman" w:hAnsi="Times New Roman"/>
          <w:sz w:val="10"/>
          <w:szCs w:val="10"/>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As of September 30, 2022, the assets held in the Trust Account were held in U.S. Treasury Bills with a maturity of 185 days or less.</w:t>
      </w:r>
    </w:p>
    <w:p>
      <w:pPr>
        <w:spacing w:after="0" w:line="118" w:lineRule="exact"/>
        <w:rPr>
          <w:sz w:val="20"/>
          <w:szCs w:val="20"/>
          <w:color w:val="auto"/>
        </w:rPr>
      </w:pPr>
    </w:p>
    <w:p>
      <w:pPr>
        <w:ind w:right="40" w:firstLine="480"/>
        <w:spacing w:after="0" w:line="255" w:lineRule="auto"/>
        <w:rPr>
          <w:sz w:val="20"/>
          <w:szCs w:val="20"/>
          <w:color w:val="auto"/>
        </w:rPr>
      </w:pPr>
      <w:r>
        <w:rPr>
          <w:rFonts w:ascii="Times New Roman" w:cs="Times New Roman" w:eastAsia="Times New Roman" w:hAnsi="Times New Roman"/>
          <w:sz w:val="10"/>
          <w:szCs w:val="10"/>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01" w:lineRule="exact"/>
        <w:rPr>
          <w:sz w:val="20"/>
          <w:szCs w:val="20"/>
          <w:color w:val="auto"/>
        </w:rPr>
      </w:pPr>
    </w:p>
    <w:p>
      <w:pPr>
        <w:ind w:right="40" w:firstLine="480"/>
        <w:spacing w:after="0" w:line="241" w:lineRule="auto"/>
        <w:rPr>
          <w:sz w:val="20"/>
          <w:szCs w:val="20"/>
          <w:color w:val="auto"/>
        </w:rPr>
      </w:pPr>
      <w:r>
        <w:rPr>
          <w:rFonts w:ascii="Times New Roman" w:cs="Times New Roman" w:eastAsia="Times New Roman" w:hAnsi="Times New Roman"/>
          <w:sz w:val="10"/>
          <w:szCs w:val="10"/>
          <w:color w:val="auto"/>
        </w:rPr>
        <w:t>A decline in the market value of held-to- 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0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Fair Value Measurements</w:t>
      </w:r>
    </w:p>
    <w:p>
      <w:pPr>
        <w:spacing w:after="0" w:line="60" w:lineRule="exact"/>
        <w:rPr>
          <w:sz w:val="20"/>
          <w:szCs w:val="20"/>
          <w:color w:val="auto"/>
        </w:rPr>
      </w:pPr>
    </w:p>
    <w:p>
      <w:pPr>
        <w:ind w:right="60" w:firstLine="480"/>
        <w:spacing w:after="0" w:line="310" w:lineRule="auto"/>
        <w:rPr>
          <w:sz w:val="20"/>
          <w:szCs w:val="20"/>
          <w:color w:val="auto"/>
        </w:rPr>
      </w:pPr>
      <w:r>
        <w:rPr>
          <w:rFonts w:ascii="Times New Roman" w:cs="Times New Roman" w:eastAsia="Times New Roman" w:hAnsi="Times New Roman"/>
          <w:sz w:val="9"/>
          <w:szCs w:val="9"/>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•Level 1, defined as observable inputs such as quoted prices (unadjusted) for identical instruments in active markets;</w:t>
      </w:r>
    </w:p>
    <w:p>
      <w:pPr>
        <w:spacing w:after="0" w:line="58" w:lineRule="exact"/>
        <w:rPr>
          <w:sz w:val="20"/>
          <w:szCs w:val="20"/>
          <w:color w:val="auto"/>
        </w:rPr>
      </w:pPr>
    </w:p>
    <w:p>
      <w:pPr>
        <w:ind w:left="480" w:right="260"/>
        <w:spacing w:after="0" w:line="255" w:lineRule="auto"/>
        <w:rPr>
          <w:sz w:val="20"/>
          <w:szCs w:val="20"/>
          <w:color w:val="auto"/>
        </w:rPr>
      </w:pPr>
      <w:r>
        <w:rPr>
          <w:rFonts w:ascii="Times New Roman" w:cs="Times New Roman" w:eastAsia="Times New Roman" w:hAnsi="Times New Roman"/>
          <w:sz w:val="10"/>
          <w:szCs w:val="10"/>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41" w:lineRule="exact"/>
        <w:rPr>
          <w:sz w:val="20"/>
          <w:szCs w:val="20"/>
          <w:color w:val="auto"/>
        </w:rPr>
      </w:pPr>
    </w:p>
    <w:p>
      <w:pPr>
        <w:ind w:left="480" w:right="220"/>
        <w:spacing w:after="0" w:line="255" w:lineRule="auto"/>
        <w:rPr>
          <w:sz w:val="20"/>
          <w:szCs w:val="20"/>
          <w:color w:val="auto"/>
        </w:rPr>
      </w:pPr>
      <w:r>
        <w:rPr>
          <w:rFonts w:ascii="Times New Roman" w:cs="Times New Roman" w:eastAsia="Times New Roman" w:hAnsi="Times New Roman"/>
          <w:sz w:val="10"/>
          <w:szCs w:val="10"/>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1"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fair value of certain of the Company’s assets and liabilities, which qualify as financial instruments under ASC 820, “Fair Value Measurement,” approximates the carrying amounts represented in the balance sheets.</w:t>
      </w:r>
    </w:p>
    <w:p>
      <w:pPr>
        <w:spacing w:after="0" w:line="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0"/>
          <w:szCs w:val="10"/>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213" w:right="62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0"/>
          <w:szCs w:val="10"/>
          <w:b w:val="1"/>
          <w:bCs w:val="1"/>
          <w:i w:val="1"/>
          <w:iCs w:val="1"/>
          <w:color w:val="auto"/>
        </w:rPr>
        <w:t>Concentration of Credit Risk</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Offering Costs Associated with IPO</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 Subject to Possible Redemption</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1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01" w:lineRule="exact"/>
        <w:rPr>
          <w:sz w:val="20"/>
          <w:szCs w:val="20"/>
          <w:color w:val="auto"/>
        </w:rPr>
      </w:pPr>
    </w:p>
    <w:tbl>
      <w:tblPr>
        <w:tblLayout w:type="fixed"/>
        <w:tblInd w:w="480" w:type="dxa"/>
        <w:tblCellMar>
          <w:top w:w="0" w:type="dxa"/>
          <w:left w:w="0" w:type="dxa"/>
          <w:bottom w:w="0" w:type="dxa"/>
          <w:right w:w="0" w:type="dxa"/>
        </w:tblCellMar>
      </w:tblPr>
      <w:tr>
        <w:trPr>
          <w:trHeight w:val="125"/>
        </w:trPr>
        <w:tc>
          <w:tcPr>
            <w:tcW w:w="56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At September 30, 2023 and 2022, the common stock reflected in the balance sheets are reconciled in the following table:</w:t>
            </w:r>
          </w:p>
        </w:tc>
        <w:tc>
          <w:tcPr>
            <w:tcW w:w="1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52"/>
        </w:trPr>
        <w:tc>
          <w:tcPr>
            <w:tcW w:w="16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Gross Proceeds</w:t>
            </w:r>
          </w:p>
        </w:tc>
        <w:tc>
          <w:tcPr>
            <w:tcW w:w="1380" w:type="dxa"/>
            <w:vAlign w:val="bottom"/>
            <w:shd w:val="clear" w:color="auto" w:fill="CFF0FC"/>
          </w:tcPr>
          <w:p>
            <w:pPr>
              <w:jc w:val="right"/>
              <w:ind w:right="3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150,000,000</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Proceeds allocated to Public Warrants</w:t>
            </w:r>
          </w:p>
        </w:tc>
        <w:tc>
          <w:tcPr>
            <w:tcW w:w="1380" w:type="dxa"/>
            <w:vAlign w:val="bottom"/>
          </w:tcPr>
          <w:p>
            <w:pPr>
              <w:spacing w:after="0"/>
              <w:rPr>
                <w:sz w:val="9"/>
                <w:szCs w:val="9"/>
                <w:color w:val="auto"/>
              </w:rPr>
            </w:pPr>
          </w:p>
        </w:tc>
        <w:tc>
          <w:tcPr>
            <w:tcW w:w="9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(11,700,000 )</w:t>
            </w: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Issuance costs related to common stock</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(3,261,589 )</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9"/>
                <w:szCs w:val="9"/>
                <w:color w:val="auto"/>
              </w:rPr>
            </w:pPr>
          </w:p>
        </w:tc>
        <w:tc>
          <w:tcPr>
            <w:tcW w:w="98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14,961,589</w:t>
            </w:r>
          </w:p>
        </w:tc>
      </w:tr>
      <w:tr>
        <w:trPr>
          <w:trHeight w:val="106"/>
        </w:trPr>
        <w:tc>
          <w:tcPr>
            <w:tcW w:w="1640" w:type="dxa"/>
            <w:vAlign w:val="bottom"/>
          </w:tcPr>
          <w:p>
            <w:pPr>
              <w:spacing w:after="0"/>
              <w:rPr>
                <w:sz w:val="9"/>
                <w:szCs w:val="9"/>
                <w:color w:val="auto"/>
              </w:rPr>
            </w:pPr>
          </w:p>
        </w:tc>
        <w:tc>
          <w:tcPr>
            <w:tcW w:w="402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Subsequent remeasurement of carrying value to redemption</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ind w:left="80"/>
              <w:spacing w:after="0" w:line="113" w:lineRule="exact"/>
              <w:rPr>
                <w:sz w:val="20"/>
                <w:szCs w:val="20"/>
                <w:color w:val="auto"/>
              </w:rPr>
            </w:pPr>
            <w:r>
              <w:rPr>
                <w:rFonts w:ascii="Times New Roman" w:cs="Times New Roman" w:eastAsia="Times New Roman" w:hAnsi="Times New Roman"/>
                <w:sz w:val="10"/>
                <w:szCs w:val="10"/>
                <w:color w:val="auto"/>
              </w:rPr>
              <w:t>value – Trust interest income (excluding the amount</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19"/>
        </w:trPr>
        <w:tc>
          <w:tcPr>
            <w:tcW w:w="1640" w:type="dxa"/>
            <w:vAlign w:val="bottom"/>
          </w:tcPr>
          <w:p>
            <w:pPr>
              <w:spacing w:after="0"/>
              <w:rPr>
                <w:sz w:val="10"/>
                <w:szCs w:val="10"/>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color w:val="auto"/>
              </w:rPr>
              <w:t>that can be withdrawn from Trust Account for taxes)</w:t>
            </w:r>
          </w:p>
        </w:tc>
        <w:tc>
          <w:tcPr>
            <w:tcW w:w="138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color w:val="auto"/>
              </w:rPr>
              <w:t>548,862</w:t>
            </w:r>
          </w:p>
        </w:tc>
      </w:tr>
      <w:tr>
        <w:trPr>
          <w:trHeight w:val="104"/>
        </w:trPr>
        <w:tc>
          <w:tcPr>
            <w:tcW w:w="1640" w:type="dxa"/>
            <w:vAlign w:val="bottom"/>
          </w:tcPr>
          <w:p>
            <w:pPr>
              <w:spacing w:after="0"/>
              <w:rPr>
                <w:sz w:val="9"/>
                <w:szCs w:val="9"/>
                <w:color w:val="auto"/>
              </w:rPr>
            </w:pPr>
          </w:p>
        </w:tc>
        <w:tc>
          <w:tcPr>
            <w:tcW w:w="402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02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380" w:type="dxa"/>
            <w:vAlign w:val="bottom"/>
          </w:tcPr>
          <w:p>
            <w:pPr>
              <w:spacing w:after="0"/>
              <w:rPr>
                <w:sz w:val="10"/>
                <w:szCs w:val="1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150,548,862</w:t>
            </w:r>
          </w:p>
        </w:tc>
      </w:tr>
      <w:tr>
        <w:trPr>
          <w:trHeight w:val="113"/>
        </w:trPr>
        <w:tc>
          <w:tcPr>
            <w:tcW w:w="1640" w:type="dxa"/>
            <w:vAlign w:val="bottom"/>
          </w:tcPr>
          <w:p>
            <w:pPr>
              <w:spacing w:after="0"/>
              <w:rPr>
                <w:sz w:val="9"/>
                <w:szCs w:val="9"/>
                <w:color w:val="auto"/>
              </w:rPr>
            </w:pPr>
          </w:p>
        </w:tc>
        <w:tc>
          <w:tcPr>
            <w:tcW w:w="4020" w:type="dxa"/>
            <w:vAlign w:val="bottom"/>
            <w:shd w:val="clear" w:color="auto" w:fill="CFF0FC"/>
          </w:tcPr>
          <w:p>
            <w:pPr>
              <w:spacing w:after="0" w:line="113" w:lineRule="exact"/>
              <w:rPr>
                <w:sz w:val="20"/>
                <w:szCs w:val="20"/>
                <w:color w:val="auto"/>
              </w:rPr>
            </w:pPr>
            <w:r>
              <w:rPr>
                <w:rFonts w:ascii="Times New Roman" w:cs="Times New Roman" w:eastAsia="Times New Roman" w:hAnsi="Times New Roman"/>
                <w:sz w:val="10"/>
                <w:szCs w:val="10"/>
                <w:color w:val="auto"/>
              </w:rPr>
              <w:t>Redemptions</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(129,175,094 )</w:t>
            </w:r>
          </w:p>
        </w:tc>
      </w:tr>
      <w:tr>
        <w:trPr>
          <w:trHeight w:val="113"/>
        </w:trPr>
        <w:tc>
          <w:tcPr>
            <w:tcW w:w="1640" w:type="dxa"/>
            <w:vAlign w:val="bottom"/>
          </w:tcPr>
          <w:p>
            <w:pPr>
              <w:spacing w:after="0"/>
              <w:rPr>
                <w:sz w:val="9"/>
                <w:szCs w:val="9"/>
                <w:color w:val="auto"/>
              </w:rPr>
            </w:pPr>
          </w:p>
        </w:tc>
        <w:tc>
          <w:tcPr>
            <w:tcW w:w="4020" w:type="dxa"/>
            <w:vAlign w:val="bottom"/>
          </w:tcPr>
          <w:p>
            <w:pPr>
              <w:spacing w:after="0" w:line="113" w:lineRule="exact"/>
              <w:rPr>
                <w:sz w:val="20"/>
                <w:szCs w:val="20"/>
                <w:color w:val="auto"/>
              </w:rPr>
            </w:pPr>
            <w:r>
              <w:rPr>
                <w:rFonts w:ascii="Times New Roman" w:cs="Times New Roman" w:eastAsia="Times New Roman" w:hAnsi="Times New Roman"/>
                <w:sz w:val="10"/>
                <w:szCs w:val="10"/>
                <w:color w:val="auto"/>
              </w:rPr>
              <w:t>Remeasurement of carrying value to redemption value</w:t>
            </w:r>
          </w:p>
        </w:tc>
        <w:tc>
          <w:tcPr>
            <w:tcW w:w="1380" w:type="dxa"/>
            <w:vAlign w:val="bottom"/>
          </w:tcPr>
          <w:p>
            <w:pPr>
              <w:spacing w:after="0"/>
              <w:rPr>
                <w:sz w:val="9"/>
                <w:szCs w:val="9"/>
                <w:color w:val="auto"/>
              </w:rPr>
            </w:pPr>
          </w:p>
        </w:tc>
        <w:tc>
          <w:tcPr>
            <w:tcW w:w="980" w:type="dxa"/>
            <w:vAlign w:val="bottom"/>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3,943,038</w:t>
            </w:r>
          </w:p>
        </w:tc>
      </w:tr>
      <w:tr>
        <w:trPr>
          <w:trHeight w:val="104"/>
        </w:trPr>
        <w:tc>
          <w:tcPr>
            <w:tcW w:w="1640" w:type="dxa"/>
            <w:vAlign w:val="bottom"/>
          </w:tcPr>
          <w:p>
            <w:pPr>
              <w:spacing w:after="0"/>
              <w:rPr>
                <w:sz w:val="9"/>
                <w:szCs w:val="9"/>
                <w:color w:val="auto"/>
              </w:rPr>
            </w:pPr>
          </w:p>
        </w:tc>
        <w:tc>
          <w:tcPr>
            <w:tcW w:w="4020" w:type="dxa"/>
            <w:vAlign w:val="bottom"/>
            <w:shd w:val="clear" w:color="auto" w:fill="CFF0FC"/>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Common stock subject to possible redemption –</w:t>
            </w:r>
          </w:p>
        </w:tc>
        <w:tc>
          <w:tcPr>
            <w:tcW w:w="13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r>
      <w:tr>
        <w:trPr>
          <w:trHeight w:val="121"/>
        </w:trPr>
        <w:tc>
          <w:tcPr>
            <w:tcW w:w="1640" w:type="dxa"/>
            <w:vAlign w:val="bottom"/>
          </w:tcPr>
          <w:p>
            <w:pPr>
              <w:spacing w:after="0"/>
              <w:rPr>
                <w:sz w:val="10"/>
                <w:szCs w:val="10"/>
                <w:color w:val="auto"/>
              </w:rPr>
            </w:pPr>
          </w:p>
        </w:tc>
        <w:tc>
          <w:tcPr>
            <w:tcW w:w="4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38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25,316,806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Net Loss Per Common Stock</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complies with accounting and disclosure requirements of FASB ASC Topic 260, “Earnings Per Share”. Net loss per common stock is computed by dividing net loss by the weighted average number of common stock outstanding for the period.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Remeasurement adjustments associated with the redeemable shares of common stock are excluded from earnings per share as the redemption value approximates fair value.</w:t>
      </w:r>
    </w:p>
    <w:p>
      <w:pPr>
        <w:spacing w:after="0" w:line="108"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213" w:right="640" w:bottom="1440" w:gutter="0" w:footer="0" w:header="0"/>
        </w:sectPr>
      </w:pPr>
    </w:p>
    <w:bookmarkStart w:id="277" w:name="page278"/>
    <w:bookmarkEnd w:id="277"/>
    <w:p>
      <w:pPr>
        <w:ind w:left="480"/>
        <w:spacing w:after="0"/>
        <w:rPr>
          <w:sz w:val="20"/>
          <w:szCs w:val="20"/>
          <w:color w:val="auto"/>
        </w:rPr>
      </w:pPr>
      <w:r>
        <w:rPr>
          <w:rFonts w:ascii="Times New Roman" w:cs="Times New Roman" w:eastAsia="Times New Roman" w:hAnsi="Times New Roman"/>
          <w:sz w:val="10"/>
          <w:szCs w:val="10"/>
          <w:color w:val="auto"/>
        </w:rPr>
        <w:t>Accretion of the carrying value of common stock subject to redemption value is excluded from net loss per common stock because the redemption value approximates fair value.</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3"/>
          </w:tcPr>
          <w:p>
            <w:pPr>
              <w:jc w:val="right"/>
              <w:ind w:right="716"/>
              <w:spacing w:after="0"/>
              <w:rPr>
                <w:sz w:val="20"/>
                <w:szCs w:val="20"/>
                <w:color w:val="auto"/>
              </w:rPr>
            </w:pPr>
            <w:r>
              <w:rPr>
                <w:rFonts w:ascii="Times New Roman" w:cs="Times New Roman" w:eastAsia="Times New Roman" w:hAnsi="Times New Roman"/>
                <w:sz w:val="8"/>
                <w:szCs w:val="8"/>
                <w:b w:val="1"/>
                <w:bCs w:val="1"/>
                <w:color w:val="auto"/>
              </w:rPr>
              <w:t>For The Year Ended September 30,</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2022</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98"/>
        </w:trPr>
        <w:tc>
          <w:tcPr>
            <w:tcW w:w="30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220" w:type="dxa"/>
            <w:vAlign w:val="bottom"/>
          </w:tcPr>
          <w:p>
            <w:pPr>
              <w:spacing w:after="0"/>
              <w:rPr>
                <w:sz w:val="8"/>
                <w:szCs w:val="8"/>
                <w:color w:val="auto"/>
              </w:rPr>
            </w:pPr>
          </w:p>
        </w:tc>
        <w:tc>
          <w:tcPr>
            <w:tcW w:w="980" w:type="dxa"/>
            <w:vAlign w:val="bottom"/>
          </w:tcPr>
          <w:p>
            <w:pPr>
              <w:jc w:val="right"/>
              <w:ind w:right="455"/>
              <w:spacing w:after="0"/>
              <w:rPr>
                <w:sz w:val="20"/>
                <w:szCs w:val="20"/>
                <w:color w:val="auto"/>
              </w:rPr>
            </w:pPr>
            <w:r>
              <w:rPr>
                <w:rFonts w:ascii="Times New Roman" w:cs="Times New Roman" w:eastAsia="Times New Roman" w:hAnsi="Times New Roman"/>
                <w:sz w:val="8"/>
                <w:szCs w:val="8"/>
                <w:b w:val="1"/>
                <w:bCs w:val="1"/>
                <w:color w:val="auto"/>
              </w:rPr>
              <w:t>Common</w:t>
            </w:r>
          </w:p>
        </w:tc>
        <w:tc>
          <w:tcPr>
            <w:tcW w:w="240" w:type="dxa"/>
            <w:vAlign w:val="bottom"/>
          </w:tcPr>
          <w:p>
            <w:pPr>
              <w:spacing w:after="0"/>
              <w:rPr>
                <w:sz w:val="8"/>
                <w:szCs w:val="8"/>
                <w:color w:val="auto"/>
              </w:rPr>
            </w:pPr>
          </w:p>
        </w:tc>
        <w:tc>
          <w:tcPr>
            <w:tcW w:w="1080" w:type="dxa"/>
            <w:vAlign w:val="bottom"/>
          </w:tcPr>
          <w:p>
            <w:pPr>
              <w:jc w:val="center"/>
              <w:ind w:right="296"/>
              <w:spacing w:after="0"/>
              <w:rPr>
                <w:sz w:val="20"/>
                <w:szCs w:val="20"/>
                <w:color w:val="auto"/>
              </w:rPr>
            </w:pPr>
            <w:r>
              <w:rPr>
                <w:rFonts w:ascii="Times New Roman" w:cs="Times New Roman" w:eastAsia="Times New Roman" w:hAnsi="Times New Roman"/>
                <w:sz w:val="8"/>
                <w:szCs w:val="8"/>
                <w:b w:val="1"/>
                <w:bCs w:val="1"/>
                <w:color w:val="auto"/>
              </w:rPr>
              <w:t>subject to</w:t>
            </w: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06"/>
        </w:trPr>
        <w:tc>
          <w:tcPr>
            <w:tcW w:w="3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00" w:type="dxa"/>
            <w:vAlign w:val="bottom"/>
          </w:tcPr>
          <w:p>
            <w:pPr>
              <w:jc w:val="center"/>
              <w:ind w:right="31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220" w:type="dxa"/>
            <w:vAlign w:val="bottom"/>
          </w:tcPr>
          <w:p>
            <w:pPr>
              <w:spacing w:after="0"/>
              <w:rPr>
                <w:sz w:val="9"/>
                <w:szCs w:val="9"/>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8"/>
                <w:szCs w:val="8"/>
                <w:b w:val="1"/>
                <w:bCs w:val="1"/>
                <w:color w:val="auto"/>
              </w:rPr>
              <w:t>stock</w:t>
            </w:r>
          </w:p>
        </w:tc>
        <w:tc>
          <w:tcPr>
            <w:tcW w:w="240" w:type="dxa"/>
            <w:vAlign w:val="bottom"/>
          </w:tcPr>
          <w:p>
            <w:pPr>
              <w:spacing w:after="0"/>
              <w:rPr>
                <w:sz w:val="9"/>
                <w:szCs w:val="9"/>
                <w:color w:val="auto"/>
              </w:rPr>
            </w:pPr>
          </w:p>
        </w:tc>
        <w:tc>
          <w:tcPr>
            <w:tcW w:w="1080" w:type="dxa"/>
            <w:vAlign w:val="bottom"/>
          </w:tcPr>
          <w:p>
            <w:pPr>
              <w:jc w:val="center"/>
              <w:ind w:right="276"/>
              <w:spacing w:after="0"/>
              <w:rPr>
                <w:sz w:val="20"/>
                <w:szCs w:val="20"/>
                <w:color w:val="auto"/>
              </w:rPr>
            </w:pPr>
            <w:r>
              <w:rPr>
                <w:rFonts w:ascii="Times New Roman" w:cs="Times New Roman" w:eastAsia="Times New Roman" w:hAnsi="Times New Roman"/>
                <w:sz w:val="8"/>
                <w:szCs w:val="8"/>
                <w:b w:val="1"/>
                <w:bCs w:val="1"/>
                <w:color w:val="auto"/>
              </w:rPr>
              <w:t>redemption</w:t>
            </w:r>
          </w:p>
        </w:tc>
        <w:tc>
          <w:tcPr>
            <w:tcW w:w="180" w:type="dxa"/>
            <w:vAlign w:val="bottom"/>
          </w:tcPr>
          <w:p>
            <w:pPr>
              <w:spacing w:after="0"/>
              <w:rPr>
                <w:sz w:val="9"/>
                <w:szCs w:val="9"/>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8"/>
                <w:szCs w:val="8"/>
                <w:b w:val="1"/>
                <w:bCs w:val="1"/>
                <w:color w:val="auto"/>
              </w:rPr>
              <w:t>Common stock</w:t>
            </w: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r>
      <w:tr>
        <w:trPr>
          <w:trHeight w:val="113"/>
        </w:trPr>
        <w:tc>
          <w:tcPr>
            <w:tcW w:w="30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Numerator:</w:t>
            </w: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Allocation of net loss</w:t>
            </w:r>
          </w:p>
        </w:tc>
        <w:tc>
          <w:tcPr>
            <w:tcW w:w="1760" w:type="dxa"/>
            <w:vAlign w:val="bottom"/>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10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(179,201 )</w:t>
            </w:r>
          </w:p>
        </w:tc>
        <w:tc>
          <w:tcPr>
            <w:tcW w:w="220" w:type="dxa"/>
            <w:vAlign w:val="bottom"/>
            <w:shd w:val="clear" w:color="auto" w:fill="CFF0FC"/>
          </w:tcPr>
          <w:p>
            <w:pPr>
              <w:jc w:val="right"/>
              <w:ind w:right="11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FF0FC"/>
          </w:tcPr>
          <w:p>
            <w:pPr>
              <w:jc w:val="right"/>
              <w:ind w:right="35"/>
              <w:spacing w:after="0" w:line="113" w:lineRule="exact"/>
              <w:rPr>
                <w:sz w:val="20"/>
                <w:szCs w:val="20"/>
                <w:color w:val="auto"/>
              </w:rPr>
            </w:pPr>
            <w:r>
              <w:rPr>
                <w:rFonts w:ascii="Times New Roman" w:cs="Times New Roman" w:eastAsia="Times New Roman" w:hAnsi="Times New Roman"/>
                <w:sz w:val="10"/>
                <w:szCs w:val="10"/>
                <w:color w:val="auto"/>
              </w:rPr>
              <w:t>(140,949 )</w:t>
            </w:r>
          </w:p>
        </w:tc>
        <w:tc>
          <w:tcPr>
            <w:tcW w:w="24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FF0FC"/>
          </w:tcPr>
          <w:p>
            <w:pPr>
              <w:jc w:val="right"/>
              <w:ind w:right="76"/>
              <w:spacing w:after="0" w:line="113" w:lineRule="exact"/>
              <w:rPr>
                <w:sz w:val="20"/>
                <w:szCs w:val="20"/>
                <w:color w:val="auto"/>
              </w:rPr>
            </w:pPr>
            <w:r>
              <w:rPr>
                <w:rFonts w:ascii="Times New Roman" w:cs="Times New Roman" w:eastAsia="Times New Roman" w:hAnsi="Times New Roman"/>
                <w:sz w:val="10"/>
                <w:szCs w:val="10"/>
                <w:color w:val="auto"/>
              </w:rPr>
              <w:t>(2,624,009 )</w:t>
            </w:r>
          </w:p>
        </w:tc>
        <w:tc>
          <w:tcPr>
            <w:tcW w:w="180" w:type="dxa"/>
            <w:vAlign w:val="bottom"/>
            <w:shd w:val="clear" w:color="auto" w:fill="CFF0FC"/>
          </w:tcPr>
          <w:p>
            <w:pPr>
              <w:jc w:val="right"/>
              <w:ind w:right="3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FF0FC"/>
          </w:tcPr>
          <w:p>
            <w:pPr>
              <w:jc w:val="right"/>
              <w:ind w:right="13"/>
              <w:spacing w:after="0" w:line="113" w:lineRule="exact"/>
              <w:rPr>
                <w:sz w:val="20"/>
                <w:szCs w:val="20"/>
                <w:color w:val="auto"/>
              </w:rPr>
            </w:pPr>
            <w:r>
              <w:rPr>
                <w:rFonts w:ascii="Times New Roman" w:cs="Times New Roman" w:eastAsia="Times New Roman" w:hAnsi="Times New Roman"/>
                <w:sz w:val="10"/>
                <w:szCs w:val="10"/>
                <w:color w:val="auto"/>
              </w:rPr>
              <w:t>(998,785 )</w:t>
            </w:r>
          </w:p>
        </w:tc>
      </w:tr>
      <w:tr>
        <w:trPr>
          <w:trHeight w:val="113"/>
        </w:trPr>
        <w:tc>
          <w:tcPr>
            <w:tcW w:w="308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Denominator</w:t>
            </w: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13"/>
        </w:trPr>
        <w:tc>
          <w:tcPr>
            <w:tcW w:w="308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Weighted-average shares outstanding</w:t>
            </w:r>
          </w:p>
        </w:tc>
        <w:tc>
          <w:tcPr>
            <w:tcW w:w="1760" w:type="dxa"/>
            <w:vAlign w:val="bottom"/>
            <w:shd w:val="clear" w:color="auto" w:fill="CFF0FC"/>
          </w:tcPr>
          <w:p>
            <w:pPr>
              <w:spacing w:after="0"/>
              <w:rPr>
                <w:sz w:val="9"/>
                <w:szCs w:val="9"/>
                <w:color w:val="auto"/>
              </w:rPr>
            </w:pPr>
          </w:p>
        </w:tc>
        <w:tc>
          <w:tcPr>
            <w:tcW w:w="1100" w:type="dxa"/>
            <w:vAlign w:val="bottom"/>
            <w:shd w:val="clear" w:color="auto" w:fill="CFF0FC"/>
          </w:tcPr>
          <w:p>
            <w:pPr>
              <w:jc w:val="right"/>
              <w:ind w:right="156"/>
              <w:spacing w:after="0" w:line="113" w:lineRule="exact"/>
              <w:rPr>
                <w:sz w:val="20"/>
                <w:szCs w:val="20"/>
                <w:color w:val="auto"/>
              </w:rPr>
            </w:pPr>
            <w:r>
              <w:rPr>
                <w:rFonts w:ascii="Times New Roman" w:cs="Times New Roman" w:eastAsia="Times New Roman" w:hAnsi="Times New Roman"/>
                <w:sz w:val="10"/>
                <w:szCs w:val="10"/>
                <w:color w:val="auto"/>
              </w:rPr>
              <w:t>7,259,013</w:t>
            </w: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jc w:val="right"/>
              <w:ind w:right="95"/>
              <w:spacing w:after="0" w:line="113" w:lineRule="exact"/>
              <w:rPr>
                <w:sz w:val="20"/>
                <w:szCs w:val="20"/>
                <w:color w:val="auto"/>
              </w:rPr>
            </w:pPr>
            <w:r>
              <w:rPr>
                <w:rFonts w:ascii="Times New Roman" w:cs="Times New Roman" w:eastAsia="Times New Roman" w:hAnsi="Times New Roman"/>
                <w:sz w:val="10"/>
                <w:szCs w:val="10"/>
                <w:color w:val="auto"/>
              </w:rPr>
              <w:t>5,709,500</w:t>
            </w: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jc w:val="right"/>
              <w:ind w:right="116"/>
              <w:spacing w:after="0" w:line="113" w:lineRule="exact"/>
              <w:rPr>
                <w:sz w:val="20"/>
                <w:szCs w:val="20"/>
                <w:color w:val="auto"/>
              </w:rPr>
            </w:pPr>
            <w:r>
              <w:rPr>
                <w:rFonts w:ascii="Times New Roman" w:cs="Times New Roman" w:eastAsia="Times New Roman" w:hAnsi="Times New Roman"/>
                <w:sz w:val="10"/>
                <w:szCs w:val="10"/>
                <w:color w:val="auto"/>
              </w:rPr>
              <w:t>15,000,000</w:t>
            </w:r>
          </w:p>
        </w:tc>
        <w:tc>
          <w:tcPr>
            <w:tcW w:w="180" w:type="dxa"/>
            <w:vAlign w:val="bottom"/>
            <w:shd w:val="clear" w:color="auto" w:fill="CFF0FC"/>
          </w:tcPr>
          <w:p>
            <w:pPr>
              <w:spacing w:after="0"/>
              <w:rPr>
                <w:sz w:val="9"/>
                <w:szCs w:val="9"/>
                <w:color w:val="auto"/>
              </w:rPr>
            </w:pPr>
          </w:p>
        </w:tc>
        <w:tc>
          <w:tcPr>
            <w:tcW w:w="940" w:type="dxa"/>
            <w:vAlign w:val="bottom"/>
            <w:shd w:val="clear" w:color="auto" w:fill="CFF0FC"/>
          </w:tcPr>
          <w:p>
            <w:pPr>
              <w:jc w:val="right"/>
              <w:ind w:right="73"/>
              <w:spacing w:after="0" w:line="113" w:lineRule="exact"/>
              <w:rPr>
                <w:sz w:val="20"/>
                <w:szCs w:val="20"/>
                <w:color w:val="auto"/>
              </w:rPr>
            </w:pPr>
            <w:r>
              <w:rPr>
                <w:rFonts w:ascii="Times New Roman" w:cs="Times New Roman" w:eastAsia="Times New Roman" w:hAnsi="Times New Roman"/>
                <w:sz w:val="10"/>
                <w:szCs w:val="10"/>
                <w:color w:val="auto"/>
              </w:rPr>
              <w:t>5,709,500</w:t>
            </w:r>
          </w:p>
        </w:tc>
      </w:tr>
      <w:tr>
        <w:trPr>
          <w:trHeight w:val="125"/>
        </w:trPr>
        <w:tc>
          <w:tcPr>
            <w:tcW w:w="30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Basic and diluted net loss per share</w:t>
            </w:r>
          </w:p>
        </w:tc>
        <w:tc>
          <w:tcPr>
            <w:tcW w:w="17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0"/>
                <w:szCs w:val="10"/>
                <w:color w:val="auto"/>
              </w:rPr>
              <w:t>(0.02 )</w:t>
            </w:r>
          </w:p>
        </w:tc>
        <w:tc>
          <w:tcPr>
            <w:tcW w:w="2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0"/>
                <w:szCs w:val="10"/>
                <w:color w:val="auto"/>
              </w:rPr>
              <w:t>(0.02 )</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0"/>
                <w:szCs w:val="10"/>
                <w:color w:val="auto"/>
              </w:rPr>
              <w:t>(0.17 )</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(0.17 )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Stock-Based Compensation</w:t>
      </w:r>
    </w:p>
    <w:p>
      <w:pPr>
        <w:spacing w:after="0" w:line="60"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 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05"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05" w:lineRule="exact"/>
        <w:rPr>
          <w:sz w:val="20"/>
          <w:szCs w:val="20"/>
          <w:color w:val="auto"/>
        </w:rPr>
      </w:pPr>
    </w:p>
    <w:p>
      <w:pPr>
        <w:jc w:val="both"/>
        <w:ind w:firstLine="480"/>
        <w:spacing w:after="0" w:line="241" w:lineRule="auto"/>
        <w:rPr>
          <w:sz w:val="20"/>
          <w:szCs w:val="20"/>
          <w:color w:val="auto"/>
        </w:rPr>
      </w:pPr>
      <w:r>
        <w:rPr>
          <w:rFonts w:ascii="Times New Roman" w:cs="Times New Roman" w:eastAsia="Times New Roman" w:hAnsi="Times New Roman"/>
          <w:sz w:val="10"/>
          <w:szCs w:val="10"/>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recognized $218,254 and $111,852 of stock-based compensation for the fiscal years ended September 30,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Income Taxes</w:t>
      </w:r>
    </w:p>
    <w:p>
      <w:pPr>
        <w:spacing w:after="0" w:line="60" w:lineRule="exact"/>
        <w:rPr>
          <w:sz w:val="20"/>
          <w:szCs w:val="20"/>
          <w:color w:val="auto"/>
        </w:rPr>
      </w:pPr>
    </w:p>
    <w:p>
      <w:pPr>
        <w:ind w:right="40" w:firstLine="480"/>
        <w:spacing w:after="0" w:line="310" w:lineRule="auto"/>
        <w:rPr>
          <w:sz w:val="20"/>
          <w:szCs w:val="20"/>
          <w:color w:val="auto"/>
        </w:rPr>
      </w:pPr>
      <w:r>
        <w:rPr>
          <w:rFonts w:ascii="Times New Roman" w:cs="Times New Roman" w:eastAsia="Times New Roman" w:hAnsi="Times New Roman"/>
          <w:sz w:val="9"/>
          <w:szCs w:val="9"/>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78" w:lineRule="exact"/>
        <w:rPr>
          <w:sz w:val="20"/>
          <w:szCs w:val="20"/>
          <w:color w:val="auto"/>
        </w:rPr>
      </w:pPr>
    </w:p>
    <w:p>
      <w:pPr>
        <w:ind w:firstLine="480"/>
        <w:spacing w:after="0" w:line="245" w:lineRule="auto"/>
        <w:rPr>
          <w:sz w:val="20"/>
          <w:szCs w:val="20"/>
          <w:color w:val="auto"/>
        </w:rPr>
      </w:pPr>
      <w:r>
        <w:rPr>
          <w:rFonts w:ascii="Times New Roman" w:cs="Times New Roman" w:eastAsia="Times New Roman" w:hAnsi="Times New Roman"/>
          <w:sz w:val="10"/>
          <w:szCs w:val="10"/>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05"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78" w:name="page279"/>
    <w:bookmarkEnd w:id="278"/>
    <w:p>
      <w:pPr>
        <w:ind w:right="100" w:firstLine="480"/>
        <w:spacing w:after="0" w:line="255" w:lineRule="auto"/>
        <w:rPr>
          <w:sz w:val="20"/>
          <w:szCs w:val="20"/>
          <w:color w:val="auto"/>
        </w:rPr>
      </w:pPr>
      <w:r>
        <w:rPr>
          <w:rFonts w:ascii="Times New Roman" w:cs="Times New Roman" w:eastAsia="Times New Roman" w:hAnsi="Times New Roman"/>
          <w:sz w:val="10"/>
          <w:szCs w:val="10"/>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3 — Related Party Transactions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Founder Shares</w:t>
      </w:r>
    </w:p>
    <w:p>
      <w:pPr>
        <w:spacing w:after="0" w:line="58"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10" w:lineRule="exact"/>
        <w:rPr>
          <w:sz w:val="20"/>
          <w:szCs w:val="20"/>
          <w:color w:val="auto"/>
        </w:rPr>
      </w:pPr>
    </w:p>
    <w:p>
      <w:pPr>
        <w:ind w:right="100" w:firstLine="480"/>
        <w:spacing w:after="0" w:line="245" w:lineRule="auto"/>
        <w:rPr>
          <w:sz w:val="20"/>
          <w:szCs w:val="20"/>
          <w:color w:val="auto"/>
        </w:rPr>
      </w:pPr>
      <w:r>
        <w:rPr>
          <w:rFonts w:ascii="Times New Roman" w:cs="Times New Roman" w:eastAsia="Times New Roman" w:hAnsi="Times New Roman"/>
          <w:sz w:val="10"/>
          <w:szCs w:val="10"/>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05" w:lineRule="exact"/>
        <w:rPr>
          <w:sz w:val="20"/>
          <w:szCs w:val="20"/>
          <w:color w:val="auto"/>
        </w:rPr>
      </w:pPr>
    </w:p>
    <w:p>
      <w:pPr>
        <w:ind w:firstLine="480"/>
        <w:spacing w:after="0" w:line="285" w:lineRule="auto"/>
        <w:rPr>
          <w:sz w:val="20"/>
          <w:szCs w:val="20"/>
          <w:color w:val="auto"/>
        </w:rPr>
      </w:pPr>
      <w:r>
        <w:rPr>
          <w:rFonts w:ascii="Times New Roman" w:cs="Times New Roman" w:eastAsia="Times New Roman" w:hAnsi="Times New Roman"/>
          <w:sz w:val="9"/>
          <w:szCs w:val="9"/>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Representative Common Stock</w:t>
      </w:r>
    </w:p>
    <w:p>
      <w:pPr>
        <w:spacing w:after="0" w:line="58" w:lineRule="exact"/>
        <w:rPr>
          <w:sz w:val="20"/>
          <w:szCs w:val="20"/>
          <w:color w:val="auto"/>
        </w:rPr>
      </w:pPr>
    </w:p>
    <w:p>
      <w:pPr>
        <w:ind w:right="140" w:firstLine="480"/>
        <w:spacing w:after="0" w:line="255" w:lineRule="auto"/>
        <w:rPr>
          <w:sz w:val="20"/>
          <w:szCs w:val="20"/>
          <w:color w:val="auto"/>
        </w:rPr>
      </w:pPr>
      <w:r>
        <w:rPr>
          <w:rFonts w:ascii="Times New Roman" w:cs="Times New Roman" w:eastAsia="Times New Roman" w:hAnsi="Times New Roman"/>
          <w:sz w:val="10"/>
          <w:szCs w:val="10"/>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18" w:lineRule="exact"/>
        <w:rPr>
          <w:sz w:val="20"/>
          <w:szCs w:val="20"/>
          <w:color w:val="auto"/>
        </w:rPr>
      </w:pPr>
    </w:p>
    <w:p>
      <w:pPr>
        <w:ind w:right="4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Promissory Notes-to Related Party</w:t>
      </w:r>
    </w:p>
    <w:p>
      <w:pPr>
        <w:spacing w:after="0" w:line="60" w:lineRule="exact"/>
        <w:rPr>
          <w:sz w:val="20"/>
          <w:szCs w:val="20"/>
          <w:color w:val="auto"/>
        </w:rPr>
      </w:pPr>
    </w:p>
    <w:p>
      <w:pPr>
        <w:ind w:right="100" w:firstLine="480"/>
        <w:spacing w:after="0" w:line="285" w:lineRule="auto"/>
        <w:rPr>
          <w:sz w:val="20"/>
          <w:szCs w:val="20"/>
          <w:color w:val="auto"/>
        </w:rPr>
      </w:pPr>
      <w:r>
        <w:rPr>
          <w:rFonts w:ascii="Times New Roman" w:cs="Times New Roman" w:eastAsia="Times New Roman" w:hAnsi="Times New Roman"/>
          <w:sz w:val="9"/>
          <w:szCs w:val="9"/>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79" w:name="page280"/>
    <w:bookmarkEnd w:id="279"/>
    <w:p>
      <w:pPr>
        <w:ind w:left="10"/>
        <w:spacing w:after="0"/>
        <w:rPr>
          <w:sz w:val="20"/>
          <w:szCs w:val="20"/>
          <w:color w:val="auto"/>
        </w:rPr>
      </w:pPr>
      <w:r>
        <w:rPr>
          <w:rFonts w:ascii="Times New Roman" w:cs="Times New Roman" w:eastAsia="Times New Roman" w:hAnsi="Times New Roman"/>
          <w:sz w:val="10"/>
          <w:szCs w:val="10"/>
          <w:color w:val="auto"/>
        </w:rPr>
        <w:t>Sponsor under the remaining promissory note. As of September 30, 2023 and 2022, the net amount outstanding under the promissory note was $247,454 and $251,754, respectively.</w:t>
      </w:r>
    </w:p>
    <w:p>
      <w:pPr>
        <w:spacing w:after="0" w:line="11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On November 10, 2022, the Sponsor loaned the Company $1,500,000 in order to cover the additional contribution to the Trust Account in connection with the Company’s exercise of the extension of the Combination Period until February 17, 2023, and</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9"/>
          <w:szCs w:val="9"/>
          <w:color w:val="auto"/>
        </w:rPr>
        <w:t>$450,000 to fund its working capital needs. The promissory notes are non-interest bearing and due on the earlier of: (i) the liquidation or release of all of the monies held in the Trust Account or (ii) the date on which the Company consummates an acquisition, merger or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color w:val="auto"/>
        </w:rPr>
        <w:t>other business combination transaction involving the Company or its affiliates. The principal balance may be prepaid at any time.</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July 28, 2023, the Company issued a promissory note to the Sponsor for the aggregate amount of $125,245. The promissory note is non-interest bearing and due on the earlier of: (i) the liquidation or release of all of the monies held in the Trust Account or</w:t>
      </w:r>
    </w:p>
    <w:p>
      <w:pPr>
        <w:spacing w:after="0" w:line="19" w:lineRule="exact"/>
        <w:rPr>
          <w:sz w:val="20"/>
          <w:szCs w:val="20"/>
          <w:color w:val="auto"/>
        </w:rPr>
      </w:pPr>
    </w:p>
    <w:p>
      <w:pPr>
        <w:ind w:left="10" w:right="400" w:hanging="10"/>
        <w:spacing w:after="0" w:line="237" w:lineRule="auto"/>
        <w:tabs>
          <w:tab w:leader="none" w:pos="153"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8"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9"/>
          <w:szCs w:val="9"/>
          <w:color w:val="auto"/>
        </w:rPr>
        <w:t>On August 2, 2023, the Company entered into a promissory note to the Sponsor in the amount of up to $425,402. The Extension Note is non-interest bearing and due on the earlier of: (i) the liquidation or release of all of the monies held in the Trust Account or</w:t>
      </w:r>
    </w:p>
    <w:p>
      <w:pPr>
        <w:spacing w:after="0" w:line="19" w:lineRule="exact"/>
        <w:rPr>
          <w:sz w:val="20"/>
          <w:szCs w:val="20"/>
          <w:color w:val="auto"/>
        </w:rPr>
      </w:pPr>
    </w:p>
    <w:p>
      <w:pPr>
        <w:jc w:val="both"/>
        <w:ind w:left="10" w:hanging="10"/>
        <w:spacing w:after="0" w:line="236" w:lineRule="auto"/>
        <w:tabs>
          <w:tab w:leader="none" w:pos="153"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08" w:lineRule="exact"/>
        <w:rPr>
          <w:sz w:val="20"/>
          <w:szCs w:val="20"/>
          <w:color w:val="auto"/>
        </w:rPr>
      </w:pPr>
    </w:p>
    <w:p>
      <w:pPr>
        <w:ind w:left="10" w:right="140" w:firstLine="480"/>
        <w:spacing w:after="0" w:line="255" w:lineRule="auto"/>
        <w:rPr>
          <w:sz w:val="20"/>
          <w:szCs w:val="20"/>
          <w:color w:val="auto"/>
        </w:rPr>
      </w:pPr>
      <w:r>
        <w:rPr>
          <w:rFonts w:ascii="Times New Roman" w:cs="Times New Roman" w:eastAsia="Times New Roman" w:hAnsi="Times New Roman"/>
          <w:sz w:val="10"/>
          <w:szCs w:val="10"/>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01" w:lineRule="exact"/>
        <w:rPr>
          <w:sz w:val="20"/>
          <w:szCs w:val="20"/>
          <w:color w:val="auto"/>
        </w:rPr>
      </w:pPr>
    </w:p>
    <w:p>
      <w:pPr>
        <w:ind w:left="10" w:right="280" w:firstLine="480"/>
        <w:spacing w:after="0" w:line="245" w:lineRule="auto"/>
        <w:rPr>
          <w:sz w:val="20"/>
          <w:szCs w:val="20"/>
          <w:color w:val="auto"/>
        </w:rPr>
      </w:pPr>
      <w:r>
        <w:rPr>
          <w:rFonts w:ascii="Times New Roman" w:cs="Times New Roman" w:eastAsia="Times New Roman" w:hAnsi="Times New Roman"/>
          <w:sz w:val="10"/>
          <w:szCs w:val="10"/>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10" w:right="140" w:firstLine="480"/>
        <w:spacing w:after="0" w:line="245" w:lineRule="auto"/>
        <w:rPr>
          <w:sz w:val="20"/>
          <w:szCs w:val="20"/>
          <w:color w:val="auto"/>
        </w:rPr>
      </w:pPr>
      <w:r>
        <w:rPr>
          <w:rFonts w:ascii="Times New Roman" w:cs="Times New Roman" w:eastAsia="Times New Roman" w:hAnsi="Times New Roman"/>
          <w:sz w:val="10"/>
          <w:szCs w:val="10"/>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0"/>
          <w:szCs w:val="10"/>
          <w:color w:val="auto"/>
        </w:rPr>
        <w:t>The aggregate balance outstanding under all promissory notes, including the Extension Note, was $2,564,439 and $251,754 as of September 30, 2023 and 2022, respectively.</w:t>
      </w:r>
    </w:p>
    <w:p>
      <w:pPr>
        <w:spacing w:after="0" w:line="1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Administrative Service Fee</w:t>
      </w:r>
    </w:p>
    <w:p>
      <w:pPr>
        <w:spacing w:after="0" w:line="60" w:lineRule="exact"/>
        <w:rPr>
          <w:sz w:val="20"/>
          <w:szCs w:val="20"/>
          <w:color w:val="auto"/>
        </w:rPr>
      </w:pPr>
    </w:p>
    <w:p>
      <w:pPr>
        <w:ind w:left="10" w:right="120" w:firstLine="480"/>
        <w:spacing w:after="0" w:line="255" w:lineRule="auto"/>
        <w:rPr>
          <w:sz w:val="20"/>
          <w:szCs w:val="20"/>
          <w:color w:val="auto"/>
        </w:rPr>
      </w:pPr>
      <w:r>
        <w:rPr>
          <w:rFonts w:ascii="Times New Roman" w:cs="Times New Roman" w:eastAsia="Times New Roman" w:hAnsi="Times New Roman"/>
          <w:sz w:val="10"/>
          <w:szCs w:val="10"/>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1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color w:val="auto"/>
        </w:rPr>
        <w:t>Note 4 — Commitments and Contingencies</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0"/>
          <w:szCs w:val="10"/>
          <w:b w:val="1"/>
          <w:bCs w:val="1"/>
          <w:i w:val="1"/>
          <w:iCs w:val="1"/>
          <w:color w:val="auto"/>
        </w:rPr>
        <w:t>Registration Rights</w:t>
      </w:r>
    </w:p>
    <w:p>
      <w:pPr>
        <w:spacing w:after="0" w:line="60" w:lineRule="exact"/>
        <w:rPr>
          <w:sz w:val="20"/>
          <w:szCs w:val="20"/>
          <w:color w:val="auto"/>
        </w:rPr>
      </w:pPr>
    </w:p>
    <w:p>
      <w:pPr>
        <w:ind w:left="10" w:right="60" w:firstLine="480"/>
        <w:spacing w:after="0" w:line="255" w:lineRule="auto"/>
        <w:rPr>
          <w:sz w:val="20"/>
          <w:szCs w:val="20"/>
          <w:color w:val="auto"/>
        </w:rPr>
      </w:pPr>
      <w:r>
        <w:rPr>
          <w:rFonts w:ascii="Times New Roman" w:cs="Times New Roman" w:eastAsia="Times New Roman" w:hAnsi="Times New Roman"/>
          <w:sz w:val="10"/>
          <w:szCs w:val="10"/>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4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0"/>
          <w:szCs w:val="10"/>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6778625"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095" w:right="640" w:bottom="1440" w:gutter="0" w:footer="0" w:header="0"/>
        </w:sectPr>
      </w:pPr>
    </w:p>
    <w:bookmarkStart w:id="280" w:name="page281"/>
    <w:bookmarkEnd w:id="280"/>
    <w:p>
      <w:pPr>
        <w:ind w:right="20" w:firstLine="480"/>
        <w:spacing w:after="0" w:line="245" w:lineRule="auto"/>
        <w:rPr>
          <w:sz w:val="20"/>
          <w:szCs w:val="20"/>
          <w:color w:val="auto"/>
        </w:rPr>
      </w:pPr>
      <w:r>
        <w:rPr>
          <w:rFonts w:ascii="Times New Roman" w:cs="Times New Roman" w:eastAsia="Times New Roman" w:hAnsi="Times New Roman"/>
          <w:sz w:val="10"/>
          <w:szCs w:val="10"/>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Underwriting Agreement</w:t>
      </w:r>
    </w:p>
    <w:p>
      <w:pPr>
        <w:spacing w:after="0" w:line="60" w:lineRule="exact"/>
        <w:rPr>
          <w:sz w:val="20"/>
          <w:szCs w:val="20"/>
          <w:color w:val="auto"/>
        </w:rPr>
      </w:pPr>
    </w:p>
    <w:p>
      <w:pPr>
        <w:ind w:right="180" w:firstLine="480"/>
        <w:spacing w:after="0" w:line="255" w:lineRule="auto"/>
        <w:rPr>
          <w:sz w:val="20"/>
          <w:szCs w:val="20"/>
          <w:color w:val="auto"/>
        </w:rPr>
      </w:pPr>
      <w:r>
        <w:rPr>
          <w:rFonts w:ascii="Times New Roman" w:cs="Times New Roman" w:eastAsia="Times New Roman" w:hAnsi="Times New Roman"/>
          <w:sz w:val="10"/>
          <w:szCs w:val="10"/>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Financial Advisory Fee</w:t>
      </w:r>
    </w:p>
    <w:p>
      <w:pPr>
        <w:spacing w:after="0" w:line="60" w:lineRule="exact"/>
        <w:rPr>
          <w:sz w:val="20"/>
          <w:szCs w:val="20"/>
          <w:color w:val="auto"/>
        </w:rPr>
      </w:pPr>
    </w:p>
    <w:p>
      <w:pPr>
        <w:ind w:right="160" w:firstLine="480"/>
        <w:spacing w:after="0" w:line="241" w:lineRule="auto"/>
        <w:rPr>
          <w:sz w:val="20"/>
          <w:szCs w:val="20"/>
          <w:color w:val="auto"/>
        </w:rPr>
      </w:pPr>
      <w:r>
        <w:rPr>
          <w:rFonts w:ascii="Times New Roman" w:cs="Times New Roman" w:eastAsia="Times New Roman" w:hAnsi="Times New Roman"/>
          <w:sz w:val="10"/>
          <w:szCs w:val="10"/>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9"/>
          <w:szCs w:val="9"/>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18"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10"/>
          <w:szCs w:val="10"/>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05" w:lineRule="exact"/>
        <w:rPr>
          <w:sz w:val="20"/>
          <w:szCs w:val="20"/>
          <w:color w:val="auto"/>
        </w:rPr>
      </w:pPr>
    </w:p>
    <w:p>
      <w:pPr>
        <w:jc w:val="both"/>
        <w:ind w:right="80" w:firstLine="480"/>
        <w:spacing w:after="0" w:line="245" w:lineRule="auto"/>
        <w:rPr>
          <w:sz w:val="20"/>
          <w:szCs w:val="20"/>
          <w:color w:val="auto"/>
        </w:rPr>
      </w:pPr>
      <w:r>
        <w:rPr>
          <w:rFonts w:ascii="Times New Roman" w:cs="Times New Roman" w:eastAsia="Times New Roman" w:hAnsi="Times New Roman"/>
          <w:sz w:val="10"/>
          <w:szCs w:val="10"/>
          <w:color w:val="auto"/>
        </w:rPr>
        <w:t>The Company has engaged Bishop IR (“Bishop”) as an investor relations advisor in connection with the initial Business Combination for the period from June 21, 2023 through June 20, 2024 with a monthly fee of $ 8,000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Business Combination Marketing Agreement</w:t>
      </w:r>
    </w:p>
    <w:p>
      <w:pPr>
        <w:spacing w:after="0" w:line="60" w:lineRule="exact"/>
        <w:rPr>
          <w:sz w:val="20"/>
          <w:szCs w:val="20"/>
          <w:color w:val="auto"/>
        </w:rPr>
      </w:pPr>
    </w:p>
    <w:p>
      <w:pPr>
        <w:ind w:right="40" w:firstLine="480"/>
        <w:spacing w:after="0" w:line="239" w:lineRule="auto"/>
        <w:rPr>
          <w:sz w:val="20"/>
          <w:szCs w:val="20"/>
          <w:color w:val="auto"/>
        </w:rPr>
      </w:pPr>
      <w:r>
        <w:rPr>
          <w:rFonts w:ascii="Times New Roman" w:cs="Times New Roman" w:eastAsia="Times New Roman" w:hAnsi="Times New Roman"/>
          <w:sz w:val="10"/>
          <w:szCs w:val="10"/>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 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55" w:right="660" w:bottom="1440" w:gutter="0" w:footer="0" w:header="0"/>
        </w:sectPr>
      </w:pPr>
    </w:p>
    <w:bookmarkStart w:id="281" w:name="page282"/>
    <w:bookmarkEnd w:id="281"/>
    <w:p>
      <w:pPr>
        <w:ind w:right="200" w:firstLine="480"/>
        <w:spacing w:after="0" w:line="255" w:lineRule="auto"/>
        <w:rPr>
          <w:sz w:val="20"/>
          <w:szCs w:val="20"/>
          <w:color w:val="auto"/>
        </w:rPr>
      </w:pPr>
      <w:r>
        <w:rPr>
          <w:rFonts w:ascii="Times New Roman" w:cs="Times New Roman" w:eastAsia="Times New Roman" w:hAnsi="Times New Roman"/>
          <w:sz w:val="10"/>
          <w:szCs w:val="10"/>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Non-Redemption Agreements</w:t>
      </w:r>
    </w:p>
    <w:p>
      <w:pPr>
        <w:spacing w:after="0" w:line="60" w:lineRule="exact"/>
        <w:rPr>
          <w:sz w:val="20"/>
          <w:szCs w:val="20"/>
          <w:color w:val="auto"/>
        </w:rPr>
      </w:pPr>
    </w:p>
    <w:p>
      <w:pPr>
        <w:ind w:firstLine="480"/>
        <w:spacing w:after="0" w:line="239" w:lineRule="auto"/>
        <w:rPr>
          <w:sz w:val="20"/>
          <w:szCs w:val="20"/>
          <w:color w:val="auto"/>
        </w:rPr>
      </w:pPr>
      <w:r>
        <w:rPr>
          <w:rFonts w:ascii="Times New Roman" w:cs="Times New Roman" w:eastAsia="Times New Roman" w:hAnsi="Times New Roman"/>
          <w:sz w:val="10"/>
          <w:szCs w:val="10"/>
          <w:color w:val="auto"/>
        </w:rPr>
        <w:t>On January 20, 2023, the Company and its Sponsor entered into ten agreements (the “Non- 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Right of First Refusal</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Purchasing Agreement</w:t>
      </w:r>
    </w:p>
    <w:p>
      <w:pPr>
        <w:spacing w:after="0" w:line="60" w:lineRule="exact"/>
        <w:rPr>
          <w:sz w:val="20"/>
          <w:szCs w:val="20"/>
          <w:color w:val="auto"/>
        </w:rPr>
      </w:pPr>
    </w:p>
    <w:p>
      <w:pPr>
        <w:ind w:right="20" w:firstLine="480"/>
        <w:spacing w:after="0" w:line="239" w:lineRule="auto"/>
        <w:rPr>
          <w:sz w:val="20"/>
          <w:szCs w:val="20"/>
          <w:color w:val="auto"/>
        </w:rPr>
      </w:pPr>
      <w:r>
        <w:rPr>
          <w:rFonts w:ascii="Times New Roman" w:cs="Times New Roman" w:eastAsia="Times New Roman" w:hAnsi="Times New Roman"/>
          <w:sz w:val="10"/>
          <w:szCs w:val="10"/>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5 — Recurring Fair Value Measurements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8"/>
              </w:rPr>
              <w:t>Fair Value</w:t>
            </w:r>
          </w:p>
        </w:tc>
      </w:t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99"/>
        </w:trPr>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7"/>
              <w:spacing w:after="0"/>
              <w:rPr>
                <w:sz w:val="20"/>
                <w:szCs w:val="20"/>
                <w:color w:val="auto"/>
              </w:rPr>
            </w:pPr>
            <w:r>
              <w:rPr>
                <w:rFonts w:ascii="Times New Roman" w:cs="Times New Roman" w:eastAsia="Times New Roman" w:hAnsi="Times New Roman"/>
                <w:sz w:val="8"/>
                <w:szCs w:val="8"/>
                <w:b w:val="1"/>
                <w:bCs w:val="1"/>
                <w:color w:val="auto"/>
                <w:w w:val="99"/>
              </w:rPr>
              <w:t>2023</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7"/>
              <w:spacing w:after="0"/>
              <w:rPr>
                <w:sz w:val="20"/>
                <w:szCs w:val="20"/>
                <w:color w:val="auto"/>
              </w:rPr>
            </w:pPr>
            <w:r>
              <w:rPr>
                <w:rFonts w:ascii="Times New Roman" w:cs="Times New Roman" w:eastAsia="Times New Roman" w:hAnsi="Times New Roman"/>
                <w:sz w:val="8"/>
                <w:szCs w:val="8"/>
                <w:b w:val="1"/>
                <w:bCs w:val="1"/>
                <w:color w:val="auto"/>
                <w:w w:val="98"/>
              </w:rPr>
              <w:t>Losses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ind w:right="117"/>
              <w:spacing w:after="0"/>
              <w:rPr>
                <w:sz w:val="20"/>
                <w:szCs w:val="20"/>
                <w:color w:val="auto"/>
              </w:rPr>
            </w:pPr>
            <w:r>
              <w:rPr>
                <w:rFonts w:ascii="Times New Roman" w:cs="Times New Roman" w:eastAsia="Times New Roman" w:hAnsi="Times New Roman"/>
                <w:sz w:val="8"/>
                <w:szCs w:val="8"/>
                <w:b w:val="1"/>
                <w:bCs w:val="1"/>
                <w:color w:val="auto"/>
                <w:w w:val="99"/>
              </w:rPr>
              <w:t>2023</w:t>
            </w:r>
          </w:p>
        </w:tc>
      </w:tr>
      <w:tr>
        <w:trPr>
          <w:trHeight w:val="122"/>
        </w:trPr>
        <w:tc>
          <w:tcPr>
            <w:tcW w:w="4520" w:type="dxa"/>
            <w:vAlign w:val="bottom"/>
          </w:tcPr>
          <w:p>
            <w:pPr>
              <w:spacing w:after="0"/>
              <w:rPr>
                <w:sz w:val="20"/>
                <w:szCs w:val="20"/>
                <w:color w:val="auto"/>
              </w:rPr>
            </w:pPr>
            <w:r>
              <w:rPr>
                <w:rFonts w:ascii="Times New Roman" w:cs="Times New Roman" w:eastAsia="Times New Roman" w:hAnsi="Times New Roman"/>
                <w:sz w:val="10"/>
                <w:szCs w:val="10"/>
                <w:color w:val="auto"/>
              </w:rPr>
              <w:t>Interest bearing demand deposit account</w:t>
            </w:r>
          </w:p>
        </w:tc>
        <w:tc>
          <w:tcPr>
            <w:tcW w:w="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25,324,028</w:t>
            </w:r>
          </w:p>
        </w:tc>
        <w:tc>
          <w:tcPr>
            <w:tcW w:w="200" w:type="dxa"/>
            <w:vAlign w:val="bottom"/>
          </w:tcPr>
          <w:p>
            <w:pPr>
              <w:spacing w:after="0"/>
              <w:rPr>
                <w:sz w:val="10"/>
                <w:szCs w:val="10"/>
                <w:color w:val="auto"/>
              </w:rPr>
            </w:pP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10"/>
                <w:szCs w:val="10"/>
                <w:color w:val="auto"/>
              </w:rPr>
            </w:pP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0"/>
                <w:szCs w:val="10"/>
                <w:color w:val="auto"/>
              </w:rPr>
            </w:pPr>
          </w:p>
        </w:tc>
        <w:tc>
          <w:tcPr>
            <w:tcW w:w="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25,324,028</w:t>
            </w: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155" w:right="620" w:bottom="1440" w:gutter="0" w:footer="0" w:header="0"/>
        </w:sectPr>
      </w:pPr>
    </w:p>
    <w:bookmarkStart w:id="282" w:name="page283"/>
    <w:bookmarkEnd w:id="282"/>
    <w:p>
      <w:pPr>
        <w:ind w:left="480"/>
        <w:spacing w:after="0"/>
        <w:rPr>
          <w:sz w:val="20"/>
          <w:szCs w:val="20"/>
          <w:color w:val="auto"/>
        </w:rPr>
      </w:pPr>
      <w:r>
        <w:rPr>
          <w:rFonts w:ascii="Times New Roman" w:cs="Times New Roman" w:eastAsia="Times New Roman" w:hAnsi="Times New Roman"/>
          <w:sz w:val="10"/>
          <w:szCs w:val="10"/>
          <w:color w:val="auto"/>
        </w:rPr>
        <w:t>Funds in the Company’s Trust Account were invested in U.S. Treasury securities as of September 30, 2022, and classified as held-to-maturity and Level 1 in the hierarchy of fair value measurements as follows:</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Carrying</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w w:val="98"/>
              </w:rPr>
              <w:t>Fair Value</w:t>
            </w:r>
          </w:p>
        </w:tc>
      </w:t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Value as of</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Gross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as of</w:t>
            </w:r>
          </w:p>
        </w:tc>
      </w:tr>
      <w:tr>
        <w:trPr>
          <w:trHeight w:val="98"/>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jc w:val="center"/>
              <w:ind w:right="13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106"/>
        </w:trPr>
        <w:tc>
          <w:tcPr>
            <w:tcW w:w="4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13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9"/>
              </w:rPr>
              <w:t>Gains</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8"/>
                <w:szCs w:val="8"/>
                <w:b w:val="1"/>
                <w:bCs w:val="1"/>
                <w:color w:val="auto"/>
                <w:w w:val="98"/>
              </w:rPr>
              <w:t>Losses</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center"/>
              <w:ind w:right="116"/>
              <w:spacing w:after="0"/>
              <w:rPr>
                <w:sz w:val="20"/>
                <w:szCs w:val="20"/>
                <w:color w:val="auto"/>
              </w:rPr>
            </w:pPr>
            <w:r>
              <w:rPr>
                <w:rFonts w:ascii="Times New Roman" w:cs="Times New Roman" w:eastAsia="Times New Roman" w:hAnsi="Times New Roman"/>
                <w:sz w:val="8"/>
                <w:szCs w:val="8"/>
                <w:b w:val="1"/>
                <w:bCs w:val="1"/>
                <w:color w:val="auto"/>
                <w:w w:val="99"/>
              </w:rPr>
              <w:t>2022</w:t>
            </w:r>
          </w:p>
        </w:tc>
        <w:tc>
          <w:tcPr>
            <w:tcW w:w="100" w:type="dxa"/>
            <w:vAlign w:val="bottom"/>
          </w:tcPr>
          <w:p>
            <w:pPr>
              <w:spacing w:after="0"/>
              <w:rPr>
                <w:sz w:val="9"/>
                <w:szCs w:val="9"/>
                <w:color w:val="auto"/>
              </w:rPr>
            </w:pPr>
          </w:p>
        </w:tc>
      </w:tr>
      <w:tr>
        <w:trPr>
          <w:trHeight w:val="113"/>
        </w:trPr>
        <w:tc>
          <w:tcPr>
            <w:tcW w:w="454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Cash</w:t>
            </w:r>
          </w:p>
        </w:tc>
        <w:tc>
          <w:tcPr>
            <w:tcW w:w="180" w:type="dxa"/>
            <w:vAlign w:val="bottom"/>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320</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FF0FC"/>
          </w:tcPr>
          <w:p>
            <w:pPr>
              <w:ind w:left="78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360" w:type="dxa"/>
            <w:vAlign w:val="bottom"/>
            <w:gridSpan w:val="2"/>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320</w:t>
            </w:r>
          </w:p>
        </w:tc>
        <w:tc>
          <w:tcPr>
            <w:tcW w:w="100" w:type="dxa"/>
            <w:vAlign w:val="bottom"/>
            <w:shd w:val="clear" w:color="auto" w:fill="CFF0FC"/>
          </w:tcPr>
          <w:p>
            <w:pPr>
              <w:spacing w:after="0"/>
              <w:rPr>
                <w:sz w:val="9"/>
                <w:szCs w:val="9"/>
                <w:color w:val="auto"/>
              </w:rPr>
            </w:pPr>
          </w:p>
        </w:tc>
      </w:tr>
      <w:tr>
        <w:trPr>
          <w:trHeight w:val="125"/>
        </w:trPr>
        <w:tc>
          <w:tcPr>
            <w:tcW w:w="45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U.S. Treasury Bills</w:t>
            </w:r>
          </w:p>
        </w:tc>
        <w:tc>
          <w:tcPr>
            <w:tcW w:w="1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150,844,605</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19,242</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ind w:left="7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150,863,847</w:t>
            </w:r>
          </w:p>
        </w:tc>
        <w:tc>
          <w:tcPr>
            <w:tcW w:w="100" w:type="dxa"/>
            <w:vAlign w:val="bottom"/>
          </w:tcPr>
          <w:p>
            <w:pPr>
              <w:spacing w:after="0"/>
              <w:rPr>
                <w:sz w:val="10"/>
                <w:szCs w:val="10"/>
                <w:color w:val="auto"/>
              </w:rPr>
            </w:pPr>
          </w:p>
        </w:tc>
      </w:tr>
      <w:tr>
        <w:trPr>
          <w:trHeight w:val="100"/>
        </w:trPr>
        <w:tc>
          <w:tcPr>
            <w:tcW w:w="4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5"/>
        </w:trPr>
        <w:tc>
          <w:tcPr>
            <w:tcW w:w="454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shd w:val="clear" w:color="auto" w:fill="CFF0FC"/>
          </w:tcPr>
          <w:p>
            <w:pPr>
              <w:jc w:val="right"/>
              <w:ind w:right="7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150,844,925</w:t>
            </w:r>
          </w:p>
        </w:tc>
        <w:tc>
          <w:tcPr>
            <w:tcW w:w="2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19,242</w:t>
            </w:r>
          </w:p>
        </w:tc>
        <w:tc>
          <w:tcPr>
            <w:tcW w:w="200" w:type="dxa"/>
            <w:vAlign w:val="bottom"/>
            <w:tcBorders>
              <w:bottom w:val="single" w:sz="8" w:color="CFF0FC"/>
            </w:tcBorders>
            <w:shd w:val="clear" w:color="auto" w:fill="CFF0FC"/>
          </w:tcPr>
          <w:p>
            <w:pPr>
              <w:spacing w:after="0"/>
              <w:rPr>
                <w:sz w:val="10"/>
                <w:szCs w:val="10"/>
                <w:color w:val="auto"/>
              </w:rPr>
            </w:pPr>
          </w:p>
        </w:tc>
        <w:tc>
          <w:tcPr>
            <w:tcW w:w="200" w:type="dxa"/>
            <w:vAlign w:val="bottom"/>
            <w:tcBorders>
              <w:bottom w:val="single" w:sz="8" w:color="auto"/>
            </w:tcBorders>
            <w:shd w:val="clear" w:color="auto" w:fill="CFF0FC"/>
          </w:tcPr>
          <w:p>
            <w:pPr>
              <w:jc w:val="right"/>
              <w:ind w:right="9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FF0FC"/>
          </w:tcPr>
          <w:p>
            <w:pPr>
              <w:ind w:left="780"/>
              <w:spacing w:after="0" w:line="113" w:lineRule="exact"/>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jc w:val="right"/>
              <w:ind w:right="51"/>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150,864,167</w:t>
            </w:r>
          </w:p>
        </w:tc>
        <w:tc>
          <w:tcPr>
            <w:tcW w:w="100" w:type="dxa"/>
            <w:vAlign w:val="bottom"/>
            <w:tcBorders>
              <w:bottom w:val="single" w:sz="8" w:color="CFF0FC"/>
            </w:tcBorders>
            <w:shd w:val="clear" w:color="auto" w:fill="CFF0FC"/>
          </w:tcPr>
          <w:p>
            <w:pPr>
              <w:spacing w:after="0"/>
              <w:rPr>
                <w:sz w:val="10"/>
                <w:szCs w:val="10"/>
                <w:color w:val="auto"/>
              </w:rPr>
            </w:pPr>
          </w:p>
        </w:tc>
      </w:tr>
    </w:tbl>
    <w:p>
      <w:pPr>
        <w:spacing w:after="0" w:line="1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There were no transfers between Levels 1, 2 or 3 during the years ended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6 — Stockholders’ Equity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Preferred stock</w:t>
      </w:r>
    </w:p>
    <w:p>
      <w:pPr>
        <w:spacing w:after="0" w:line="6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0"/>
          <w:szCs w:val="10"/>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Common stock</w:t>
      </w:r>
    </w:p>
    <w:p>
      <w:pPr>
        <w:spacing w:after="0" w:line="60" w:lineRule="exact"/>
        <w:rPr>
          <w:sz w:val="20"/>
          <w:szCs w:val="20"/>
          <w:color w:val="auto"/>
        </w:rPr>
      </w:pPr>
    </w:p>
    <w:p>
      <w:pPr>
        <w:jc w:val="both"/>
        <w:ind w:right="200" w:firstLine="480"/>
        <w:spacing w:after="0" w:line="245" w:lineRule="auto"/>
        <w:rPr>
          <w:sz w:val="20"/>
          <w:szCs w:val="20"/>
          <w:color w:val="auto"/>
        </w:rPr>
      </w:pPr>
      <w:r>
        <w:rPr>
          <w:rFonts w:ascii="Times New Roman" w:cs="Times New Roman" w:eastAsia="Times New Roman" w:hAnsi="Times New Roman"/>
          <w:sz w:val="10"/>
          <w:szCs w:val="10"/>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05"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08" w:lineRule="exact"/>
        <w:rPr>
          <w:sz w:val="20"/>
          <w:szCs w:val="20"/>
          <w:color w:val="auto"/>
        </w:rPr>
      </w:pPr>
    </w:p>
    <w:p>
      <w:pPr>
        <w:ind w:right="80" w:firstLine="480"/>
        <w:spacing w:after="0" w:line="255" w:lineRule="auto"/>
        <w:rPr>
          <w:sz w:val="20"/>
          <w:szCs w:val="20"/>
          <w:color w:val="auto"/>
        </w:rPr>
      </w:pPr>
      <w:r>
        <w:rPr>
          <w:rFonts w:ascii="Times New Roman" w:cs="Times New Roman" w:eastAsia="Times New Roman" w:hAnsi="Times New Roman"/>
          <w:sz w:val="10"/>
          <w:szCs w:val="10"/>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i w:val="1"/>
          <w:iCs w:val="1"/>
          <w:color w:val="auto"/>
        </w:rPr>
        <w:t>Warrants</w:t>
      </w:r>
    </w:p>
    <w:p>
      <w:pPr>
        <w:spacing w:after="0" w:line="60" w:lineRule="exact"/>
        <w:rPr>
          <w:sz w:val="20"/>
          <w:szCs w:val="20"/>
          <w:color w:val="auto"/>
        </w:rPr>
      </w:pPr>
    </w:p>
    <w:p>
      <w:pPr>
        <w:ind w:firstLine="480"/>
        <w:spacing w:after="0" w:line="269" w:lineRule="auto"/>
        <w:rPr>
          <w:sz w:val="20"/>
          <w:szCs w:val="20"/>
          <w:color w:val="auto"/>
        </w:rPr>
      </w:pPr>
      <w:r>
        <w:rPr>
          <w:rFonts w:ascii="Times New Roman" w:cs="Times New Roman" w:eastAsia="Times New Roman" w:hAnsi="Times New Roman"/>
          <w:sz w:val="9"/>
          <w:szCs w:val="9"/>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5" w:right="66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0"/>
          <w:szCs w:val="10"/>
          <w:color w:val="auto"/>
        </w:rPr>
        <w:t>day prior to the date of exercise. The warrants will expire on the fifth anniversary of the completion of an initial Business Combination, at 5:00 p.m., New York City time, or earlier upon redemption or liquidation.</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may call the warrants for redemption, in whole and not in part, at a price of $0.01 per warrant, in whole and not in part: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•at any time after the warrants become exercisable,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•upon not less than 30 days’ prior written notice of redemption to each warrant holder</w:t>
      </w:r>
    </w:p>
    <w:p>
      <w:pPr>
        <w:spacing w:after="0" w:line="58" w:lineRule="exact"/>
        <w:rPr>
          <w:sz w:val="20"/>
          <w:szCs w:val="20"/>
          <w:color w:val="auto"/>
        </w:rPr>
      </w:pPr>
    </w:p>
    <w:p>
      <w:pPr>
        <w:ind w:left="480" w:right="60"/>
        <w:spacing w:after="0" w:line="255" w:lineRule="auto"/>
        <w:rPr>
          <w:sz w:val="20"/>
          <w:szCs w:val="20"/>
          <w:color w:val="auto"/>
        </w:rPr>
      </w:pPr>
      <w:r>
        <w:rPr>
          <w:rFonts w:ascii="Times New Roman" w:cs="Times New Roman" w:eastAsia="Times New Roman" w:hAnsi="Times New Roman"/>
          <w:sz w:val="10"/>
          <w:szCs w:val="10"/>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•if, and only if, there is a current registration statement in effect with respect to the shares of common stock underlying such warrants.</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ind w:right="120" w:firstLine="480"/>
        <w:spacing w:after="0" w:line="239" w:lineRule="auto"/>
        <w:rPr>
          <w:sz w:val="20"/>
          <w:szCs w:val="20"/>
          <w:color w:val="auto"/>
        </w:rPr>
      </w:pPr>
      <w:r>
        <w:rPr>
          <w:rFonts w:ascii="Times New Roman" w:cs="Times New Roman" w:eastAsia="Times New Roman" w:hAnsi="Times New Roman"/>
          <w:sz w:val="10"/>
          <w:szCs w:val="10"/>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7 — Income Tax</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Company’s net deferred tax assets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vMerge w:val="restart"/>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 tax asset</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Organizational costs/Startup expenses</w:t>
            </w:r>
          </w:p>
        </w:tc>
        <w:tc>
          <w:tcPr>
            <w:tcW w:w="3220" w:type="dxa"/>
            <w:vAlign w:val="bottom"/>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504,667</w:t>
            </w:r>
          </w:p>
        </w:tc>
        <w:tc>
          <w:tcPr>
            <w:tcW w:w="36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351,592</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Stock-based compensation</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129,350</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83,517</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Total deferred tax asset</w:t>
            </w:r>
          </w:p>
        </w:tc>
        <w:tc>
          <w:tcPr>
            <w:tcW w:w="3220" w:type="dxa"/>
            <w:vAlign w:val="bottom"/>
          </w:tcPr>
          <w:p>
            <w:pPr>
              <w:spacing w:after="0"/>
              <w:rPr>
                <w:sz w:val="9"/>
                <w:szCs w:val="9"/>
                <w:color w:val="auto"/>
              </w:rPr>
            </w:pP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634,017</w:t>
            </w:r>
          </w:p>
        </w:tc>
        <w:tc>
          <w:tcPr>
            <w:tcW w:w="360" w:type="dxa"/>
            <w:vAlign w:val="bottom"/>
          </w:tcPr>
          <w:p>
            <w:pPr>
              <w:spacing w:after="0"/>
              <w:rPr>
                <w:sz w:val="9"/>
                <w:szCs w:val="9"/>
                <w:color w:val="auto"/>
              </w:rPr>
            </w:pP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435,209</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Valuation allowance</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w w:val="95"/>
              </w:rPr>
              <w:t>(634,017 )</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(435,209 )</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Deferred tax asset, net of allowance</w:t>
            </w:r>
          </w:p>
        </w:tc>
        <w:tc>
          <w:tcPr>
            <w:tcW w:w="322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14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The income tax provision consists of the following:</w:t>
            </w:r>
          </w:p>
        </w:tc>
        <w:tc>
          <w:tcPr>
            <w:tcW w:w="3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58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2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2023</w:t>
            </w:r>
          </w:p>
        </w:tc>
        <w:tc>
          <w:tcPr>
            <w:tcW w:w="860" w:type="dxa"/>
            <w:vAlign w:val="bottom"/>
            <w:gridSpan w:val="2"/>
          </w:tcPr>
          <w:p>
            <w:pPr>
              <w:jc w:val="right"/>
              <w:ind w:right="71"/>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00" w:type="dxa"/>
            <w:vAlign w:val="bottom"/>
            <w:vMerge w:val="restart"/>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2022</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15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Federal</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Current</w:t>
            </w:r>
          </w:p>
        </w:tc>
        <w:tc>
          <w:tcPr>
            <w:tcW w:w="3220" w:type="dxa"/>
            <w:vAlign w:val="bottom"/>
          </w:tcPr>
          <w:p>
            <w:pPr>
              <w:jc w:val="right"/>
              <w:ind w:right="533"/>
              <w:spacing w:after="0" w:line="113"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91"/>
              <w:spacing w:after="0" w:line="113"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32"/>
              <w:spacing w:after="0" w:line="113" w:lineRule="exact"/>
              <w:rPr>
                <w:sz w:val="20"/>
                <w:szCs w:val="20"/>
                <w:color w:val="auto"/>
              </w:rPr>
            </w:pPr>
            <w:r>
              <w:rPr>
                <w:rFonts w:ascii="Times New Roman" w:cs="Times New Roman" w:eastAsia="Times New Roman" w:hAnsi="Times New Roman"/>
                <w:sz w:val="10"/>
                <w:szCs w:val="10"/>
                <w:color w:val="auto"/>
                <w:w w:val="95"/>
              </w:rPr>
              <w:t>(198,808 )</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(336,741 )</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State</w:t>
            </w:r>
          </w:p>
        </w:tc>
        <w:tc>
          <w:tcPr>
            <w:tcW w:w="3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Current</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Deferred</w:t>
            </w:r>
          </w:p>
        </w:tc>
        <w:tc>
          <w:tcPr>
            <w:tcW w:w="3220" w:type="dxa"/>
            <w:vAlign w:val="bottom"/>
          </w:tcPr>
          <w:p>
            <w:pPr>
              <w:spacing w:after="0"/>
              <w:rPr>
                <w:sz w:val="9"/>
                <w:szCs w:val="9"/>
                <w:color w:val="auto"/>
              </w:rPr>
            </w:pPr>
          </w:p>
        </w:tc>
        <w:tc>
          <w:tcPr>
            <w:tcW w:w="500" w:type="dxa"/>
            <w:vAlign w:val="bottom"/>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9"/>
                <w:szCs w:val="9"/>
                <w:color w:val="auto"/>
              </w:rPr>
            </w:pPr>
          </w:p>
        </w:tc>
        <w:tc>
          <w:tcPr>
            <w:tcW w:w="800" w:type="dxa"/>
            <w:vAlign w:val="bottom"/>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580" w:type="dxa"/>
            <w:vAlign w:val="bottom"/>
          </w:tcPr>
          <w:p>
            <w:pPr>
              <w:spacing w:after="0"/>
              <w:rPr>
                <w:sz w:val="9"/>
                <w:szCs w:val="9"/>
                <w:color w:val="auto"/>
              </w:rPr>
            </w:pPr>
          </w:p>
        </w:tc>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3220" w:type="dxa"/>
            <w:vAlign w:val="bottom"/>
            <w:shd w:val="clear" w:color="auto" w:fill="CFF0FC"/>
          </w:tcPr>
          <w:p>
            <w:pPr>
              <w:spacing w:after="0"/>
              <w:rPr>
                <w:sz w:val="9"/>
                <w:szCs w:val="9"/>
                <w:color w:val="auto"/>
              </w:rPr>
            </w:pPr>
          </w:p>
        </w:tc>
        <w:tc>
          <w:tcPr>
            <w:tcW w:w="50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198,808</w:t>
            </w:r>
          </w:p>
        </w:tc>
        <w:tc>
          <w:tcPr>
            <w:tcW w:w="360" w:type="dxa"/>
            <w:vAlign w:val="bottom"/>
            <w:shd w:val="clear" w:color="auto" w:fill="CFF0FC"/>
          </w:tcPr>
          <w:p>
            <w:pPr>
              <w:spacing w:after="0"/>
              <w:rPr>
                <w:sz w:val="9"/>
                <w:szCs w:val="9"/>
                <w:color w:val="auto"/>
              </w:rPr>
            </w:pPr>
          </w:p>
        </w:tc>
        <w:tc>
          <w:tcPr>
            <w:tcW w:w="800" w:type="dxa"/>
            <w:vAlign w:val="bottom"/>
            <w:shd w:val="clear" w:color="auto" w:fill="CFF0FC"/>
          </w:tcPr>
          <w:p>
            <w:pPr>
              <w:jc w:val="right"/>
              <w:ind w:right="12"/>
              <w:spacing w:after="0" w:line="113" w:lineRule="exact"/>
              <w:rPr>
                <w:sz w:val="20"/>
                <w:szCs w:val="20"/>
                <w:color w:val="auto"/>
              </w:rPr>
            </w:pPr>
            <w:r>
              <w:rPr>
                <w:rFonts w:ascii="Times New Roman" w:cs="Times New Roman" w:eastAsia="Times New Roman" w:hAnsi="Times New Roman"/>
                <w:sz w:val="10"/>
                <w:szCs w:val="10"/>
                <w:color w:val="auto"/>
              </w:rPr>
              <w:t>336,741</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580" w:type="dxa"/>
            <w:vAlign w:val="bottom"/>
          </w:tcPr>
          <w:p>
            <w:pPr>
              <w:spacing w:after="0"/>
              <w:rPr>
                <w:sz w:val="11"/>
                <w:szCs w:val="11"/>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3220" w:type="dxa"/>
            <w:vAlign w:val="bottom"/>
          </w:tcPr>
          <w:p>
            <w:pPr>
              <w:jc w:val="right"/>
              <w:ind w:right="533"/>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615,284</w:t>
            </w:r>
          </w:p>
        </w:tc>
        <w:tc>
          <w:tcPr>
            <w:tcW w:w="3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145,621</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20" w:type="dxa"/>
            <w:vAlign w:val="bottom"/>
          </w:tcPr>
          <w:p>
            <w:pPr>
              <w:jc w:val="right"/>
              <w:ind w:right="1893"/>
              <w:spacing w:after="0"/>
              <w:rPr>
                <w:sz w:val="20"/>
                <w:szCs w:val="20"/>
                <w:color w:val="auto"/>
              </w:rPr>
            </w:pPr>
            <w:r>
              <w:rPr>
                <w:rFonts w:ascii="Times New Roman" w:cs="Times New Roman" w:eastAsia="Times New Roman" w:hAnsi="Times New Roman"/>
                <w:sz w:val="10"/>
                <w:szCs w:val="10"/>
                <w:color w:val="auto"/>
              </w:rPr>
              <w:t>F-145</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80" w:type="dxa"/>
            <w:vAlign w:val="bottom"/>
            <w:tcBorders>
              <w:bottom w:val="single" w:sz="8" w:color="EEEEEE"/>
            </w:tcBorders>
          </w:tcPr>
          <w:p>
            <w:pPr>
              <w:spacing w:after="0"/>
              <w:rPr>
                <w:sz w:val="24"/>
                <w:szCs w:val="24"/>
                <w:color w:val="auto"/>
              </w:rPr>
            </w:pPr>
          </w:p>
        </w:tc>
        <w:tc>
          <w:tcPr>
            <w:tcW w:w="2560" w:type="dxa"/>
            <w:vAlign w:val="bottom"/>
            <w:tcBorders>
              <w:bottom w:val="single" w:sz="8" w:color="EEEEEE"/>
            </w:tcBorders>
          </w:tcPr>
          <w:p>
            <w:pPr>
              <w:spacing w:after="0"/>
              <w:rPr>
                <w:sz w:val="24"/>
                <w:szCs w:val="24"/>
                <w:color w:val="auto"/>
              </w:rPr>
            </w:pPr>
          </w:p>
        </w:tc>
        <w:tc>
          <w:tcPr>
            <w:tcW w:w="32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84" w:name="page285"/>
    <w:bookmarkEnd w:id="284"/>
    <w:p>
      <w:pPr>
        <w:ind w:left="480"/>
        <w:spacing w:after="0"/>
        <w:rPr>
          <w:sz w:val="20"/>
          <w:szCs w:val="20"/>
          <w:color w:val="auto"/>
        </w:rPr>
      </w:pPr>
      <w:r>
        <w:rPr>
          <w:rFonts w:ascii="Times New Roman" w:cs="Times New Roman" w:eastAsia="Times New Roman" w:hAnsi="Times New Roman"/>
          <w:sz w:val="10"/>
          <w:szCs w:val="10"/>
          <w:color w:val="auto"/>
        </w:rPr>
        <w:t>As of September 30, 2023 and 2022, the Company had $0 of U.S. federal net operating loss carryovers, which do not expire, and no state net operating loss carryovers available to offset future taxable income.</w:t>
      </w:r>
    </w:p>
    <w:p>
      <w:pPr>
        <w:spacing w:after="0" w:line="118" w:lineRule="exact"/>
        <w:rPr>
          <w:sz w:val="20"/>
          <w:szCs w:val="20"/>
          <w:color w:val="auto"/>
        </w:rPr>
      </w:pPr>
    </w:p>
    <w:p>
      <w:pPr>
        <w:ind w:firstLine="480"/>
        <w:spacing w:after="0" w:line="241" w:lineRule="auto"/>
        <w:rPr>
          <w:sz w:val="20"/>
          <w:szCs w:val="20"/>
          <w:color w:val="auto"/>
        </w:rPr>
      </w:pPr>
      <w:r>
        <w:rPr>
          <w:rFonts w:ascii="Times New Roman" w:cs="Times New Roman" w:eastAsia="Times New Roman" w:hAnsi="Times New Roman"/>
          <w:sz w:val="10"/>
          <w:szCs w:val="10"/>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A reconciliation of the federal income tax rate to the Company’s effective tax rate at September 30, 2023 and 2022 are as follows:</w:t>
      </w:r>
    </w:p>
    <w:p>
      <w:pPr>
        <w:spacing w:after="0" w:line="153" w:lineRule="exact"/>
        <w:rPr>
          <w:sz w:val="20"/>
          <w:szCs w:val="20"/>
          <w:color w:val="auto"/>
        </w:rPr>
      </w:pPr>
    </w:p>
    <w:tbl>
      <w:tblPr>
        <w:tblLayout w:type="fixed"/>
        <w:tblInd w:w="1580" w:type="dxa"/>
        <w:tblCellMar>
          <w:top w:w="0" w:type="dxa"/>
          <w:left w:w="0" w:type="dxa"/>
          <w:bottom w:w="0" w:type="dxa"/>
          <w:right w:w="0" w:type="dxa"/>
        </w:tblCellMar>
      </w:tblPr>
      <w:tr>
        <w:trPr>
          <w:trHeight w:val="108"/>
        </w:trPr>
        <w:tc>
          <w:tcPr>
            <w:tcW w:w="5720" w:type="dxa"/>
            <w:vAlign w:val="bottom"/>
            <w:vMerge w:val="restart"/>
          </w:tcPr>
          <w:p>
            <w:pPr>
              <w:ind w:left="5480"/>
              <w:spacing w:after="0"/>
              <w:rPr>
                <w:sz w:val="20"/>
                <w:szCs w:val="20"/>
                <w:color w:val="auto"/>
              </w:rPr>
            </w:pPr>
            <w:r>
              <w:rPr>
                <w:rFonts w:ascii="Times New Roman" w:cs="Times New Roman" w:eastAsia="Times New Roman" w:hAnsi="Times New Roman"/>
                <w:sz w:val="8"/>
                <w:szCs w:val="8"/>
                <w:b w:val="1"/>
                <w:bCs w:val="1"/>
                <w:color w:val="auto"/>
              </w:rPr>
              <w:t>2023</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880" w:type="dxa"/>
            <w:vAlign w:val="bottom"/>
            <w:vMerge w:val="restart"/>
          </w:tcPr>
          <w:p>
            <w:pPr>
              <w:jc w:val="right"/>
              <w:ind w:right="51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96"/>
        </w:trPr>
        <w:tc>
          <w:tcPr>
            <w:tcW w:w="57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Statutory federal income tax rate</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21.00 %</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21.00 %</w:t>
            </w:r>
          </w:p>
        </w:tc>
        <w:tc>
          <w:tcPr>
            <w:tcW w:w="0" w:type="dxa"/>
            <w:vAlign w:val="bottom"/>
          </w:tcPr>
          <w:p>
            <w:pPr>
              <w:spacing w:after="0"/>
              <w:rPr>
                <w:sz w:val="1"/>
                <w:szCs w:val="1"/>
                <w:color w:val="auto"/>
              </w:rPr>
            </w:pPr>
          </w:p>
        </w:tc>
      </w:tr>
      <w:tr>
        <w:trPr>
          <w:trHeight w:val="113"/>
        </w:trPr>
        <w:tc>
          <w:tcPr>
            <w:tcW w:w="57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State taxes, net of federal tax benefit</w:t>
            </w:r>
          </w:p>
        </w:tc>
        <w:tc>
          <w:tcPr>
            <w:tcW w:w="84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0.00 %</w:t>
            </w: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0.00 %</w:t>
            </w: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Prior year true up</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0.99 %</w:t>
            </w:r>
          </w:p>
        </w:tc>
        <w:tc>
          <w:tcPr>
            <w:tcW w:w="880" w:type="dxa"/>
            <w:vAlign w:val="bottom"/>
            <w:shd w:val="clear" w:color="auto" w:fill="CFF0FC"/>
          </w:tcPr>
          <w:p>
            <w:pPr>
              <w:jc w:val="right"/>
              <w:ind w:right="72"/>
              <w:spacing w:after="0" w:line="113"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3"/>
        </w:trPr>
        <w:tc>
          <w:tcPr>
            <w:tcW w:w="5720" w:type="dxa"/>
            <w:vAlign w:val="bottom"/>
          </w:tcPr>
          <w:p>
            <w:pPr>
              <w:ind w:left="20"/>
              <w:spacing w:after="0" w:line="113" w:lineRule="exact"/>
              <w:rPr>
                <w:sz w:val="20"/>
                <w:szCs w:val="20"/>
                <w:color w:val="auto"/>
              </w:rPr>
            </w:pPr>
            <w:r>
              <w:rPr>
                <w:rFonts w:ascii="Times New Roman" w:cs="Times New Roman" w:eastAsia="Times New Roman" w:hAnsi="Times New Roman"/>
                <w:sz w:val="10"/>
                <w:szCs w:val="10"/>
                <w:color w:val="auto"/>
              </w:rPr>
              <w:t>Business combination expenses</w:t>
            </w:r>
          </w:p>
        </w:tc>
        <w:tc>
          <w:tcPr>
            <w:tcW w:w="840" w:type="dxa"/>
            <w:vAlign w:val="bottom"/>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119.13 %</w:t>
            </w:r>
          </w:p>
        </w:tc>
        <w:tc>
          <w:tcPr>
            <w:tcW w:w="88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color w:val="auto"/>
              </w:rPr>
              <w:t>(15.50 )%</w:t>
            </w:r>
          </w:p>
        </w:tc>
        <w:tc>
          <w:tcPr>
            <w:tcW w:w="0" w:type="dxa"/>
            <w:vAlign w:val="bottom"/>
          </w:tcPr>
          <w:p>
            <w:pPr>
              <w:spacing w:after="0"/>
              <w:rPr>
                <w:sz w:val="1"/>
                <w:szCs w:val="1"/>
                <w:color w:val="auto"/>
              </w:rPr>
            </w:pPr>
          </w:p>
        </w:tc>
      </w:tr>
      <w:tr>
        <w:trPr>
          <w:trHeight w:val="113"/>
        </w:trPr>
        <w:tc>
          <w:tcPr>
            <w:tcW w:w="572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0"/>
                <w:szCs w:val="10"/>
                <w:color w:val="auto"/>
              </w:rPr>
              <w:t>Change in valuation allowance</w:t>
            </w:r>
          </w:p>
        </w:tc>
        <w:tc>
          <w:tcPr>
            <w:tcW w:w="840" w:type="dxa"/>
            <w:vAlign w:val="bottom"/>
            <w:shd w:val="clear" w:color="auto" w:fill="CFF0FC"/>
          </w:tcPr>
          <w:p>
            <w:pPr>
              <w:jc w:val="right"/>
              <w:ind w:right="332"/>
              <w:spacing w:after="0" w:line="113" w:lineRule="exact"/>
              <w:rPr>
                <w:sz w:val="20"/>
                <w:szCs w:val="20"/>
                <w:color w:val="auto"/>
              </w:rPr>
            </w:pPr>
            <w:r>
              <w:rPr>
                <w:rFonts w:ascii="Times New Roman" w:cs="Times New Roman" w:eastAsia="Times New Roman" w:hAnsi="Times New Roman"/>
                <w:sz w:val="10"/>
                <w:szCs w:val="10"/>
                <w:color w:val="auto"/>
              </w:rPr>
              <w:t>67.40 %</w:t>
            </w:r>
          </w:p>
        </w:tc>
        <w:tc>
          <w:tcPr>
            <w:tcW w:w="880" w:type="dxa"/>
            <w:vAlign w:val="bottom"/>
            <w:shd w:val="clear" w:color="auto" w:fill="CFF0FC"/>
          </w:tcPr>
          <w:p>
            <w:pPr>
              <w:jc w:val="right"/>
              <w:spacing w:after="0" w:line="113" w:lineRule="exact"/>
              <w:rPr>
                <w:sz w:val="20"/>
                <w:szCs w:val="20"/>
                <w:color w:val="auto"/>
              </w:rPr>
            </w:pPr>
            <w:r>
              <w:rPr>
                <w:rFonts w:ascii="Times New Roman" w:cs="Times New Roman" w:eastAsia="Times New Roman" w:hAnsi="Times New Roman"/>
                <w:sz w:val="10"/>
                <w:szCs w:val="10"/>
                <w:color w:val="auto"/>
              </w:rPr>
              <w:t>(9.70 )%</w:t>
            </w:r>
          </w:p>
        </w:tc>
        <w:tc>
          <w:tcPr>
            <w:tcW w:w="0" w:type="dxa"/>
            <w:vAlign w:val="bottom"/>
          </w:tcPr>
          <w:p>
            <w:pPr>
              <w:spacing w:after="0"/>
              <w:rPr>
                <w:sz w:val="1"/>
                <w:szCs w:val="1"/>
                <w:color w:val="auto"/>
              </w:rPr>
            </w:pPr>
          </w:p>
        </w:tc>
      </w:tr>
      <w:tr>
        <w:trPr>
          <w:trHeight w:val="127"/>
        </w:trPr>
        <w:tc>
          <w:tcPr>
            <w:tcW w:w="57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Income tax provision</w:t>
            </w: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rPr>
              <w:t>207.49 %</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(4.25 )%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Company files income tax returns in the U.S. federal jurisdiction in various state and local jurisdictions and is subject to examination by the various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Note 8 — Subsequent Events</w:t>
      </w:r>
    </w:p>
    <w:p>
      <w:pPr>
        <w:spacing w:after="0" w:line="60"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0"/>
          <w:szCs w:val="10"/>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01" w:lineRule="exact"/>
        <w:rPr>
          <w:sz w:val="20"/>
          <w:szCs w:val="20"/>
          <w:color w:val="auto"/>
        </w:rPr>
      </w:pPr>
    </w:p>
    <w:p>
      <w:pPr>
        <w:ind w:right="180" w:firstLine="480"/>
        <w:spacing w:after="0" w:line="245" w:lineRule="auto"/>
        <w:rPr>
          <w:sz w:val="20"/>
          <w:szCs w:val="20"/>
          <w:color w:val="auto"/>
        </w:rPr>
      </w:pPr>
      <w:r>
        <w:rPr>
          <w:rFonts w:ascii="Times New Roman" w:cs="Times New Roman" w:eastAsia="Times New Roman" w:hAnsi="Times New Roman"/>
          <w:sz w:val="10"/>
          <w:szCs w:val="10"/>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October 11, 2023, the Company borrowed $70,900 under the Extension Note and deposited the funds into the Trust Account thereby extending the Termination Date to November 17, 2023.</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On November 9, 2023, the Company borrowed $70,900 under the Extension Note and deposited the funds into the Trust Account thereby extending the Termination Date to December 17, 2023.</w:t>
      </w:r>
    </w:p>
    <w:p>
      <w:pPr>
        <w:spacing w:after="0" w:line="118" w:lineRule="exact"/>
        <w:rPr>
          <w:sz w:val="20"/>
          <w:szCs w:val="20"/>
          <w:color w:val="auto"/>
        </w:rPr>
      </w:pPr>
    </w:p>
    <w:p>
      <w:pPr>
        <w:ind w:right="80" w:firstLine="480"/>
        <w:spacing w:after="0" w:line="245" w:lineRule="auto"/>
        <w:rPr>
          <w:sz w:val="20"/>
          <w:szCs w:val="20"/>
          <w:color w:val="auto"/>
        </w:rPr>
      </w:pPr>
      <w:r>
        <w:rPr>
          <w:rFonts w:ascii="Times New Roman" w:cs="Times New Roman" w:eastAsia="Times New Roman" w:hAnsi="Times New Roman"/>
          <w:sz w:val="10"/>
          <w:szCs w:val="10"/>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178" w:right="660" w:bottom="1440" w:gutter="0" w:footer="0" w:header="0"/>
        </w:sectPr>
      </w:pPr>
    </w:p>
    <w:bookmarkStart w:id="285" w:name="page286"/>
    <w:bookmarkEnd w:id="285"/>
    <w:p>
      <w:pPr>
        <w:jc w:val="center"/>
        <w:spacing w:after="0"/>
        <w:rPr>
          <w:sz w:val="20"/>
          <w:szCs w:val="20"/>
          <w:color w:val="auto"/>
        </w:rPr>
      </w:pPr>
      <w:r>
        <w:rPr>
          <w:rFonts w:ascii="Times New Roman" w:cs="Times New Roman" w:eastAsia="Times New Roman" w:hAnsi="Times New Roman"/>
          <w:sz w:val="10"/>
          <w:szCs w:val="10"/>
          <w:b w:val="1"/>
          <w:bCs w:val="1"/>
          <w:color w:val="auto"/>
        </w:rPr>
        <w:t>PART 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INFORMATION NOT REQUIRED IN PROSPECTUS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6. Indemnification of Directors and Officers.</w:t>
      </w:r>
    </w:p>
    <w:p>
      <w:pPr>
        <w:spacing w:after="0" w:line="60" w:lineRule="exact"/>
        <w:rPr>
          <w:sz w:val="20"/>
          <w:szCs w:val="20"/>
          <w:color w:val="auto"/>
        </w:rPr>
      </w:pPr>
    </w:p>
    <w:p>
      <w:pPr>
        <w:ind w:right="80" w:firstLine="480"/>
        <w:spacing w:after="0" w:line="310" w:lineRule="auto"/>
        <w:rPr>
          <w:sz w:val="20"/>
          <w:szCs w:val="20"/>
          <w:color w:val="auto"/>
        </w:rPr>
      </w:pPr>
      <w:r>
        <w:rPr>
          <w:rFonts w:ascii="Times New Roman" w:cs="Times New Roman" w:eastAsia="Times New Roman" w:hAnsi="Times New Roman"/>
          <w:sz w:val="9"/>
          <w:szCs w:val="9"/>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78"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7. Recent Sales of Unregistered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1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9"/>
          <w:szCs w:val="9"/>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8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0"/>
          <w:szCs w:val="10"/>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8. Exhibits and Financial Statements</w:t>
      </w:r>
    </w:p>
    <w:p>
      <w:pPr>
        <w:spacing w:after="0" w:line="58" w:lineRule="exact"/>
        <w:rPr>
          <w:sz w:val="20"/>
          <w:szCs w:val="20"/>
          <w:color w:val="auto"/>
        </w:rPr>
      </w:pPr>
    </w:p>
    <w:tbl>
      <w:tblPr>
        <w:tblLayout w:type="fixed"/>
        <w:tblInd w:w="400" w:type="dxa"/>
        <w:tblCellMar>
          <w:top w:w="0" w:type="dxa"/>
          <w:left w:w="0" w:type="dxa"/>
          <w:bottom w:w="0" w:type="dxa"/>
          <w:right w:w="0" w:type="dxa"/>
        </w:tblCellMar>
      </w:tblPr>
      <w:tr>
        <w:trPr>
          <w:trHeight w:val="127"/>
        </w:trPr>
        <w:tc>
          <w:tcPr>
            <w:tcW w:w="1060" w:type="dxa"/>
            <w:vAlign w:val="bottom"/>
          </w:tcPr>
          <w:p>
            <w:pPr>
              <w:ind w:left="80"/>
              <w:spacing w:after="0"/>
              <w:rPr>
                <w:sz w:val="20"/>
                <w:szCs w:val="20"/>
                <w:color w:val="auto"/>
              </w:rPr>
            </w:pPr>
            <w:r>
              <w:rPr>
                <w:rFonts w:ascii="Times New Roman" w:cs="Times New Roman" w:eastAsia="Times New Roman" w:hAnsi="Times New Roman"/>
                <w:sz w:val="10"/>
                <w:szCs w:val="10"/>
                <w:i w:val="1"/>
                <w:iCs w:val="1"/>
                <w:color w:val="auto"/>
              </w:rPr>
              <w:t>(a)Exhibits</w:t>
            </w: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1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Exhibit Number</w:t>
            </w:r>
          </w:p>
        </w:tc>
        <w:tc>
          <w:tcPr>
            <w:tcW w:w="8980" w:type="dxa"/>
            <w:vAlign w:val="bottom"/>
            <w:gridSpan w:val="10"/>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52"/>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2.1*</w:t>
            </w:r>
          </w:p>
        </w:tc>
        <w:tc>
          <w:tcPr>
            <w:tcW w:w="8940" w:type="dxa"/>
            <w:vAlign w:val="bottom"/>
            <w:tcBorders>
              <w:bottom w:val="single" w:sz="8" w:color="0000FF"/>
            </w:tcBorders>
            <w:gridSpan w:val="9"/>
          </w:tcPr>
          <w:p>
            <w:pPr>
              <w:spacing w:after="0"/>
              <w:rPr>
                <w:rFonts w:ascii="Times New Roman" w:cs="Times New Roman" w:eastAsia="Times New Roman" w:hAnsi="Times New Roman"/>
                <w:sz w:val="10"/>
                <w:szCs w:val="10"/>
                <w:color w:val="0000FF"/>
                <w:w w:val="97"/>
              </w:rPr>
            </w:pPr>
            <w:hyperlink r:id="rId307">
              <w:r>
                <w:rPr>
                  <w:rFonts w:ascii="Times New Roman" w:cs="Times New Roman" w:eastAsia="Times New Roman" w:hAnsi="Times New Roman"/>
                  <w:sz w:val="10"/>
                  <w:szCs w:val="10"/>
                  <w:color w:val="0000FF"/>
                  <w:w w:val="97"/>
                </w:rPr>
                <w:t>Business Combination Agreement, dated December 17, 2021, as amended on November 10, 2022 and as further amended and restated on June 16, 2023, as amended on August 4, 2023 (incorporated by reference to Exhibit 2.1 of</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2.2*</w:t>
            </w:r>
          </w:p>
        </w:tc>
        <w:tc>
          <w:tcPr>
            <w:tcW w:w="4040" w:type="dxa"/>
            <w:vAlign w:val="bottom"/>
            <w:tcBorders>
              <w:bottom w:val="single" w:sz="8" w:color="0000FF"/>
            </w:tcBorders>
            <w:gridSpan w:val="4"/>
          </w:tcPr>
          <w:p>
            <w:pPr>
              <w:spacing w:after="0" w:line="93" w:lineRule="exact"/>
              <w:rPr>
                <w:rFonts w:ascii="Times New Roman" w:cs="Times New Roman" w:eastAsia="Times New Roman" w:hAnsi="Times New Roman"/>
                <w:sz w:val="10"/>
                <w:szCs w:val="10"/>
                <w:color w:val="0000FF"/>
                <w:w w:val="97"/>
              </w:rPr>
            </w:pPr>
            <w:hyperlink r:id="rId307">
              <w:r>
                <w:rPr>
                  <w:rFonts w:ascii="Times New Roman" w:cs="Times New Roman" w:eastAsia="Times New Roman" w:hAnsi="Times New Roman"/>
                  <w:sz w:val="10"/>
                  <w:szCs w:val="10"/>
                  <w:color w:val="0000FF"/>
                  <w:w w:val="97"/>
                </w:rPr>
                <w:t>Rezolve AI Limited’s Registration Statement on Form F-1/A, filed with the SEC on October 28, 2024).</w:t>
              </w:r>
            </w:hyperlink>
          </w:p>
        </w:tc>
        <w:tc>
          <w:tcPr>
            <w:tcW w:w="4940" w:type="dxa"/>
            <w:vAlign w:val="bottom"/>
            <w:gridSpan w:val="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60" w:type="dxa"/>
            <w:vAlign w:val="bottom"/>
            <w:vMerge w:val="continue"/>
          </w:tcPr>
          <w:p>
            <w:pPr>
              <w:spacing w:after="0"/>
              <w:rPr>
                <w:sz w:val="8"/>
                <w:szCs w:val="8"/>
                <w:color w:val="auto"/>
              </w:rPr>
            </w:pPr>
          </w:p>
        </w:tc>
        <w:tc>
          <w:tcPr>
            <w:tcW w:w="8980" w:type="dxa"/>
            <w:vAlign w:val="bottom"/>
            <w:tcBorders>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r:id="rId308">
              <w:r>
                <w:rPr>
                  <w:rFonts w:ascii="Times New Roman" w:cs="Times New Roman" w:eastAsia="Times New Roman" w:hAnsi="Times New Roman"/>
                  <w:sz w:val="10"/>
                  <w:szCs w:val="10"/>
                  <w:color w:val="0000FF"/>
                  <w:w w:val="97"/>
                </w:rPr>
                <w:t>First Amendment to the Business Combination Agreement, dated as of August 4, 2023, by and among Armada Rezolve Limited, Rezolve and Rezolve Merger Sub (incorporated by reference to Exhibit 2.2 of Rezolve AI Limited’s</w:t>
              </w:r>
            </w:hyperlink>
          </w:p>
        </w:tc>
        <w:tc>
          <w:tcPr>
            <w:tcW w:w="0" w:type="dxa"/>
            <w:vAlign w:val="bottom"/>
          </w:tcPr>
          <w:p>
            <w:pPr>
              <w:spacing w:after="0"/>
              <w:rPr>
                <w:sz w:val="1"/>
                <w:szCs w:val="1"/>
                <w:color w:val="auto"/>
              </w:rPr>
            </w:pPr>
          </w:p>
        </w:tc>
      </w:tr>
      <w:tr>
        <w:trPr>
          <w:trHeight w:val="93"/>
        </w:trPr>
        <w:tc>
          <w:tcPr>
            <w:tcW w:w="10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3.1*</w:t>
            </w:r>
          </w:p>
        </w:tc>
        <w:tc>
          <w:tcPr>
            <w:tcW w:w="3160" w:type="dxa"/>
            <w:vAlign w:val="bottom"/>
            <w:tcBorders>
              <w:bottom w:val="single" w:sz="8" w:color="0000FF"/>
            </w:tcBorders>
            <w:gridSpan w:val="3"/>
          </w:tcPr>
          <w:p>
            <w:pPr>
              <w:spacing w:after="0" w:line="93" w:lineRule="exact"/>
              <w:rPr>
                <w:rFonts w:ascii="Times New Roman" w:cs="Times New Roman" w:eastAsia="Times New Roman" w:hAnsi="Times New Roman"/>
                <w:sz w:val="10"/>
                <w:szCs w:val="10"/>
                <w:color w:val="0000FF"/>
                <w:w w:val="96"/>
              </w:rPr>
            </w:pPr>
            <w:hyperlink r:id="rId308">
              <w:r>
                <w:rPr>
                  <w:rFonts w:ascii="Times New Roman" w:cs="Times New Roman" w:eastAsia="Times New Roman" w:hAnsi="Times New Roman"/>
                  <w:sz w:val="10"/>
                  <w:szCs w:val="10"/>
                  <w:color w:val="0000FF"/>
                  <w:w w:val="96"/>
                </w:rPr>
                <w:t>Registration Statement on Form F-1/A, filed with the SEC on October 28, 2024).</w:t>
              </w:r>
            </w:hyperlink>
          </w:p>
        </w:tc>
        <w:tc>
          <w:tcPr>
            <w:tcW w:w="5820" w:type="dxa"/>
            <w:vAlign w:val="bottom"/>
            <w:gridSpan w:val="7"/>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60" w:type="dxa"/>
            <w:vAlign w:val="bottom"/>
            <w:vMerge w:val="continue"/>
          </w:tcPr>
          <w:p>
            <w:pPr>
              <w:spacing w:after="0"/>
              <w:rPr>
                <w:sz w:val="8"/>
                <w:szCs w:val="8"/>
                <w:color w:val="auto"/>
              </w:rPr>
            </w:pPr>
          </w:p>
        </w:tc>
        <w:tc>
          <w:tcPr>
            <w:tcW w:w="884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7"/>
              </w:rPr>
            </w:pPr>
            <w:hyperlink r:id="rId309">
              <w:r>
                <w:rPr>
                  <w:rFonts w:ascii="Times New Roman" w:cs="Times New Roman" w:eastAsia="Times New Roman" w:hAnsi="Times New Roman"/>
                  <w:sz w:val="10"/>
                  <w:szCs w:val="10"/>
                  <w:color w:val="0000FF"/>
                  <w:w w:val="97"/>
                </w:rPr>
                <w:t>Amended and Restated Memorandum and Articles of Association of Rezolve (incorporated by reference to Exhibit 3.1 of Rezolve AI Limited’s Registration Statement on Form F-1/A, filed with the SEC on October 28, 2024).</w:t>
              </w:r>
            </w:hyperlink>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4.1*</w:t>
            </w:r>
          </w:p>
        </w:tc>
        <w:tc>
          <w:tcPr>
            <w:tcW w:w="8980" w:type="dxa"/>
            <w:vAlign w:val="bottom"/>
            <w:gridSpan w:val="10"/>
          </w:tcPr>
          <w:p>
            <w:pPr>
              <w:spacing w:after="0"/>
              <w:rPr>
                <w:rFonts w:ascii="Times New Roman" w:cs="Times New Roman" w:eastAsia="Times New Roman" w:hAnsi="Times New Roman"/>
                <w:sz w:val="10"/>
                <w:szCs w:val="10"/>
                <w:color w:val="0000FF"/>
              </w:rPr>
            </w:pPr>
            <w:hyperlink r:id="rId310">
              <w:r>
                <w:rPr>
                  <w:rFonts w:ascii="Times New Roman" w:cs="Times New Roman" w:eastAsia="Times New Roman" w:hAnsi="Times New Roman"/>
                  <w:sz w:val="10"/>
                  <w:szCs w:val="10"/>
                  <w:color w:val="0000FF"/>
                </w:rPr>
                <w:t>Specimen of Ordinary Share Certificate (incorporated by reference to Exhibit 4.1 of Rezolve AI Limited’s Registration Statement on Form F-1/A, filed with the SEC on October 28, 2024)</w:t>
              </w:r>
            </w:hyperlink>
            <w:r>
              <w:rPr>
                <w:rFonts w:ascii="Times New Roman" w:cs="Times New Roman" w:eastAsia="Times New Roman" w:hAnsi="Times New Roman"/>
                <w:sz w:val="10"/>
                <w:szCs w:val="10"/>
                <w:color w:val="0000FF"/>
              </w:rPr>
              <w:t>.</w:t>
            </w: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4.2*</w:t>
            </w:r>
          </w:p>
        </w:tc>
        <w:tc>
          <w:tcPr>
            <w:tcW w:w="7320" w:type="dxa"/>
            <w:vAlign w:val="bottom"/>
            <w:tcBorders>
              <w:top w:val="single" w:sz="8" w:color="0000FF"/>
            </w:tcBorders>
            <w:gridSpan w:val="6"/>
          </w:tcPr>
          <w:p>
            <w:pPr>
              <w:spacing w:after="0"/>
              <w:rPr>
                <w:rFonts w:ascii="Times New Roman" w:cs="Times New Roman" w:eastAsia="Times New Roman" w:hAnsi="Times New Roman"/>
                <w:sz w:val="10"/>
                <w:szCs w:val="10"/>
                <w:color w:val="0000FF"/>
                <w:w w:val="97"/>
              </w:rPr>
            </w:pPr>
            <w:hyperlink r:id="rId311">
              <w:r>
                <w:rPr>
                  <w:rFonts w:ascii="Times New Roman" w:cs="Times New Roman" w:eastAsia="Times New Roman" w:hAnsi="Times New Roman"/>
                  <w:sz w:val="10"/>
                  <w:szCs w:val="10"/>
                  <w:color w:val="0000FF"/>
                  <w:w w:val="97"/>
                </w:rPr>
                <w:t>Specimen Rezolve Warrant Certificate (incorporated by reference to Exhibit 4.2 of Rezolve AI Limited’s Registration Statement on Form F-1/A, filed with the SEC on October 28, 2024)</w:t>
              </w:r>
            </w:hyperlink>
            <w:r>
              <w:rPr>
                <w:rFonts w:ascii="Times New Roman" w:cs="Times New Roman" w:eastAsia="Times New Roman" w:hAnsi="Times New Roman"/>
                <w:sz w:val="10"/>
                <w:szCs w:val="10"/>
                <w:color w:val="0000FF"/>
                <w:w w:val="97"/>
              </w:rPr>
              <w:t>.</w:t>
            </w:r>
          </w:p>
        </w:tc>
        <w:tc>
          <w:tcPr>
            <w:tcW w:w="16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4.3</w:t>
            </w:r>
          </w:p>
        </w:tc>
        <w:tc>
          <w:tcPr>
            <w:tcW w:w="2160" w:type="dxa"/>
            <w:vAlign w:val="bottom"/>
            <w:tcBorders>
              <w:top w:val="single" w:sz="8" w:color="0000FF"/>
              <w:bottom w:val="single" w:sz="8" w:color="0000FF"/>
            </w:tcBorders>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Form of Rezolve Warrant to be offered in this offering.</w:t>
              </w:r>
            </w:hyperlink>
          </w:p>
        </w:tc>
        <w:tc>
          <w:tcPr>
            <w:tcW w:w="5120" w:type="dxa"/>
            <w:vAlign w:val="bottom"/>
            <w:tcBorders>
              <w:top w:val="single" w:sz="8" w:color="0000FF"/>
            </w:tcBorders>
            <w:gridSpan w:val="4"/>
          </w:tcPr>
          <w:p>
            <w:pPr>
              <w:spacing w:after="0"/>
              <w:rPr>
                <w:sz w:val="13"/>
                <w:szCs w:val="13"/>
                <w:color w:val="auto"/>
              </w:rPr>
            </w:pPr>
          </w:p>
        </w:tc>
        <w:tc>
          <w:tcPr>
            <w:tcW w:w="17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4.4*</w:t>
            </w:r>
          </w:p>
        </w:tc>
        <w:tc>
          <w:tcPr>
            <w:tcW w:w="8980" w:type="dxa"/>
            <w:vAlign w:val="bottom"/>
            <w:gridSpan w:val="10"/>
          </w:tcPr>
          <w:p>
            <w:pPr>
              <w:spacing w:after="0"/>
              <w:rPr>
                <w:rFonts w:ascii="Times New Roman" w:cs="Times New Roman" w:eastAsia="Times New Roman" w:hAnsi="Times New Roman"/>
                <w:sz w:val="10"/>
                <w:szCs w:val="10"/>
                <w:color w:val="0000FF"/>
              </w:rPr>
            </w:pPr>
            <w:hyperlink r:id="rId312">
              <w:r>
                <w:rPr>
                  <w:rFonts w:ascii="Times New Roman" w:cs="Times New Roman" w:eastAsia="Times New Roman" w:hAnsi="Times New Roman"/>
                  <w:sz w:val="10"/>
                  <w:szCs w:val="10"/>
                  <w:color w:val="0000FF"/>
                </w:rPr>
                <w:t>Form of Pre-Funded Warrant to be offered in this offering.</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65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4.5*</w:t>
            </w:r>
          </w:p>
        </w:tc>
        <w:tc>
          <w:tcPr>
            <w:tcW w:w="882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313">
              <w:r>
                <w:rPr>
                  <w:rFonts w:ascii="Times New Roman" w:cs="Times New Roman" w:eastAsia="Times New Roman" w:hAnsi="Times New Roman"/>
                  <w:sz w:val="10"/>
                  <w:szCs w:val="10"/>
                  <w:color w:val="0000FF"/>
                  <w:w w:val="97"/>
                </w:rPr>
                <w:t>Warrant Agreement, dated August 15, 2024, by and among Rezolve AI Limited and Computershare Inc. and its affiliate, Computershare Trust Company, N.A. (incorporated by reference to Exhibit 4.5 of Rezolve AI Limited’s</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3160" w:type="dxa"/>
            <w:vAlign w:val="bottom"/>
            <w:tcBorders>
              <w:bottom w:val="single" w:sz="8" w:color="0000FF"/>
            </w:tcBorders>
            <w:gridSpan w:val="3"/>
          </w:tcPr>
          <w:p>
            <w:pPr>
              <w:spacing w:after="0" w:line="93" w:lineRule="exact"/>
              <w:rPr>
                <w:rFonts w:ascii="Times New Roman" w:cs="Times New Roman" w:eastAsia="Times New Roman" w:hAnsi="Times New Roman"/>
                <w:sz w:val="10"/>
                <w:szCs w:val="10"/>
                <w:color w:val="0000FF"/>
                <w:w w:val="96"/>
              </w:rPr>
            </w:pPr>
            <w:hyperlink r:id="rId313">
              <w:r>
                <w:rPr>
                  <w:rFonts w:ascii="Times New Roman" w:cs="Times New Roman" w:eastAsia="Times New Roman" w:hAnsi="Times New Roman"/>
                  <w:sz w:val="10"/>
                  <w:szCs w:val="10"/>
                  <w:color w:val="0000FF"/>
                  <w:w w:val="96"/>
                </w:rPr>
                <w:t>Registration Statement on Form F-1/A, filed with the SEC on October 28, 2024).</w:t>
              </w:r>
            </w:hyperlink>
          </w:p>
        </w:tc>
        <w:tc>
          <w:tcPr>
            <w:tcW w:w="5820" w:type="dxa"/>
            <w:vAlign w:val="bottom"/>
            <w:gridSpan w:val="7"/>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033" w:right="660"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115"/>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4.6*</w:t>
            </w:r>
          </w:p>
        </w:tc>
        <w:tc>
          <w:tcPr>
            <w:tcW w:w="9060" w:type="dxa"/>
            <w:vAlign w:val="bottom"/>
            <w:tcBorders>
              <w:bottom w:val="single" w:sz="8" w:color="0000FF"/>
            </w:tcBorders>
            <w:gridSpan w:val="15"/>
          </w:tcPr>
          <w:p>
            <w:pPr>
              <w:spacing w:after="0"/>
              <w:rPr>
                <w:rFonts w:ascii="Times New Roman" w:cs="Times New Roman" w:eastAsia="Times New Roman" w:hAnsi="Times New Roman"/>
                <w:sz w:val="10"/>
                <w:szCs w:val="10"/>
                <w:color w:val="0000FF"/>
                <w:w w:val="97"/>
              </w:rPr>
            </w:pPr>
            <w:hyperlink r:id="rId315">
              <w:r>
                <w:rPr>
                  <w:rFonts w:ascii="Times New Roman" w:cs="Times New Roman" w:eastAsia="Times New Roman" w:hAnsi="Times New Roman"/>
                  <w:sz w:val="10"/>
                  <w:szCs w:val="10"/>
                  <w:color w:val="0000FF"/>
                  <w:w w:val="97"/>
                </w:rPr>
                <w:t>Warrant Assignment, Assumption and Amendment Agreement, dated August 15, 2024, by and among Rezolve AI Limited and Computershare Inc. and its affiliate, Computershare Trust Company, N.A. (incorporated by reference to</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4600" w:type="dxa"/>
            <w:vAlign w:val="bottom"/>
            <w:tcBorders>
              <w:bottom w:val="single" w:sz="8" w:color="0000FF"/>
            </w:tcBorders>
            <w:gridSpan w:val="11"/>
          </w:tcPr>
          <w:p>
            <w:pPr>
              <w:spacing w:after="0" w:line="93" w:lineRule="exact"/>
              <w:rPr>
                <w:rFonts w:ascii="Times New Roman" w:cs="Times New Roman" w:eastAsia="Times New Roman" w:hAnsi="Times New Roman"/>
                <w:sz w:val="10"/>
                <w:szCs w:val="10"/>
                <w:color w:val="0000FF"/>
                <w:w w:val="97"/>
              </w:rPr>
            </w:pPr>
            <w:hyperlink r:id="rId315">
              <w:r>
                <w:rPr>
                  <w:rFonts w:ascii="Times New Roman" w:cs="Times New Roman" w:eastAsia="Times New Roman" w:hAnsi="Times New Roman"/>
                  <w:sz w:val="10"/>
                  <w:szCs w:val="10"/>
                  <w:color w:val="0000FF"/>
                  <w:w w:val="97"/>
                </w:rPr>
                <w:t>Exhibit 4.6 of Rezolve AI Limited’s Registration Statement on Form F-1/A, filed with the SEC on October 28, 2024).</w:t>
              </w:r>
            </w:hyperlink>
          </w:p>
        </w:tc>
        <w:tc>
          <w:tcPr>
            <w:tcW w:w="454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4.7*</w:t>
            </w:r>
          </w:p>
        </w:tc>
        <w:tc>
          <w:tcPr>
            <w:tcW w:w="9120" w:type="dxa"/>
            <w:vAlign w:val="bottom"/>
            <w:tcBorders>
              <w:bottom w:val="single" w:sz="8" w:color="0000FF"/>
            </w:tcBorders>
            <w:gridSpan w:val="18"/>
          </w:tcPr>
          <w:p>
            <w:pPr>
              <w:spacing w:after="0"/>
              <w:rPr>
                <w:rFonts w:ascii="Times New Roman" w:cs="Times New Roman" w:eastAsia="Times New Roman" w:hAnsi="Times New Roman"/>
                <w:sz w:val="10"/>
                <w:szCs w:val="10"/>
                <w:color w:val="0000FF"/>
                <w:w w:val="97"/>
              </w:rPr>
            </w:pPr>
            <w:hyperlink r:id="rId316">
              <w:r>
                <w:rPr>
                  <w:rFonts w:ascii="Times New Roman" w:cs="Times New Roman" w:eastAsia="Times New Roman" w:hAnsi="Times New Roman"/>
                  <w:sz w:val="10"/>
                  <w:szCs w:val="10"/>
                  <w:color w:val="0000FF"/>
                  <w:w w:val="97"/>
                </w:rPr>
                <w:t>Investor Rights Agreement, dated August 15, 2024, by and among Rezolve AI Limited and the holders party thereto (incorporated by reference to Exhibit 4.7 of Rezolve AI Limited’s Registration Statement on Form F-1/A, filed with</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19"/>
          </w:tcPr>
          <w:p>
            <w:pPr>
              <w:spacing w:after="0" w:line="93" w:lineRule="exact"/>
              <w:rPr>
                <w:rFonts w:ascii="Times New Roman" w:cs="Times New Roman" w:eastAsia="Times New Roman" w:hAnsi="Times New Roman"/>
                <w:sz w:val="10"/>
                <w:szCs w:val="10"/>
                <w:color w:val="0000FF"/>
              </w:rPr>
            </w:pPr>
            <w:hyperlink r:id="rId316">
              <w:r>
                <w:rPr>
                  <w:rFonts w:ascii="Times New Roman" w:cs="Times New Roman" w:eastAsia="Times New Roman" w:hAnsi="Times New Roman"/>
                  <w:sz w:val="10"/>
                  <w:szCs w:val="10"/>
                  <w:color w:val="0000FF"/>
                </w:rPr>
                <w:t>the 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4.8*</w:t>
            </w:r>
          </w:p>
        </w:tc>
        <w:tc>
          <w:tcPr>
            <w:tcW w:w="914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17">
              <w:r>
                <w:rPr>
                  <w:rFonts w:ascii="Times New Roman" w:cs="Times New Roman" w:eastAsia="Times New Roman" w:hAnsi="Times New Roman"/>
                  <w:sz w:val="10"/>
                  <w:szCs w:val="10"/>
                  <w:color w:val="0000FF"/>
                  <w:w w:val="97"/>
                </w:rPr>
                <w:t>Form of Lock-In Agreement, dated August 15, 2024, by and among Rezolve AI Limited and the holders party thereto (incorporated by reference to Exhibit 4.8 of Rezolve AI Limited’s Registration Statement on Form F-1/A, filed with</w:t>
              </w:r>
            </w:hyperlink>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19"/>
          </w:tcPr>
          <w:p>
            <w:pPr>
              <w:spacing w:after="0" w:line="93" w:lineRule="exact"/>
              <w:rPr>
                <w:rFonts w:ascii="Times New Roman" w:cs="Times New Roman" w:eastAsia="Times New Roman" w:hAnsi="Times New Roman"/>
                <w:sz w:val="10"/>
                <w:szCs w:val="10"/>
                <w:color w:val="0000FF"/>
              </w:rPr>
            </w:pPr>
            <w:hyperlink r:id="rId317">
              <w:r>
                <w:rPr>
                  <w:rFonts w:ascii="Times New Roman" w:cs="Times New Roman" w:eastAsia="Times New Roman" w:hAnsi="Times New Roman"/>
                  <w:sz w:val="10"/>
                  <w:szCs w:val="10"/>
                  <w:color w:val="0000FF"/>
                </w:rPr>
                <w:t>the 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5.1*</w:t>
            </w:r>
          </w:p>
        </w:tc>
        <w:tc>
          <w:tcPr>
            <w:tcW w:w="1320" w:type="dxa"/>
            <w:vAlign w:val="bottom"/>
            <w:tcBorders>
              <w:bottom w:val="single" w:sz="8" w:color="0000FF"/>
            </w:tcBorders>
            <w:gridSpan w:val="5"/>
          </w:tcPr>
          <w:p>
            <w:pPr>
              <w:spacing w:after="0"/>
              <w:rPr>
                <w:rFonts w:ascii="Times New Roman" w:cs="Times New Roman" w:eastAsia="Times New Roman" w:hAnsi="Times New Roman"/>
                <w:sz w:val="10"/>
                <w:szCs w:val="10"/>
                <w:color w:val="0000FF"/>
                <w:w w:val="96"/>
              </w:rPr>
            </w:pPr>
            <w:hyperlink r:id="rId318">
              <w:r>
                <w:rPr>
                  <w:rFonts w:ascii="Times New Roman" w:cs="Times New Roman" w:eastAsia="Times New Roman" w:hAnsi="Times New Roman"/>
                  <w:sz w:val="10"/>
                  <w:szCs w:val="10"/>
                  <w:color w:val="0000FF"/>
                  <w:w w:val="96"/>
                </w:rPr>
                <w:t>Opinion of DLA Piper LLP (US)</w:t>
              </w:r>
            </w:hyperlink>
            <w:r>
              <w:rPr>
                <w:rFonts w:ascii="Times New Roman" w:cs="Times New Roman" w:eastAsia="Times New Roman" w:hAnsi="Times New Roman"/>
                <w:sz w:val="10"/>
                <w:szCs w:val="10"/>
                <w:color w:val="0000FF"/>
                <w:w w:val="96"/>
              </w:rPr>
              <w:t>.</w:t>
            </w:r>
          </w:p>
        </w:tc>
        <w:tc>
          <w:tcPr>
            <w:tcW w:w="78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5.2*</w:t>
            </w:r>
          </w:p>
        </w:tc>
        <w:tc>
          <w:tcPr>
            <w:tcW w:w="1320" w:type="dxa"/>
            <w:vAlign w:val="bottom"/>
            <w:tcBorders>
              <w:bottom w:val="single" w:sz="8" w:color="0000FF"/>
            </w:tcBorders>
            <w:gridSpan w:val="5"/>
          </w:tcPr>
          <w:p>
            <w:pPr>
              <w:spacing w:after="0"/>
              <w:rPr>
                <w:rFonts w:ascii="Times New Roman" w:cs="Times New Roman" w:eastAsia="Times New Roman" w:hAnsi="Times New Roman"/>
                <w:sz w:val="10"/>
                <w:szCs w:val="10"/>
                <w:color w:val="0000FF"/>
                <w:w w:val="98"/>
              </w:rPr>
            </w:pPr>
            <w:hyperlink r:id="rId319">
              <w:r>
                <w:rPr>
                  <w:rFonts w:ascii="Times New Roman" w:cs="Times New Roman" w:eastAsia="Times New Roman" w:hAnsi="Times New Roman"/>
                  <w:sz w:val="10"/>
                  <w:szCs w:val="10"/>
                  <w:color w:val="0000FF"/>
                  <w:w w:val="98"/>
                </w:rPr>
                <w:t>Opinion of Taylor Wessing LLP.</w:t>
              </w:r>
            </w:hyperlink>
          </w:p>
        </w:tc>
        <w:tc>
          <w:tcPr>
            <w:tcW w:w="78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w:t>
            </w:r>
          </w:p>
        </w:tc>
        <w:tc>
          <w:tcPr>
            <w:tcW w:w="914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20">
              <w:r>
                <w:rPr>
                  <w:rFonts w:ascii="Times New Roman" w:cs="Times New Roman" w:eastAsia="Times New Roman" w:hAnsi="Times New Roman"/>
                  <w:sz w:val="10"/>
                  <w:szCs w:val="10"/>
                  <w:color w:val="0000FF"/>
                  <w:w w:val="97"/>
                </w:rPr>
                <w:t>Loan Note Instrument dated December 16, 2021, as amended and restated on November 21, 2022, and as further amended and restated on May 23, 2023 (incorporated by reference to Exhibit 10.1 of Rezolve AI Limited’s Registration</w:t>
              </w:r>
            </w:hyperlink>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2660" w:type="dxa"/>
            <w:vAlign w:val="bottom"/>
            <w:tcBorders>
              <w:bottom w:val="single" w:sz="8" w:color="0000FF"/>
            </w:tcBorders>
            <w:gridSpan w:val="8"/>
          </w:tcPr>
          <w:p>
            <w:pPr>
              <w:spacing w:after="0" w:line="93" w:lineRule="exact"/>
              <w:rPr>
                <w:rFonts w:ascii="Times New Roman" w:cs="Times New Roman" w:eastAsia="Times New Roman" w:hAnsi="Times New Roman"/>
                <w:sz w:val="10"/>
                <w:szCs w:val="10"/>
                <w:color w:val="0000FF"/>
                <w:w w:val="96"/>
              </w:rPr>
            </w:pPr>
            <w:hyperlink r:id="rId320">
              <w:r>
                <w:rPr>
                  <w:rFonts w:ascii="Times New Roman" w:cs="Times New Roman" w:eastAsia="Times New Roman" w:hAnsi="Times New Roman"/>
                  <w:sz w:val="10"/>
                  <w:szCs w:val="10"/>
                  <w:color w:val="0000FF"/>
                  <w:w w:val="96"/>
                </w:rPr>
                <w:t>Statement on Form F-1/A, filed with the SEC on October 28, 2024).</w:t>
              </w:r>
            </w:hyperlink>
          </w:p>
        </w:tc>
        <w:tc>
          <w:tcPr>
            <w:tcW w:w="6480" w:type="dxa"/>
            <w:vAlign w:val="bottom"/>
            <w:gridSpan w:val="11"/>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10.2*</w:t>
            </w:r>
          </w:p>
        </w:tc>
        <w:tc>
          <w:tcPr>
            <w:tcW w:w="9100" w:type="dxa"/>
            <w:vAlign w:val="bottom"/>
            <w:tcBorders>
              <w:bottom w:val="single" w:sz="8" w:color="0000FF"/>
            </w:tcBorders>
            <w:gridSpan w:val="17"/>
          </w:tcPr>
          <w:p>
            <w:pPr>
              <w:spacing w:after="0"/>
              <w:rPr>
                <w:rFonts w:ascii="Times New Roman" w:cs="Times New Roman" w:eastAsia="Times New Roman" w:hAnsi="Times New Roman"/>
                <w:sz w:val="10"/>
                <w:szCs w:val="10"/>
                <w:color w:val="0000FF"/>
                <w:w w:val="97"/>
              </w:rPr>
            </w:pPr>
            <w:hyperlink r:id="rId321">
              <w:r>
                <w:rPr>
                  <w:rFonts w:ascii="Times New Roman" w:cs="Times New Roman" w:eastAsia="Times New Roman" w:hAnsi="Times New Roman"/>
                  <w:sz w:val="10"/>
                  <w:szCs w:val="10"/>
                  <w:color w:val="0000FF"/>
                  <w:w w:val="97"/>
                </w:rPr>
                <w:t>Binding Term Sheet, dated August 30, 2021, by and among Rezolve, Radio Group and the other parties thereto (incorporated by reference to Exhibit 10.2 of Rezolve AI Limited’s Registration Statement on Form F-1/A, filed with the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19"/>
          </w:tcPr>
          <w:p>
            <w:pPr>
              <w:spacing w:after="0" w:line="93" w:lineRule="exact"/>
              <w:rPr>
                <w:rFonts w:ascii="Times New Roman" w:cs="Times New Roman" w:eastAsia="Times New Roman" w:hAnsi="Times New Roman"/>
                <w:sz w:val="10"/>
                <w:szCs w:val="10"/>
                <w:color w:val="0000FF"/>
              </w:rPr>
            </w:pPr>
            <w:hyperlink r:id="rId321">
              <w:r>
                <w:rPr>
                  <w:rFonts w:ascii="Times New Roman" w:cs="Times New Roman" w:eastAsia="Times New Roman" w:hAnsi="Times New Roman"/>
                  <w:sz w:val="10"/>
                  <w:szCs w:val="10"/>
                  <w:color w:val="0000FF"/>
                </w:rPr>
                <w:t>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10.3*</w:t>
            </w:r>
          </w:p>
        </w:tc>
        <w:tc>
          <w:tcPr>
            <w:tcW w:w="9060" w:type="dxa"/>
            <w:vAlign w:val="bottom"/>
            <w:tcBorders>
              <w:bottom w:val="single" w:sz="8" w:color="0000FF"/>
            </w:tcBorders>
            <w:gridSpan w:val="15"/>
          </w:tcPr>
          <w:p>
            <w:pPr>
              <w:spacing w:after="0"/>
              <w:rPr>
                <w:rFonts w:ascii="Times New Roman" w:cs="Times New Roman" w:eastAsia="Times New Roman" w:hAnsi="Times New Roman"/>
                <w:sz w:val="10"/>
                <w:szCs w:val="10"/>
                <w:color w:val="0000FF"/>
                <w:w w:val="97"/>
              </w:rPr>
            </w:pPr>
            <w:hyperlink r:id="rId322">
              <w:r>
                <w:rPr>
                  <w:rFonts w:ascii="Times New Roman" w:cs="Times New Roman" w:eastAsia="Times New Roman" w:hAnsi="Times New Roman"/>
                  <w:sz w:val="10"/>
                  <w:szCs w:val="10"/>
                  <w:color w:val="0000FF"/>
                  <w:w w:val="97"/>
                </w:rPr>
                <w:t>Amendment to Binding Term Sheet, dated May 24, 2023, by and among Rezolve, Radio Group and the other parties thereto (incorporated by reference to Exhibit 10.3 of Rezolve AI Limited’s Registration Statement on Form F-1/A,</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19"/>
          </w:tcPr>
          <w:p>
            <w:pPr>
              <w:spacing w:after="0" w:line="93" w:lineRule="exact"/>
              <w:rPr>
                <w:rFonts w:ascii="Times New Roman" w:cs="Times New Roman" w:eastAsia="Times New Roman" w:hAnsi="Times New Roman"/>
                <w:sz w:val="10"/>
                <w:szCs w:val="10"/>
                <w:color w:val="0000FF"/>
              </w:rPr>
            </w:pPr>
            <w:hyperlink r:id="rId322">
              <w:r>
                <w:rPr>
                  <w:rFonts w:ascii="Times New Roman" w:cs="Times New Roman" w:eastAsia="Times New Roman" w:hAnsi="Times New Roman"/>
                  <w:sz w:val="10"/>
                  <w:szCs w:val="10"/>
                  <w:color w:val="0000FF"/>
                </w:rPr>
                <w:t>filed with the 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10.4*</w:t>
            </w:r>
          </w:p>
        </w:tc>
        <w:tc>
          <w:tcPr>
            <w:tcW w:w="9080" w:type="dxa"/>
            <w:vAlign w:val="bottom"/>
            <w:tcBorders>
              <w:bottom w:val="single" w:sz="8" w:color="0000FF"/>
            </w:tcBorders>
            <w:gridSpan w:val="16"/>
          </w:tcPr>
          <w:p>
            <w:pPr>
              <w:spacing w:after="0"/>
              <w:rPr>
                <w:rFonts w:ascii="Times New Roman" w:cs="Times New Roman" w:eastAsia="Times New Roman" w:hAnsi="Times New Roman"/>
                <w:sz w:val="10"/>
                <w:szCs w:val="10"/>
                <w:color w:val="0000FF"/>
                <w:w w:val="97"/>
              </w:rPr>
            </w:pPr>
            <w:hyperlink r:id="rId323">
              <w:r>
                <w:rPr>
                  <w:rFonts w:ascii="Times New Roman" w:cs="Times New Roman" w:eastAsia="Times New Roman" w:hAnsi="Times New Roman"/>
                  <w:sz w:val="10"/>
                  <w:szCs w:val="10"/>
                  <w:color w:val="0000FF"/>
                  <w:w w:val="97"/>
                </w:rPr>
                <w:t>Agreement in Context of the Binding Term Sheet, dated May 24, 2023, by and among Rezolve, Radio Group and the other parties thereto (incorporated by reference to Exhibit 10.4 of Rezolve AI Limited’s Registration Statement on</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10.5*</w:t>
            </w:r>
          </w:p>
        </w:tc>
        <w:tc>
          <w:tcPr>
            <w:tcW w:w="9140" w:type="dxa"/>
            <w:vAlign w:val="bottom"/>
            <w:gridSpan w:val="19"/>
          </w:tcPr>
          <w:p>
            <w:pPr>
              <w:spacing w:after="0" w:line="93" w:lineRule="exact"/>
              <w:rPr>
                <w:rFonts w:ascii="Times New Roman" w:cs="Times New Roman" w:eastAsia="Times New Roman" w:hAnsi="Times New Roman"/>
                <w:sz w:val="10"/>
                <w:szCs w:val="10"/>
                <w:color w:val="0000FF"/>
              </w:rPr>
            </w:pPr>
            <w:hyperlink r:id="rId323">
              <w:r>
                <w:rPr>
                  <w:rFonts w:ascii="Times New Roman" w:cs="Times New Roman" w:eastAsia="Times New Roman" w:hAnsi="Times New Roman"/>
                  <w:sz w:val="10"/>
                  <w:szCs w:val="10"/>
                  <w:color w:val="0000FF"/>
                </w:rPr>
                <w:t>Form F-1/A, filed with the SEC on October 28, 2024).</w:t>
              </w:r>
            </w:hyperlink>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060" w:type="dxa"/>
            <w:vAlign w:val="bottom"/>
            <w:vMerge w:val="continue"/>
          </w:tcPr>
          <w:p>
            <w:pPr>
              <w:spacing w:after="0"/>
              <w:rPr>
                <w:sz w:val="8"/>
                <w:szCs w:val="8"/>
                <w:color w:val="auto"/>
              </w:rPr>
            </w:pPr>
          </w:p>
        </w:tc>
        <w:tc>
          <w:tcPr>
            <w:tcW w:w="9100" w:type="dxa"/>
            <w:vAlign w:val="bottom"/>
            <w:tcBorders>
              <w:bottom w:val="single" w:sz="8" w:color="0000FF"/>
            </w:tcBorders>
            <w:gridSpan w:val="17"/>
          </w:tcPr>
          <w:p>
            <w:pPr>
              <w:spacing w:after="0" w:line="93" w:lineRule="exact"/>
              <w:rPr>
                <w:rFonts w:ascii="Times New Roman" w:cs="Times New Roman" w:eastAsia="Times New Roman" w:hAnsi="Times New Roman"/>
                <w:sz w:val="10"/>
                <w:szCs w:val="10"/>
                <w:color w:val="0000FF"/>
                <w:w w:val="97"/>
              </w:rPr>
            </w:pPr>
            <w:hyperlink r:id="rId324">
              <w:r>
                <w:rPr>
                  <w:rFonts w:ascii="Times New Roman" w:cs="Times New Roman" w:eastAsia="Times New Roman" w:hAnsi="Times New Roman"/>
                  <w:sz w:val="10"/>
                  <w:szCs w:val="10"/>
                  <w:color w:val="0000FF"/>
                  <w:w w:val="97"/>
                </w:rPr>
                <w:t>Contractual Agreement, dated August 30, 2021, by and among Rezolve, Radio Group and the other parties thereto (incorporated by reference to Exhibit 10.5 of Rezolve AI Limited’s Registration Statement on Form F-1/A, filed with</w:t>
              </w:r>
            </w:hyperlink>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19"/>
          </w:tcPr>
          <w:p>
            <w:pPr>
              <w:spacing w:after="0" w:line="93" w:lineRule="exact"/>
              <w:rPr>
                <w:rFonts w:ascii="Times New Roman" w:cs="Times New Roman" w:eastAsia="Times New Roman" w:hAnsi="Times New Roman"/>
                <w:sz w:val="10"/>
                <w:szCs w:val="10"/>
                <w:color w:val="0000FF"/>
              </w:rPr>
            </w:pPr>
            <w:hyperlink r:id="rId324">
              <w:r>
                <w:rPr>
                  <w:rFonts w:ascii="Times New Roman" w:cs="Times New Roman" w:eastAsia="Times New Roman" w:hAnsi="Times New Roman"/>
                  <w:sz w:val="10"/>
                  <w:szCs w:val="10"/>
                  <w:color w:val="0000FF"/>
                </w:rPr>
                <w:t>the 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10.6*</w:t>
            </w:r>
          </w:p>
        </w:tc>
        <w:tc>
          <w:tcPr>
            <w:tcW w:w="7660" w:type="dxa"/>
            <w:vAlign w:val="bottom"/>
            <w:tcBorders>
              <w:bottom w:val="single" w:sz="8" w:color="0000FF"/>
            </w:tcBorders>
            <w:gridSpan w:val="12"/>
          </w:tcPr>
          <w:p>
            <w:pPr>
              <w:spacing w:after="0"/>
              <w:rPr>
                <w:rFonts w:ascii="Times New Roman" w:cs="Times New Roman" w:eastAsia="Times New Roman" w:hAnsi="Times New Roman"/>
                <w:sz w:val="10"/>
                <w:szCs w:val="10"/>
                <w:color w:val="0000FF"/>
                <w:w w:val="97"/>
              </w:rPr>
            </w:pPr>
            <w:hyperlink r:id="rId325">
              <w:r>
                <w:rPr>
                  <w:rFonts w:ascii="Times New Roman" w:cs="Times New Roman" w:eastAsia="Times New Roman" w:hAnsi="Times New Roman"/>
                  <w:sz w:val="10"/>
                  <w:szCs w:val="10"/>
                  <w:color w:val="0000FF"/>
                  <w:w w:val="97"/>
                </w:rPr>
                <w:t>Contractual Relationship, dated April 30, 2023 (incorporated by reference to Exhibit 10.6 of Rezolve AI Limited’s Registration Statement on Form F-1/A, filed with the SEC on October 28, 2024).</w:t>
              </w:r>
            </w:hyperlink>
          </w:p>
        </w:tc>
        <w:tc>
          <w:tcPr>
            <w:tcW w:w="14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10.7*</w:t>
            </w:r>
          </w:p>
        </w:tc>
        <w:tc>
          <w:tcPr>
            <w:tcW w:w="9140" w:type="dxa"/>
            <w:vAlign w:val="bottom"/>
            <w:tcBorders>
              <w:bottom w:val="single" w:sz="8" w:color="0000FF"/>
            </w:tcBorders>
            <w:gridSpan w:val="19"/>
          </w:tcPr>
          <w:p>
            <w:pPr>
              <w:spacing w:after="0"/>
              <w:rPr>
                <w:rFonts w:ascii="Times New Roman" w:cs="Times New Roman" w:eastAsia="Times New Roman" w:hAnsi="Times New Roman"/>
                <w:sz w:val="10"/>
                <w:szCs w:val="10"/>
                <w:color w:val="0000FF"/>
                <w:w w:val="97"/>
              </w:rPr>
            </w:pPr>
            <w:hyperlink r:id="rId326">
              <w:r>
                <w:rPr>
                  <w:rFonts w:ascii="Times New Roman" w:cs="Times New Roman" w:eastAsia="Times New Roman" w:hAnsi="Times New Roman"/>
                  <w:sz w:val="10"/>
                  <w:szCs w:val="10"/>
                  <w:color w:val="0000FF"/>
                  <w:w w:val="97"/>
                </w:rPr>
                <w:t>Power of Disposal over ANY Lifestyle Marketing GmbH, dated November 17, 2023 (incorporated by reference to Exhibit 10.7 of Rezolve AI Limited’s Registration Statement on Form F-1/A, filed with the SEC on October 28, 2024).</w:t>
              </w:r>
            </w:hyperlink>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10.8*</w:t>
            </w:r>
          </w:p>
        </w:tc>
        <w:tc>
          <w:tcPr>
            <w:tcW w:w="9100" w:type="dxa"/>
            <w:vAlign w:val="bottom"/>
            <w:tcBorders>
              <w:bottom w:val="single" w:sz="8" w:color="0000FF"/>
            </w:tcBorders>
            <w:gridSpan w:val="17"/>
          </w:tcPr>
          <w:p>
            <w:pPr>
              <w:spacing w:after="0"/>
              <w:rPr>
                <w:rFonts w:ascii="Times New Roman" w:cs="Times New Roman" w:eastAsia="Times New Roman" w:hAnsi="Times New Roman"/>
                <w:sz w:val="10"/>
                <w:szCs w:val="10"/>
                <w:color w:val="0000FF"/>
                <w:w w:val="97"/>
              </w:rPr>
            </w:pPr>
            <w:hyperlink r:id="rId327">
              <w:r>
                <w:rPr>
                  <w:rFonts w:ascii="Times New Roman" w:cs="Times New Roman" w:eastAsia="Times New Roman" w:hAnsi="Times New Roman"/>
                  <w:sz w:val="10"/>
                  <w:szCs w:val="10"/>
                  <w:color w:val="0000FF"/>
                  <w:w w:val="97"/>
                </w:rPr>
                <w:t>Loan Agreement, dated September 28, 2023, by and among Rezolve, Radio Group and the other parties thereto (incorporated by reference to Exhibit 10.8 of Rezolve AI Limited’s Registration Statement on Form F-1/A, filed with the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9140" w:type="dxa"/>
            <w:vAlign w:val="bottom"/>
            <w:gridSpan w:val="19"/>
          </w:tcPr>
          <w:p>
            <w:pPr>
              <w:spacing w:after="0" w:line="93" w:lineRule="exact"/>
              <w:rPr>
                <w:rFonts w:ascii="Times New Roman" w:cs="Times New Roman" w:eastAsia="Times New Roman" w:hAnsi="Times New Roman"/>
                <w:sz w:val="10"/>
                <w:szCs w:val="10"/>
                <w:color w:val="0000FF"/>
              </w:rPr>
            </w:pPr>
            <w:hyperlink r:id="rId327">
              <w:r>
                <w:rPr>
                  <w:rFonts w:ascii="Times New Roman" w:cs="Times New Roman" w:eastAsia="Times New Roman" w:hAnsi="Times New Roman"/>
                  <w:sz w:val="10"/>
                  <w:szCs w:val="10"/>
                  <w:color w:val="0000FF"/>
                </w:rPr>
                <w:t>SEC on October 28, 2024).</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10.9*</w:t>
            </w:r>
          </w:p>
        </w:tc>
        <w:tc>
          <w:tcPr>
            <w:tcW w:w="9120" w:type="dxa"/>
            <w:vAlign w:val="bottom"/>
            <w:tcBorders>
              <w:bottom w:val="single" w:sz="8" w:color="0000FF"/>
            </w:tcBorders>
            <w:gridSpan w:val="18"/>
          </w:tcPr>
          <w:p>
            <w:pPr>
              <w:spacing w:after="0"/>
              <w:rPr>
                <w:rFonts w:ascii="Times New Roman" w:cs="Times New Roman" w:eastAsia="Times New Roman" w:hAnsi="Times New Roman"/>
                <w:sz w:val="10"/>
                <w:szCs w:val="10"/>
                <w:color w:val="0000FF"/>
                <w:w w:val="97"/>
              </w:rPr>
            </w:pPr>
            <w:hyperlink r:id="rId328">
              <w:r>
                <w:rPr>
                  <w:rFonts w:ascii="Times New Roman" w:cs="Times New Roman" w:eastAsia="Times New Roman" w:hAnsi="Times New Roman"/>
                  <w:sz w:val="10"/>
                  <w:szCs w:val="10"/>
                  <w:color w:val="0000FF"/>
                  <w:w w:val="97"/>
                </w:rPr>
                <w:t>Amended and Restated Standby Equity Purchase Agreement, dated as of February 2, 2024, by and between YA II PN, Ltd., Armada Acquisition Corp. I, Rezolve Limited and Rezolve AI Limited (incorporated by reference to Exhibit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4340" w:type="dxa"/>
            <w:vAlign w:val="bottom"/>
            <w:tcBorders>
              <w:bottom w:val="single" w:sz="8" w:color="0000FF"/>
            </w:tcBorders>
            <w:gridSpan w:val="10"/>
          </w:tcPr>
          <w:p>
            <w:pPr>
              <w:spacing w:after="0" w:line="93" w:lineRule="exact"/>
              <w:rPr>
                <w:rFonts w:ascii="Times New Roman" w:cs="Times New Roman" w:eastAsia="Times New Roman" w:hAnsi="Times New Roman"/>
                <w:sz w:val="10"/>
                <w:szCs w:val="10"/>
                <w:color w:val="0000FF"/>
                <w:w w:val="97"/>
              </w:rPr>
            </w:pPr>
            <w:hyperlink r:id="rId328">
              <w:r>
                <w:rPr>
                  <w:rFonts w:ascii="Times New Roman" w:cs="Times New Roman" w:eastAsia="Times New Roman" w:hAnsi="Times New Roman"/>
                  <w:sz w:val="10"/>
                  <w:szCs w:val="10"/>
                  <w:color w:val="0000FF"/>
                  <w:w w:val="97"/>
                </w:rPr>
                <w:t>10.</w:t>
              </w:r>
              <w:r>
                <w:rPr>
                  <w:rFonts w:ascii="Times New Roman" w:cs="Times New Roman" w:eastAsia="Times New Roman" w:hAnsi="Times New Roman"/>
                  <w:sz w:val="10"/>
                  <w:szCs w:val="10"/>
                  <w:u w:val="single" w:color="auto"/>
                  <w:color w:val="0000FF"/>
                  <w:w w:val="97"/>
                </w:rPr>
                <w:t>9</w:t>
              </w:r>
              <w:r>
                <w:rPr>
                  <w:rFonts w:ascii="Times New Roman" w:cs="Times New Roman" w:eastAsia="Times New Roman" w:hAnsi="Times New Roman"/>
                  <w:sz w:val="10"/>
                  <w:szCs w:val="10"/>
                  <w:color w:val="0000FF"/>
                  <w:w w:val="97"/>
                </w:rPr>
                <w:t xml:space="preserve"> of Rezolve AI Limited’s Registration Statement on Form F-1/A, filed with the SEC on October 28, 2024).</w:t>
              </w:r>
            </w:hyperlink>
          </w:p>
        </w:tc>
        <w:tc>
          <w:tcPr>
            <w:tcW w:w="4800" w:type="dxa"/>
            <w:vAlign w:val="bottom"/>
            <w:gridSpan w:val="9"/>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10.10*</w:t>
            </w:r>
          </w:p>
        </w:tc>
        <w:tc>
          <w:tcPr>
            <w:tcW w:w="8860" w:type="dxa"/>
            <w:vAlign w:val="bottom"/>
            <w:tcBorders>
              <w:bottom w:val="single" w:sz="8" w:color="0000FF"/>
            </w:tcBorders>
            <w:gridSpan w:val="14"/>
          </w:tcPr>
          <w:p>
            <w:pPr>
              <w:spacing w:after="0"/>
              <w:rPr>
                <w:rFonts w:ascii="Times New Roman" w:cs="Times New Roman" w:eastAsia="Times New Roman" w:hAnsi="Times New Roman"/>
                <w:sz w:val="10"/>
                <w:szCs w:val="10"/>
                <w:color w:val="0000FF"/>
                <w:w w:val="97"/>
              </w:rPr>
            </w:pPr>
            <w:hyperlink r:id="rId329">
              <w:r>
                <w:rPr>
                  <w:rFonts w:ascii="Times New Roman" w:cs="Times New Roman" w:eastAsia="Times New Roman" w:hAnsi="Times New Roman"/>
                  <w:sz w:val="10"/>
                  <w:szCs w:val="10"/>
                  <w:color w:val="0000FF"/>
                  <w:w w:val="97"/>
                </w:rPr>
                <w:t>Second Amended and Restated Standby Equity Purchase Agreement, dated as of September 6, 2024, by and between YA II PN, Ltd. and Rezolve AI Limited (incorporated by reference to Exhibit 10.10 of Rezolve AI Limited’s</w:t>
              </w:r>
            </w:hyperlink>
          </w:p>
        </w:tc>
        <w:tc>
          <w:tcPr>
            <w:tcW w:w="2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3160" w:type="dxa"/>
            <w:vAlign w:val="bottom"/>
            <w:tcBorders>
              <w:bottom w:val="single" w:sz="8" w:color="0000FF"/>
            </w:tcBorders>
            <w:gridSpan w:val="9"/>
          </w:tcPr>
          <w:p>
            <w:pPr>
              <w:spacing w:after="0" w:line="93" w:lineRule="exact"/>
              <w:rPr>
                <w:rFonts w:ascii="Times New Roman" w:cs="Times New Roman" w:eastAsia="Times New Roman" w:hAnsi="Times New Roman"/>
                <w:sz w:val="10"/>
                <w:szCs w:val="10"/>
                <w:color w:val="0000FF"/>
                <w:w w:val="96"/>
              </w:rPr>
            </w:pPr>
            <w:hyperlink r:id="rId329">
              <w:r>
                <w:rPr>
                  <w:rFonts w:ascii="Times New Roman" w:cs="Times New Roman" w:eastAsia="Times New Roman" w:hAnsi="Times New Roman"/>
                  <w:sz w:val="10"/>
                  <w:szCs w:val="10"/>
                  <w:color w:val="0000FF"/>
                  <w:w w:val="96"/>
                </w:rPr>
                <w:t>Registration Statement on Form F-1/A, filed with the SEC on October 28, 2024).</w:t>
              </w:r>
            </w:hyperlink>
          </w:p>
        </w:tc>
        <w:tc>
          <w:tcPr>
            <w:tcW w:w="5980" w:type="dxa"/>
            <w:vAlign w:val="bottom"/>
            <w:gridSpan w:val="10"/>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10.11*</w:t>
            </w:r>
          </w:p>
        </w:tc>
        <w:tc>
          <w:tcPr>
            <w:tcW w:w="9080" w:type="dxa"/>
            <w:vAlign w:val="bottom"/>
            <w:tcBorders>
              <w:bottom w:val="single" w:sz="8" w:color="0000FF"/>
            </w:tcBorders>
            <w:gridSpan w:val="16"/>
          </w:tcPr>
          <w:p>
            <w:pPr>
              <w:spacing w:after="0"/>
              <w:rPr>
                <w:rFonts w:ascii="Times New Roman" w:cs="Times New Roman" w:eastAsia="Times New Roman" w:hAnsi="Times New Roman"/>
                <w:sz w:val="10"/>
                <w:szCs w:val="10"/>
                <w:color w:val="0000FF"/>
                <w:w w:val="97"/>
              </w:rPr>
            </w:pPr>
            <w:hyperlink r:id="rId330">
              <w:r>
                <w:rPr>
                  <w:rFonts w:ascii="Times New Roman" w:cs="Times New Roman" w:eastAsia="Times New Roman" w:hAnsi="Times New Roman"/>
                  <w:sz w:val="10"/>
                  <w:szCs w:val="10"/>
                  <w:color w:val="0000FF"/>
                  <w:w w:val="97"/>
                </w:rPr>
                <w:t>Promissory Note, dated as of September 9, 2024, by and among YA II PN, Ltd. and Rezolve AI Limited (incorporated by reference to Exhibit 10.11 of Rezolve AI Limited’s Registration Statement on Form F-1/A, filed with the SEC</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860" w:type="dxa"/>
            <w:vAlign w:val="bottom"/>
            <w:tcBorders>
              <w:bottom w:val="single" w:sz="8" w:color="0000FF"/>
            </w:tcBorders>
            <w:gridSpan w:val="2"/>
          </w:tcPr>
          <w:p>
            <w:pPr>
              <w:spacing w:after="0" w:line="93" w:lineRule="exact"/>
              <w:rPr>
                <w:rFonts w:ascii="Times New Roman" w:cs="Times New Roman" w:eastAsia="Times New Roman" w:hAnsi="Times New Roman"/>
                <w:sz w:val="10"/>
                <w:szCs w:val="10"/>
                <w:color w:val="0000FF"/>
                <w:w w:val="95"/>
              </w:rPr>
            </w:pPr>
            <w:hyperlink r:id="rId330">
              <w:r>
                <w:rPr>
                  <w:rFonts w:ascii="Times New Roman" w:cs="Times New Roman" w:eastAsia="Times New Roman" w:hAnsi="Times New Roman"/>
                  <w:sz w:val="10"/>
                  <w:szCs w:val="10"/>
                  <w:color w:val="0000FF"/>
                  <w:w w:val="95"/>
                </w:rPr>
                <w:t>on October 28, 2024).</w:t>
              </w:r>
            </w:hyperlink>
          </w:p>
        </w:tc>
        <w:tc>
          <w:tcPr>
            <w:tcW w:w="8280" w:type="dxa"/>
            <w:vAlign w:val="bottom"/>
            <w:gridSpan w:val="17"/>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10.12*</w:t>
            </w:r>
          </w:p>
        </w:tc>
        <w:tc>
          <w:tcPr>
            <w:tcW w:w="8120" w:type="dxa"/>
            <w:vAlign w:val="bottom"/>
            <w:tcBorders>
              <w:bottom w:val="single" w:sz="8" w:color="0000FF"/>
            </w:tcBorders>
            <w:gridSpan w:val="13"/>
          </w:tcPr>
          <w:p>
            <w:pPr>
              <w:spacing w:after="0"/>
              <w:rPr>
                <w:rFonts w:ascii="Times New Roman" w:cs="Times New Roman" w:eastAsia="Times New Roman" w:hAnsi="Times New Roman"/>
                <w:sz w:val="10"/>
                <w:szCs w:val="10"/>
                <w:color w:val="0000FF"/>
                <w:w w:val="97"/>
              </w:rPr>
            </w:pPr>
            <w:hyperlink r:id="rId330">
              <w:r>
                <w:rPr>
                  <w:rFonts w:ascii="Times New Roman" w:cs="Times New Roman" w:eastAsia="Times New Roman" w:hAnsi="Times New Roman"/>
                  <w:sz w:val="10"/>
                  <w:szCs w:val="10"/>
                  <w:color w:val="0000FF"/>
                  <w:w w:val="97"/>
                </w:rPr>
                <w:t>Promissory Note, dated as of November 29, 2024, by and among YA II PN, Ltd. and Rezolve AI Limited (incorporated by reference to Exhibit 99.1 of Rezolve's Report on Form 6-K, filed December 5, 2024.</w:t>
              </w:r>
            </w:hyperlink>
          </w:p>
        </w:tc>
        <w:tc>
          <w:tcPr>
            <w:tcW w:w="10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10.13*</w:t>
            </w:r>
          </w:p>
        </w:tc>
        <w:tc>
          <w:tcPr>
            <w:tcW w:w="9140" w:type="dxa"/>
            <w:vAlign w:val="bottom"/>
            <w:gridSpan w:val="19"/>
          </w:tcPr>
          <w:p>
            <w:pPr>
              <w:spacing w:after="0"/>
              <w:rPr>
                <w:rFonts w:ascii="Times New Roman" w:cs="Times New Roman" w:eastAsia="Times New Roman" w:hAnsi="Times New Roman"/>
                <w:sz w:val="10"/>
                <w:szCs w:val="10"/>
                <w:color w:val="0000FF"/>
                <w:w w:val="98"/>
              </w:rPr>
            </w:pPr>
            <w:hyperlink r:id="rId331">
              <w:r>
                <w:rPr>
                  <w:rFonts w:ascii="Times New Roman" w:cs="Times New Roman" w:eastAsia="Times New Roman" w:hAnsi="Times New Roman"/>
                  <w:sz w:val="10"/>
                  <w:szCs w:val="10"/>
                  <w:color w:val="0000FF"/>
                  <w:w w:val="98"/>
                </w:rPr>
                <w:t>Letter Agreement, dated as of December 17, 2024, by and among the Company, Apeiron Investment Group Ltd. and Bradley Wickens (incorporated by reference to Exhibit 10.2 of Rezolve's Report on Form 6-K, filed December 18,</w:t>
              </w:r>
            </w:hyperlink>
          </w:p>
        </w:tc>
        <w:tc>
          <w:tcPr>
            <w:tcW w:w="0" w:type="dxa"/>
            <w:vAlign w:val="bottom"/>
          </w:tcPr>
          <w:p>
            <w:pPr>
              <w:spacing w:after="0"/>
              <w:rPr>
                <w:sz w:val="1"/>
                <w:szCs w:val="1"/>
                <w:color w:val="auto"/>
              </w:rPr>
            </w:pPr>
          </w:p>
        </w:tc>
      </w:tr>
      <w:tr>
        <w:trPr>
          <w:trHeight w:val="93"/>
        </w:trPr>
        <w:tc>
          <w:tcPr>
            <w:tcW w:w="1060" w:type="dxa"/>
            <w:vAlign w:val="bottom"/>
          </w:tcPr>
          <w:p>
            <w:pPr>
              <w:spacing w:after="0"/>
              <w:rPr>
                <w:sz w:val="8"/>
                <w:szCs w:val="8"/>
                <w:color w:val="auto"/>
              </w:rPr>
            </w:pPr>
          </w:p>
        </w:tc>
        <w:tc>
          <w:tcPr>
            <w:tcW w:w="260" w:type="dxa"/>
            <w:vAlign w:val="bottom"/>
            <w:tcBorders>
              <w:top w:val="single" w:sz="8" w:color="0000FF"/>
              <w:bottom w:val="single" w:sz="8" w:color="0000FF"/>
            </w:tcBorders>
          </w:tcPr>
          <w:p>
            <w:pPr>
              <w:spacing w:after="0" w:line="93" w:lineRule="exact"/>
              <w:rPr>
                <w:rFonts w:ascii="Times New Roman" w:cs="Times New Roman" w:eastAsia="Times New Roman" w:hAnsi="Times New Roman"/>
                <w:sz w:val="10"/>
                <w:szCs w:val="10"/>
                <w:color w:val="0000FF"/>
                <w:w w:val="92"/>
              </w:rPr>
            </w:pPr>
            <w:hyperlink r:id="rId331">
              <w:r>
                <w:rPr>
                  <w:rFonts w:ascii="Times New Roman" w:cs="Times New Roman" w:eastAsia="Times New Roman" w:hAnsi="Times New Roman"/>
                  <w:sz w:val="10"/>
                  <w:szCs w:val="10"/>
                  <w:color w:val="0000FF"/>
                  <w:w w:val="92"/>
                </w:rPr>
                <w:t>2024).</w:t>
              </w:r>
            </w:hyperlink>
          </w:p>
        </w:tc>
        <w:tc>
          <w:tcPr>
            <w:tcW w:w="60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306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0"/>
          <w:szCs w:val="1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256540</wp:posOffset>
            </wp:positionV>
            <wp:extent cx="6778625" cy="349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200"/>
          </w:cols>
          <w:pgMar w:left="1040" w:top="1040" w:right="660" w:bottom="1440" w:gutter="0" w:footer="0" w:header="0"/>
        </w:sectPr>
      </w:pPr>
    </w:p>
    <w:bookmarkStart w:id="287" w:name="page288"/>
    <w:bookmarkEnd w:id="287"/>
    <w:tbl>
      <w:tblPr>
        <w:tblLayout w:type="fixed"/>
        <w:tblInd w:w="400" w:type="dxa"/>
        <w:tblCellMar>
          <w:top w:w="0" w:type="dxa"/>
          <w:left w:w="0" w:type="dxa"/>
          <w:bottom w:w="0" w:type="dxa"/>
          <w:right w:w="0" w:type="dxa"/>
        </w:tblCellMar>
      </w:tblPr>
      <w:tr>
        <w:trPr>
          <w:trHeight w:val="115"/>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10.14*</w:t>
            </w:r>
          </w:p>
        </w:tc>
        <w:tc>
          <w:tcPr>
            <w:tcW w:w="5260" w:type="dxa"/>
            <w:vAlign w:val="bottom"/>
            <w:tcBorders>
              <w:bottom w:val="single" w:sz="8" w:color="0000FF"/>
            </w:tcBorders>
            <w:gridSpan w:val="7"/>
          </w:tcPr>
          <w:p>
            <w:pPr>
              <w:spacing w:after="0"/>
              <w:rPr>
                <w:rFonts w:ascii="Times New Roman" w:cs="Times New Roman" w:eastAsia="Times New Roman" w:hAnsi="Times New Roman"/>
                <w:sz w:val="10"/>
                <w:szCs w:val="10"/>
                <w:color w:val="0000FF"/>
                <w:w w:val="97"/>
              </w:rPr>
            </w:pPr>
            <w:hyperlink r:id="rId333">
              <w:r>
                <w:rPr>
                  <w:rFonts w:ascii="Times New Roman" w:cs="Times New Roman" w:eastAsia="Times New Roman" w:hAnsi="Times New Roman"/>
                  <w:sz w:val="10"/>
                  <w:szCs w:val="10"/>
                  <w:color w:val="0000FF"/>
                  <w:w w:val="97"/>
                </w:rPr>
                <w:t>Form of Deed of Amendment (incorporated by reference to Exhibit 10.3 of Rezolve's Report on Form 6-K, filed December 18, 2024).</w:t>
              </w:r>
            </w:hyperlink>
          </w:p>
        </w:tc>
        <w:tc>
          <w:tcPr>
            <w:tcW w:w="1580" w:type="dxa"/>
            <w:vAlign w:val="bottom"/>
          </w:tcPr>
          <w:p>
            <w:pPr>
              <w:spacing w:after="0"/>
              <w:rPr>
                <w:sz w:val="10"/>
                <w:szCs w:val="10"/>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10.15*</w:t>
            </w:r>
          </w:p>
        </w:tc>
        <w:tc>
          <w:tcPr>
            <w:tcW w:w="1560" w:type="dxa"/>
            <w:vAlign w:val="bottom"/>
            <w:tcBorders>
              <w:bottom w:val="single" w:sz="8" w:color="0000FF"/>
            </w:tcBorders>
            <w:gridSpan w:val="3"/>
          </w:tcPr>
          <w:p>
            <w:pPr>
              <w:spacing w:after="0"/>
              <w:rPr>
                <w:rFonts w:ascii="Times New Roman" w:cs="Times New Roman" w:eastAsia="Times New Roman" w:hAnsi="Times New Roman"/>
                <w:sz w:val="10"/>
                <w:szCs w:val="10"/>
                <w:color w:val="0000FF"/>
                <w:w w:val="96"/>
              </w:rPr>
            </w:pPr>
            <w:hyperlink r:id="rId334">
              <w:r>
                <w:rPr>
                  <w:rFonts w:ascii="Times New Roman" w:cs="Times New Roman" w:eastAsia="Times New Roman" w:hAnsi="Times New Roman"/>
                  <w:sz w:val="10"/>
                  <w:szCs w:val="10"/>
                  <w:color w:val="0000FF"/>
                  <w:w w:val="96"/>
                </w:rPr>
                <w:t>Form of Securities Purchase Agreement</w:t>
              </w:r>
            </w:hyperlink>
          </w:p>
        </w:tc>
        <w:tc>
          <w:tcPr>
            <w:tcW w:w="5280" w:type="dxa"/>
            <w:vAlign w:val="bottom"/>
            <w:gridSpan w:val="5"/>
          </w:tcPr>
          <w:p>
            <w:pPr>
              <w:spacing w:after="0"/>
              <w:rPr>
                <w:sz w:val="13"/>
                <w:szCs w:val="13"/>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23.1</w:t>
            </w:r>
          </w:p>
        </w:tc>
        <w:tc>
          <w:tcPr>
            <w:tcW w:w="1440" w:type="dxa"/>
            <w:vAlign w:val="bottom"/>
            <w:tcBorders>
              <w:bottom w:val="single" w:sz="8" w:color="0000FF"/>
            </w:tcBorders>
            <w:gridSpan w:val="2"/>
          </w:tcPr>
          <w:p>
            <w:pPr>
              <w:spacing w:after="0"/>
              <w:rPr>
                <w:rFonts w:ascii="Times New Roman" w:cs="Times New Roman" w:eastAsia="Times New Roman" w:hAnsi="Times New Roman"/>
                <w:sz w:val="10"/>
                <w:szCs w:val="10"/>
                <w:color w:val="0000FF"/>
                <w:w w:val="96"/>
              </w:rPr>
            </w:pPr>
            <w:hyperlink w:anchor="page1">
              <w:r>
                <w:rPr>
                  <w:rFonts w:ascii="Times New Roman" w:cs="Times New Roman" w:eastAsia="Times New Roman" w:hAnsi="Times New Roman"/>
                  <w:sz w:val="10"/>
                  <w:szCs w:val="10"/>
                  <w:color w:val="0000FF"/>
                  <w:w w:val="96"/>
                </w:rPr>
                <w:t>Consent of Grassi &amp; Co., CPAs, PC.</w:t>
              </w:r>
            </w:hyperlink>
          </w:p>
        </w:tc>
        <w:tc>
          <w:tcPr>
            <w:tcW w:w="5400" w:type="dxa"/>
            <w:vAlign w:val="bottom"/>
            <w:gridSpan w:val="6"/>
          </w:tcPr>
          <w:p>
            <w:pPr>
              <w:spacing w:after="0"/>
              <w:rPr>
                <w:sz w:val="13"/>
                <w:szCs w:val="13"/>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23.2</w:t>
            </w:r>
          </w:p>
        </w:tc>
        <w:tc>
          <w:tcPr>
            <w:tcW w:w="3840" w:type="dxa"/>
            <w:vAlign w:val="bottom"/>
            <w:tcBorders>
              <w:bottom w:val="single" w:sz="8" w:color="0000FF"/>
            </w:tcBorders>
            <w:gridSpan w:val="6"/>
          </w:tcPr>
          <w:p>
            <w:pPr>
              <w:spacing w:after="0"/>
              <w:rPr>
                <w:rFonts w:ascii="Times New Roman" w:cs="Times New Roman" w:eastAsia="Times New Roman" w:hAnsi="Times New Roman"/>
                <w:sz w:val="10"/>
                <w:szCs w:val="10"/>
                <w:color w:val="0000FF"/>
                <w:w w:val="97"/>
              </w:rPr>
            </w:pPr>
            <w:hyperlink w:anchor="page1">
              <w:r>
                <w:rPr>
                  <w:rFonts w:ascii="Times New Roman" w:cs="Times New Roman" w:eastAsia="Times New Roman" w:hAnsi="Times New Roman"/>
                  <w:sz w:val="10"/>
                  <w:szCs w:val="10"/>
                  <w:color w:val="0000FF"/>
                  <w:w w:val="97"/>
                </w:rPr>
                <w:t>Consent of Marcum LLP, independent registered accounting firm for Armada Acquisition Corp. I.</w:t>
              </w:r>
            </w:hyperlink>
          </w:p>
        </w:tc>
        <w:tc>
          <w:tcPr>
            <w:tcW w:w="3000" w:type="dxa"/>
            <w:vAlign w:val="bottom"/>
            <w:gridSpan w:val="2"/>
          </w:tcPr>
          <w:p>
            <w:pPr>
              <w:spacing w:after="0"/>
              <w:rPr>
                <w:sz w:val="13"/>
                <w:szCs w:val="13"/>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23.3*</w:t>
            </w:r>
          </w:p>
        </w:tc>
        <w:tc>
          <w:tcPr>
            <w:tcW w:w="2060" w:type="dxa"/>
            <w:vAlign w:val="bottom"/>
            <w:tcBorders>
              <w:bottom w:val="single" w:sz="8" w:color="0000FF"/>
            </w:tcBorders>
            <w:gridSpan w:val="4"/>
          </w:tcPr>
          <w:p>
            <w:pPr>
              <w:spacing w:after="0"/>
              <w:rPr>
                <w:rFonts w:ascii="Times New Roman" w:cs="Times New Roman" w:eastAsia="Times New Roman" w:hAnsi="Times New Roman"/>
                <w:sz w:val="10"/>
                <w:szCs w:val="10"/>
                <w:color w:val="0000FF"/>
                <w:w w:val="96"/>
              </w:rPr>
            </w:pPr>
            <w:hyperlink r:id="rId318">
              <w:r>
                <w:rPr>
                  <w:rFonts w:ascii="Times New Roman" w:cs="Times New Roman" w:eastAsia="Times New Roman" w:hAnsi="Times New Roman"/>
                  <w:sz w:val="10"/>
                  <w:szCs w:val="10"/>
                  <w:color w:val="0000FF"/>
                  <w:w w:val="96"/>
                </w:rPr>
                <w:t>Consent of DLA Piper LLP (included in Exhibit 5.1)</w:t>
              </w:r>
            </w:hyperlink>
          </w:p>
        </w:tc>
        <w:tc>
          <w:tcPr>
            <w:tcW w:w="4780" w:type="dxa"/>
            <w:vAlign w:val="bottom"/>
            <w:gridSpan w:val="4"/>
          </w:tcPr>
          <w:p>
            <w:pPr>
              <w:spacing w:after="0"/>
              <w:rPr>
                <w:sz w:val="13"/>
                <w:szCs w:val="13"/>
                <w:color w:val="auto"/>
              </w:rPr>
            </w:pPr>
          </w:p>
        </w:tc>
      </w:tr>
      <w:tr>
        <w:trPr>
          <w:trHeight w:val="15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23.4*</w:t>
            </w:r>
          </w:p>
        </w:tc>
        <w:tc>
          <w:tcPr>
            <w:tcW w:w="2280" w:type="dxa"/>
            <w:vAlign w:val="bottom"/>
            <w:tcBorders>
              <w:bottom w:val="single" w:sz="8" w:color="0000FF"/>
            </w:tcBorders>
            <w:gridSpan w:val="5"/>
          </w:tcPr>
          <w:p>
            <w:pPr>
              <w:spacing w:after="0"/>
              <w:rPr>
                <w:rFonts w:ascii="Times New Roman" w:cs="Times New Roman" w:eastAsia="Times New Roman" w:hAnsi="Times New Roman"/>
                <w:sz w:val="10"/>
                <w:szCs w:val="10"/>
                <w:color w:val="0000FF"/>
                <w:w w:val="96"/>
              </w:rPr>
            </w:pPr>
            <w:hyperlink r:id="rId319">
              <w:r>
                <w:rPr>
                  <w:rFonts w:ascii="Times New Roman" w:cs="Times New Roman" w:eastAsia="Times New Roman" w:hAnsi="Times New Roman"/>
                  <w:sz w:val="10"/>
                  <w:szCs w:val="10"/>
                  <w:color w:val="0000FF"/>
                  <w:w w:val="96"/>
                </w:rPr>
                <w:t>Consent of Taylor Wessing LLP (included in Exhibit 5.2)</w:t>
              </w:r>
            </w:hyperlink>
            <w:r>
              <w:rPr>
                <w:rFonts w:ascii="Times New Roman" w:cs="Times New Roman" w:eastAsia="Times New Roman" w:hAnsi="Times New Roman"/>
                <w:sz w:val="10"/>
                <w:szCs w:val="10"/>
                <w:color w:val="0000FF"/>
                <w:w w:val="96"/>
              </w:rPr>
              <w:t>.</w:t>
            </w:r>
          </w:p>
        </w:tc>
        <w:tc>
          <w:tcPr>
            <w:tcW w:w="4560" w:type="dxa"/>
            <w:vAlign w:val="bottom"/>
            <w:gridSpan w:val="3"/>
          </w:tcPr>
          <w:p>
            <w:pPr>
              <w:spacing w:after="0"/>
              <w:rPr>
                <w:sz w:val="13"/>
                <w:szCs w:val="13"/>
                <w:color w:val="auto"/>
              </w:rPr>
            </w:pP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101.INS</w:t>
            </w:r>
          </w:p>
        </w:tc>
        <w:tc>
          <w:tcPr>
            <w:tcW w:w="6840" w:type="dxa"/>
            <w:vAlign w:val="bottom"/>
            <w:gridSpan w:val="8"/>
          </w:tcPr>
          <w:p>
            <w:pPr>
              <w:spacing w:after="0"/>
              <w:rPr>
                <w:sz w:val="20"/>
                <w:szCs w:val="20"/>
                <w:color w:val="auto"/>
              </w:rPr>
            </w:pPr>
            <w:r>
              <w:rPr>
                <w:rFonts w:ascii="Times New Roman" w:cs="Times New Roman" w:eastAsia="Times New Roman" w:hAnsi="Times New Roman"/>
                <w:sz w:val="10"/>
                <w:szCs w:val="10"/>
                <w:color w:val="auto"/>
                <w:w w:val="97"/>
              </w:rPr>
              <w:t>Inline XBRL Instance Document – the instance document does not appear in the Interactive Data File because its XBRL tags are embedded within the Inline XBRL document.</w:t>
            </w: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101.SCH</w:t>
            </w:r>
          </w:p>
        </w:tc>
        <w:tc>
          <w:tcPr>
            <w:tcW w:w="684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Inline XBRL Taxonomy Extension Schema With Embedded Linkbase Documents.</w:t>
            </w:r>
          </w:p>
        </w:tc>
      </w:tr>
      <w:tr>
        <w:trPr>
          <w:trHeight w:val="173"/>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104</w:t>
            </w:r>
          </w:p>
        </w:tc>
        <w:tc>
          <w:tcPr>
            <w:tcW w:w="684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Cover Page Interactive Data File.</w:t>
            </w:r>
          </w:p>
        </w:tc>
      </w:tr>
      <w:tr>
        <w:trPr>
          <w:trHeight w:val="152"/>
        </w:trPr>
        <w:tc>
          <w:tcPr>
            <w:tcW w:w="1060" w:type="dxa"/>
            <w:vAlign w:val="bottom"/>
          </w:tcPr>
          <w:p>
            <w:pPr>
              <w:spacing w:after="0"/>
              <w:rPr>
                <w:sz w:val="20"/>
                <w:szCs w:val="20"/>
                <w:color w:val="auto"/>
              </w:rPr>
            </w:pPr>
            <w:r>
              <w:rPr>
                <w:rFonts w:ascii="Times New Roman" w:cs="Times New Roman" w:eastAsia="Times New Roman" w:hAnsi="Times New Roman"/>
                <w:sz w:val="10"/>
                <w:szCs w:val="10"/>
                <w:color w:val="auto"/>
              </w:rPr>
              <w:t>107*</w:t>
            </w:r>
          </w:p>
        </w:tc>
        <w:tc>
          <w:tcPr>
            <w:tcW w:w="1000" w:type="dxa"/>
            <w:vAlign w:val="bottom"/>
            <w:tcBorders>
              <w:bottom w:val="single" w:sz="8" w:color="0000FF"/>
            </w:tcBorders>
          </w:tcPr>
          <w:p>
            <w:pPr>
              <w:spacing w:after="0"/>
              <w:rPr>
                <w:rFonts w:ascii="Times New Roman" w:cs="Times New Roman" w:eastAsia="Times New Roman" w:hAnsi="Times New Roman"/>
                <w:sz w:val="10"/>
                <w:szCs w:val="10"/>
                <w:color w:val="0000FF"/>
                <w:w w:val="96"/>
              </w:rPr>
            </w:pPr>
            <w:hyperlink r:id="rId335">
              <w:r>
                <w:rPr>
                  <w:rFonts w:ascii="Times New Roman" w:cs="Times New Roman" w:eastAsia="Times New Roman" w:hAnsi="Times New Roman"/>
                  <w:sz w:val="10"/>
                  <w:szCs w:val="10"/>
                  <w:color w:val="0000FF"/>
                  <w:w w:val="96"/>
                </w:rPr>
                <w:t>Calculation of Fee Table.</w:t>
              </w:r>
            </w:hyperlink>
          </w:p>
        </w:tc>
        <w:tc>
          <w:tcPr>
            <w:tcW w:w="5840" w:type="dxa"/>
            <w:vAlign w:val="bottom"/>
            <w:gridSpan w:val="7"/>
          </w:tcPr>
          <w:p>
            <w:pPr>
              <w:spacing w:after="0"/>
              <w:rPr>
                <w:sz w:val="13"/>
                <w:szCs w:val="13"/>
                <w:color w:val="auto"/>
              </w:rPr>
            </w:pPr>
          </w:p>
        </w:tc>
      </w:tr>
    </w:tbl>
    <w:p>
      <w:pPr>
        <w:spacing w:after="0" w:line="2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0"/>
          <w:szCs w:val="10"/>
          <w:color w:val="auto"/>
        </w:rPr>
        <w:t>* As previously filed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Item 9. Undertakings.</w:t>
      </w:r>
    </w:p>
    <w:p>
      <w:pPr>
        <w:spacing w:after="0" w:line="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undersigned registrant, hereby undertakes:</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(1)To file, during any period in which offers or sales are being made, a post-effective amendment to this registration statement:</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(i)To include any prospectus required by Section 10(a)(3) of the Securities Act of 1933, as amended;</w:t>
      </w:r>
    </w:p>
    <w:p>
      <w:pPr>
        <w:spacing w:after="0" w:line="58" w:lineRule="exact"/>
        <w:rPr>
          <w:sz w:val="20"/>
          <w:szCs w:val="20"/>
          <w:color w:val="auto"/>
        </w:rPr>
      </w:pPr>
    </w:p>
    <w:p>
      <w:pPr>
        <w:ind w:left="1020" w:right="20"/>
        <w:spacing w:after="0" w:line="241" w:lineRule="auto"/>
        <w:rPr>
          <w:sz w:val="20"/>
          <w:szCs w:val="20"/>
          <w:color w:val="auto"/>
        </w:rPr>
      </w:pPr>
      <w:r>
        <w:rPr>
          <w:rFonts w:ascii="Times New Roman" w:cs="Times New Roman" w:eastAsia="Times New Roman" w:hAnsi="Times New Roman"/>
          <w:sz w:val="10"/>
          <w:szCs w:val="10"/>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(iii)To include any material information with respect to the plan of distribution not previously disclosed in the registration statement or any material change to such information in the registration statement.</w:t>
      </w:r>
    </w:p>
    <w:p>
      <w:pPr>
        <w:spacing w:after="0" w:line="58"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0"/>
          <w:szCs w:val="10"/>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(3)To remove from registration by means of a post-effective amendment any of the securities being registered which remain unsold at the termination of the offering.</w:t>
      </w:r>
    </w:p>
    <w:p>
      <w:pPr>
        <w:spacing w:after="0" w:line="58" w:lineRule="exact"/>
        <w:rPr>
          <w:sz w:val="20"/>
          <w:szCs w:val="20"/>
          <w:color w:val="auto"/>
        </w:rPr>
      </w:pPr>
    </w:p>
    <w:p>
      <w:pPr>
        <w:ind w:left="480" w:right="60"/>
        <w:spacing w:after="0" w:line="241" w:lineRule="auto"/>
        <w:rPr>
          <w:sz w:val="20"/>
          <w:szCs w:val="20"/>
          <w:color w:val="auto"/>
        </w:rPr>
      </w:pPr>
      <w:r>
        <w:rPr>
          <w:rFonts w:ascii="Times New Roman" w:cs="Times New Roman" w:eastAsia="Times New Roman" w:hAnsi="Times New Roman"/>
          <w:sz w:val="10"/>
          <w:szCs w:val="10"/>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48" w:lineRule="exact"/>
        <w:rPr>
          <w:sz w:val="20"/>
          <w:szCs w:val="20"/>
          <w:color w:val="auto"/>
        </w:rPr>
      </w:pPr>
    </w:p>
    <w:p>
      <w:pPr>
        <w:ind w:left="480" w:right="120"/>
        <w:spacing w:after="0" w:line="255" w:lineRule="auto"/>
        <w:rPr>
          <w:sz w:val="20"/>
          <w:szCs w:val="20"/>
          <w:color w:val="auto"/>
        </w:rPr>
      </w:pPr>
      <w:r>
        <w:rPr>
          <w:rFonts w:ascii="Times New Roman" w:cs="Times New Roman" w:eastAsia="Times New Roman" w:hAnsi="Times New Roman"/>
          <w:sz w:val="10"/>
          <w:szCs w:val="10"/>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40" w:right="620" w:bottom="1440" w:gutter="0" w:footer="0" w:header="0"/>
        </w:sectPr>
      </w:pPr>
    </w:p>
    <w:bookmarkStart w:id="288" w:name="page289"/>
    <w:bookmarkEnd w:id="288"/>
    <w:p>
      <w:pPr>
        <w:ind w:left="480"/>
        <w:spacing w:after="0"/>
        <w:rPr>
          <w:sz w:val="20"/>
          <w:szCs w:val="20"/>
          <w:color w:val="auto"/>
        </w:rPr>
      </w:pPr>
      <w:r>
        <w:rPr>
          <w:rFonts w:ascii="Times New Roman" w:cs="Times New Roman" w:eastAsia="Times New Roman" w:hAnsi="Times New Roman"/>
          <w:sz w:val="10"/>
          <w:szCs w:val="10"/>
          <w:color w:val="auto"/>
        </w:rPr>
        <w:t>other information necessary to ensure that all other information in the prospectus is at least as current as the date of those financial statements.</w:t>
      </w:r>
    </w:p>
    <w:p>
      <w:pPr>
        <w:spacing w:after="0" w:line="58" w:lineRule="exact"/>
        <w:rPr>
          <w:sz w:val="20"/>
          <w:szCs w:val="20"/>
          <w:color w:val="auto"/>
        </w:rPr>
      </w:pPr>
    </w:p>
    <w:p>
      <w:pPr>
        <w:ind w:left="480" w:right="20"/>
        <w:spacing w:after="0" w:line="245" w:lineRule="auto"/>
        <w:rPr>
          <w:sz w:val="20"/>
          <w:szCs w:val="20"/>
          <w:color w:val="auto"/>
        </w:rPr>
      </w:pPr>
      <w:r>
        <w:rPr>
          <w:rFonts w:ascii="Times New Roman" w:cs="Times New Roman" w:eastAsia="Times New Roman" w:hAnsi="Times New Roman"/>
          <w:sz w:val="10"/>
          <w:szCs w:val="10"/>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(i)Any preliminary prospectus or prospectus of the undersigned registrant relating to the offering required to be filed pursuant to Rule 424;</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0"/>
          <w:szCs w:val="10"/>
          <w:color w:val="auto"/>
        </w:rPr>
        <w:t>(ii)Any free writing prospectus relating to the offering prepared by or on behalf of the undersigned registrant or used or referred to by the undersigned registrant;</w:t>
      </w:r>
    </w:p>
    <w:p>
      <w:pPr>
        <w:spacing w:after="0" w:line="58" w:lineRule="exact"/>
        <w:rPr>
          <w:sz w:val="20"/>
          <w:szCs w:val="20"/>
          <w:color w:val="auto"/>
        </w:rPr>
      </w:pPr>
    </w:p>
    <w:p>
      <w:pPr>
        <w:ind w:left="1020" w:right="1220"/>
        <w:spacing w:after="0" w:line="380" w:lineRule="auto"/>
        <w:rPr>
          <w:sz w:val="20"/>
          <w:szCs w:val="20"/>
          <w:color w:val="auto"/>
        </w:rPr>
      </w:pPr>
      <w:r>
        <w:rPr>
          <w:rFonts w:ascii="Times New Roman" w:cs="Times New Roman" w:eastAsia="Times New Roman" w:hAnsi="Times New Roman"/>
          <w:sz w:val="10"/>
          <w:szCs w:val="10"/>
          <w:color w:val="auto"/>
        </w:rPr>
        <w:t>(iii)The portion of any other free writing prospectus relating to the offering containing material information about the undersigned registrant or its securities provided by or on behalf of the undersigned registrant; and (iv)Any other communication that is an offer in the offering made by the undersigned registrant to the purchaser.</w:t>
      </w:r>
    </w:p>
    <w:p>
      <w:pPr>
        <w:spacing w:after="0" w:line="41" w:lineRule="exact"/>
        <w:rPr>
          <w:sz w:val="20"/>
          <w:szCs w:val="20"/>
          <w:color w:val="auto"/>
        </w:rPr>
      </w:pPr>
    </w:p>
    <w:p>
      <w:pPr>
        <w:ind w:firstLine="480"/>
        <w:spacing w:after="0" w:line="277" w:lineRule="auto"/>
        <w:rPr>
          <w:sz w:val="20"/>
          <w:szCs w:val="20"/>
          <w:color w:val="auto"/>
        </w:rPr>
      </w:pPr>
      <w:r>
        <w:rPr>
          <w:rFonts w:ascii="Times New Roman" w:cs="Times New Roman" w:eastAsia="Times New Roman" w:hAnsi="Times New Roman"/>
          <w:sz w:val="9"/>
          <w:szCs w:val="9"/>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0"/>
          <w:szCs w:val="1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256540</wp:posOffset>
            </wp:positionV>
            <wp:extent cx="6778625" cy="34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40" w:top="1095" w:right="620" w:bottom="1440" w:gutter="0" w:footer="0" w:header="0"/>
        </w:sectPr>
      </w:pPr>
    </w:p>
    <w:bookmarkStart w:id="289" w:name="page290"/>
    <w:bookmarkEnd w:id="289"/>
    <w:p>
      <w:pPr>
        <w:jc w:val="center"/>
        <w:spacing w:after="0"/>
        <w:rPr>
          <w:sz w:val="20"/>
          <w:szCs w:val="20"/>
          <w:color w:val="auto"/>
        </w:rPr>
      </w:pPr>
      <w:r>
        <w:rPr>
          <w:rFonts w:ascii="Times New Roman" w:cs="Times New Roman" w:eastAsia="Times New Roman" w:hAnsi="Times New Roman"/>
          <w:sz w:val="10"/>
          <w:szCs w:val="10"/>
          <w:b w:val="1"/>
          <w:bCs w:val="1"/>
          <w:color w:val="auto"/>
        </w:rPr>
        <w:t>SIGNATURES</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London, United Kingdom, on the 19th day of December, 2024.</w:t>
      </w:r>
    </w:p>
    <w:p>
      <w:pPr>
        <w:spacing w:after="0" w:line="27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Rezolve AI Limited</w:t>
      </w:r>
    </w:p>
    <w:p>
      <w:pPr>
        <w:spacing w:after="0" w:line="120" w:lineRule="exact"/>
        <w:rPr>
          <w:sz w:val="20"/>
          <w:szCs w:val="20"/>
          <w:color w:val="auto"/>
        </w:rPr>
      </w:pPr>
    </w:p>
    <w:tbl>
      <w:tblPr>
        <w:tblLayout w:type="fixed"/>
        <w:tblInd w:w="6380" w:type="dxa"/>
        <w:tblCellMar>
          <w:top w:w="0" w:type="dxa"/>
          <w:left w:w="0" w:type="dxa"/>
          <w:bottom w:w="0" w:type="dxa"/>
          <w:right w:w="0" w:type="dxa"/>
        </w:tblCellMar>
      </w:tblPr>
      <w:tr>
        <w:trPr>
          <w:trHeight w:val="119"/>
        </w:trPr>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/s/ Daniel Wagner</w:t>
            </w:r>
          </w:p>
        </w:tc>
      </w:tr>
      <w:tr>
        <w:trPr>
          <w:trHeight w:val="93"/>
        </w:trPr>
        <w:tc>
          <w:tcPr>
            <w:tcW w:w="400" w:type="dxa"/>
            <w:vAlign w:val="bottom"/>
          </w:tcPr>
          <w:p>
            <w:pPr>
              <w:spacing w:after="0"/>
              <w:rPr>
                <w:sz w:val="8"/>
                <w:szCs w:val="8"/>
                <w:color w:val="auto"/>
              </w:rPr>
            </w:pPr>
          </w:p>
        </w:tc>
        <w:tc>
          <w:tcPr>
            <w:tcW w:w="3840" w:type="dxa"/>
            <w:vAlign w:val="bottom"/>
          </w:tcPr>
          <w:p>
            <w:pPr>
              <w:spacing w:after="0" w:line="93" w:lineRule="exact"/>
              <w:rPr>
                <w:sz w:val="20"/>
                <w:szCs w:val="20"/>
                <w:color w:val="auto"/>
              </w:rPr>
            </w:pPr>
            <w:r>
              <w:rPr>
                <w:rFonts w:ascii="Times New Roman" w:cs="Times New Roman" w:eastAsia="Times New Roman" w:hAnsi="Times New Roman"/>
                <w:sz w:val="10"/>
                <w:szCs w:val="10"/>
                <w:color w:val="auto"/>
              </w:rPr>
              <w:t>Daniel Wagner</w:t>
            </w:r>
          </w:p>
        </w:tc>
      </w:tr>
      <w:tr>
        <w:trPr>
          <w:trHeight w:val="125"/>
        </w:trPr>
        <w:tc>
          <w:tcPr>
            <w:tcW w:w="400" w:type="dxa"/>
            <w:vAlign w:val="bottom"/>
          </w:tcPr>
          <w:p>
            <w:pPr>
              <w:spacing w:after="0"/>
              <w:rPr>
                <w:sz w:val="10"/>
                <w:szCs w:val="1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0"/>
                <w:szCs w:val="10"/>
                <w:color w:val="auto"/>
              </w:rPr>
              <w:t>Chief Executive Officer</w:t>
            </w:r>
          </w:p>
        </w:tc>
      </w:tr>
    </w:tbl>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Pursuant to the requirements of the Securities Act of 1933, this Registration Statement has been signed by the following persons in the capacities and on the dates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48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Name</w:t>
            </w:r>
          </w:p>
        </w:tc>
        <w:tc>
          <w:tcPr>
            <w:tcW w:w="80" w:type="dxa"/>
            <w:vAlign w:val="bottom"/>
          </w:tcPr>
          <w:p>
            <w:pPr>
              <w:spacing w:after="0"/>
              <w:rPr>
                <w:sz w:val="9"/>
                <w:szCs w:val="9"/>
                <w:color w:val="auto"/>
              </w:rPr>
            </w:pPr>
          </w:p>
        </w:tc>
        <w:tc>
          <w:tcPr>
            <w:tcW w:w="37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8"/>
                <w:szCs w:val="8"/>
                <w:b w:val="1"/>
                <w:bCs w:val="1"/>
                <w:color w:val="auto"/>
              </w:rPr>
              <w:t>Title</w:t>
            </w:r>
          </w:p>
        </w:tc>
        <w:tc>
          <w:tcPr>
            <w:tcW w:w="220" w:type="dxa"/>
            <w:vAlign w:val="bottom"/>
          </w:tcPr>
          <w:p>
            <w:pPr>
              <w:spacing w:after="0"/>
              <w:rPr>
                <w:sz w:val="9"/>
                <w:szCs w:val="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8"/>
                <w:szCs w:val="8"/>
                <w:b w:val="1"/>
                <w:bCs w:val="1"/>
                <w:color w:val="auto"/>
                <w:w w:val="99"/>
              </w:rPr>
              <w:t>Date</w:t>
            </w:r>
          </w:p>
        </w:tc>
        <w:tc>
          <w:tcPr>
            <w:tcW w:w="0" w:type="dxa"/>
            <w:vAlign w:val="bottom"/>
          </w:tcPr>
          <w:p>
            <w:pPr>
              <w:spacing w:after="0"/>
              <w:rPr>
                <w:sz w:val="1"/>
                <w:szCs w:val="1"/>
                <w:color w:val="auto"/>
              </w:rPr>
            </w:pPr>
          </w:p>
        </w:tc>
      </w:tr>
      <w:tr>
        <w:trPr>
          <w:trHeight w:val="223"/>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Daniel Wagner</w:t>
            </w:r>
          </w:p>
        </w:tc>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Executive Officer and Director</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December 19,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Daniel Wagner</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Executive Officer)</w:t>
            </w: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8"/>
              </w:rPr>
              <w:t>/s/ Richard Burchill</w:t>
            </w:r>
          </w:p>
        </w:tc>
        <w:tc>
          <w:tcPr>
            <w:tcW w:w="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Chief Financial Officer</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December 19,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Richard Burchill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rPr>
              <w:t>(Principal Financial and Accounting Officer)</w:t>
            </w:r>
          </w:p>
        </w:tc>
        <w:tc>
          <w:tcPr>
            <w:tcW w:w="2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19, 2024</w:t>
            </w:r>
          </w:p>
        </w:tc>
        <w:tc>
          <w:tcPr>
            <w:tcW w:w="0" w:type="dxa"/>
            <w:vAlign w:val="bottom"/>
          </w:tcPr>
          <w:p>
            <w:pPr>
              <w:spacing w:after="0"/>
              <w:rPr>
                <w:sz w:val="1"/>
                <w:szCs w:val="1"/>
                <w:color w:val="auto"/>
              </w:rPr>
            </w:pPr>
          </w:p>
        </w:tc>
      </w:tr>
      <w:tr>
        <w:trPr>
          <w:trHeight w:val="111"/>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color w:val="auto"/>
                <w:w w:val="96"/>
              </w:rPr>
              <w:t>/s/ Anthony Sharp</w:t>
            </w: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9"/>
                <w:szCs w:val="9"/>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19,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Anthony Sharp</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0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color w:val="auto"/>
                <w:w w:val="98"/>
              </w:rPr>
              <w:t>/s/ Sir David Wright</w:t>
            </w: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19,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Sir David Wright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8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color w:val="auto"/>
                <w:w w:val="96"/>
              </w:rPr>
              <w:t>/s/ Stephen Perry</w:t>
            </w: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19, 2024</w:t>
            </w:r>
          </w:p>
        </w:tc>
        <w:tc>
          <w:tcPr>
            <w:tcW w:w="0" w:type="dxa"/>
            <w:vAlign w:val="bottom"/>
          </w:tcPr>
          <w:p>
            <w:pPr>
              <w:spacing w:after="0"/>
              <w:rPr>
                <w:sz w:val="1"/>
                <w:szCs w:val="1"/>
                <w:color w:val="auto"/>
              </w:rPr>
            </w:pPr>
          </w:p>
        </w:tc>
      </w:tr>
      <w:tr>
        <w:trPr>
          <w:trHeight w:val="114"/>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Stephen Perry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478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18"/>
                <w:szCs w:val="18"/>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19, 2024</w:t>
            </w:r>
          </w:p>
        </w:tc>
        <w:tc>
          <w:tcPr>
            <w:tcW w:w="0" w:type="dxa"/>
            <w:vAlign w:val="bottom"/>
          </w:tcPr>
          <w:p>
            <w:pPr>
              <w:spacing w:after="0"/>
              <w:rPr>
                <w:sz w:val="1"/>
                <w:szCs w:val="1"/>
                <w:color w:val="auto"/>
              </w:rPr>
            </w:pPr>
          </w:p>
        </w:tc>
      </w:tr>
      <w:tr>
        <w:trPr>
          <w:trHeight w:val="114"/>
        </w:trPr>
        <w:tc>
          <w:tcPr>
            <w:tcW w:w="47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John Wagner</w:t>
            </w: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/s/ Derek Smith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19, 2024</w:t>
            </w:r>
          </w:p>
        </w:tc>
        <w:tc>
          <w:tcPr>
            <w:tcW w:w="0" w:type="dxa"/>
            <w:vAlign w:val="bottom"/>
          </w:tcPr>
          <w:p>
            <w:pPr>
              <w:spacing w:after="0"/>
              <w:rPr>
                <w:sz w:val="1"/>
                <w:szCs w:val="1"/>
                <w:color w:val="auto"/>
              </w:rPr>
            </w:pPr>
          </w:p>
        </w:tc>
      </w:tr>
      <w:tr>
        <w:trPr>
          <w:trHeight w:val="106"/>
        </w:trPr>
        <w:tc>
          <w:tcPr>
            <w:tcW w:w="4780" w:type="dxa"/>
            <w:vAlign w:val="bottom"/>
            <w:vMerge w:val="restart"/>
          </w:tcPr>
          <w:p>
            <w:pPr>
              <w:ind w:left="2100"/>
              <w:spacing w:after="0"/>
              <w:rPr>
                <w:sz w:val="20"/>
                <w:szCs w:val="20"/>
                <w:color w:val="auto"/>
              </w:rPr>
            </w:pPr>
            <w:r>
              <w:rPr>
                <w:rFonts w:ascii="Times New Roman" w:cs="Times New Roman" w:eastAsia="Times New Roman" w:hAnsi="Times New Roman"/>
                <w:sz w:val="10"/>
                <w:szCs w:val="10"/>
                <w:b w:val="1"/>
                <w:bCs w:val="1"/>
                <w:color w:val="auto"/>
              </w:rPr>
              <w:t>Derek Smith</w:t>
            </w:r>
          </w:p>
        </w:tc>
        <w:tc>
          <w:tcPr>
            <w:tcW w:w="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478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 Stephen Herbert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Director</w:t>
            </w:r>
          </w:p>
        </w:tc>
        <w:tc>
          <w:tcPr>
            <w:tcW w:w="22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December 19, 2024</w:t>
            </w:r>
          </w:p>
        </w:tc>
        <w:tc>
          <w:tcPr>
            <w:tcW w:w="0" w:type="dxa"/>
            <w:vAlign w:val="bottom"/>
          </w:tcPr>
          <w:p>
            <w:pPr>
              <w:spacing w:after="0"/>
              <w:rPr>
                <w:sz w:val="1"/>
                <w:szCs w:val="1"/>
                <w:color w:val="auto"/>
              </w:rPr>
            </w:pPr>
          </w:p>
        </w:tc>
      </w:tr>
      <w:tr>
        <w:trPr>
          <w:trHeight w:val="106"/>
        </w:trPr>
        <w:tc>
          <w:tcPr>
            <w:tcW w:w="4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7"/>
              </w:rPr>
              <w:t>Stephen Herbert</w:t>
            </w:r>
          </w:p>
        </w:tc>
        <w:tc>
          <w:tcPr>
            <w:tcW w:w="80" w:type="dxa"/>
            <w:vAlign w:val="bottom"/>
          </w:tcPr>
          <w:p>
            <w:pPr>
              <w:spacing w:after="0"/>
              <w:rPr>
                <w:sz w:val="9"/>
                <w:szCs w:val="9"/>
                <w:color w:val="auto"/>
              </w:rPr>
            </w:pPr>
          </w:p>
        </w:tc>
        <w:tc>
          <w:tcPr>
            <w:tcW w:w="3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0"/>
        </w:trPr>
        <w:tc>
          <w:tcPr>
            <w:tcW w:w="47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7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33" w:right="640" w:bottom="1440" w:gutter="0" w:footer="0" w:header="0"/>
        </w:sectPr>
      </w:pPr>
    </w:p>
    <w:bookmarkStart w:id="290" w:name="page291"/>
    <w:bookmarkEnd w:id="290"/>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SIGNATURE OF AUTHORIZED U.S. REPRESENTATIVE OF THE REGISTRANT</w:t>
      </w:r>
    </w:p>
    <w:p>
      <w:pPr>
        <w:spacing w:after="0" w:line="97"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0"/>
          <w:szCs w:val="10"/>
          <w:color w:val="auto"/>
        </w:rPr>
        <w:t>Pursuant to the requirements of the Securities Act of 1933, the Registrant has duly caused this Registration Statement on Form F-1 to be signed on its behalf by the undersigned, thereunto duly authorized, in the city of New York, New York, on the 19th day of December, 2024.</w:t>
      </w:r>
    </w:p>
    <w:p>
      <w:pPr>
        <w:spacing w:after="0" w:line="27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0"/>
          <w:szCs w:val="10"/>
          <w:b w:val="1"/>
          <w:bCs w:val="1"/>
          <w:color w:val="auto"/>
        </w:rPr>
        <w:t>Cogency Global Inc.</w:t>
      </w:r>
    </w:p>
    <w:p>
      <w:pPr>
        <w:spacing w:after="0" w:line="127" w:lineRule="exact"/>
        <w:rPr>
          <w:sz w:val="20"/>
          <w:szCs w:val="20"/>
          <w:color w:val="auto"/>
        </w:rPr>
      </w:pPr>
    </w:p>
    <w:p>
      <w:pPr>
        <w:ind w:left="6380"/>
        <w:spacing w:after="0"/>
        <w:tabs>
          <w:tab w:leader="none" w:pos="6760" w:val="left"/>
        </w:tabs>
        <w:rPr>
          <w:sz w:val="20"/>
          <w:szCs w:val="20"/>
          <w:color w:val="auto"/>
        </w:rPr>
      </w:pPr>
      <w:r>
        <w:rPr>
          <w:rFonts w:ascii="Times New Roman" w:cs="Times New Roman" w:eastAsia="Times New Roman" w:hAnsi="Times New Roman"/>
          <w:sz w:val="10"/>
          <w:szCs w:val="10"/>
          <w:color w:val="auto"/>
        </w:rPr>
        <w:t>By:</w:t>
      </w:r>
      <w:r>
        <w:rPr>
          <w:sz w:val="20"/>
          <w:szCs w:val="20"/>
          <w:color w:val="auto"/>
        </w:rPr>
        <w:tab/>
      </w:r>
      <w:r>
        <w:rPr>
          <w:rFonts w:ascii="Times New Roman" w:cs="Times New Roman" w:eastAsia="Times New Roman" w:hAnsi="Times New Roman"/>
          <w:sz w:val="10"/>
          <w:szCs w:val="10"/>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2540</wp:posOffset>
            </wp:positionV>
            <wp:extent cx="2443480" cy="50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2443480" cy="508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0"/>
          <w:szCs w:val="10"/>
          <w:color w:val="auto"/>
        </w:rPr>
        <w:t>Colleen A. DeVries</w:t>
      </w:r>
    </w:p>
    <w:p>
      <w:pPr>
        <w:ind w:left="6780"/>
        <w:spacing w:after="0"/>
        <w:rPr>
          <w:sz w:val="20"/>
          <w:szCs w:val="20"/>
          <w:color w:val="auto"/>
        </w:rPr>
      </w:pPr>
      <w:r>
        <w:rPr>
          <w:rFonts w:ascii="Times New Roman" w:cs="Times New Roman" w:eastAsia="Times New Roman" w:hAnsi="Times New Roman"/>
          <w:sz w:val="10"/>
          <w:szCs w:val="10"/>
          <w:color w:val="auto"/>
        </w:rPr>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439420</wp:posOffset>
            </wp:positionV>
            <wp:extent cx="6778625" cy="349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40" w:top="1033" w:right="680"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1"/>
          <w:szCs w:val="11"/>
          <w:b w:val="1"/>
          <w:bCs w:val="1"/>
          <w:color w:val="auto"/>
        </w:rPr>
        <w:t>Exhibit 4.3</w:t>
      </w:r>
    </w:p>
    <w:p>
      <w:pPr>
        <w:spacing w:after="0" w:line="2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b w:val="1"/>
          <w:bCs w:val="1"/>
          <w:color w:val="auto"/>
        </w:rPr>
        <w:t>ORDINARY SHARE PURCHASE WARRANT</w:t>
      </w:r>
    </w:p>
    <w:p>
      <w:pPr>
        <w:spacing w:after="0" w:line="14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2"/>
          <w:szCs w:val="12"/>
          <w:b w:val="1"/>
          <w:bCs w:val="1"/>
          <w:color w:val="auto"/>
        </w:rPr>
        <w:t>REZOLVE AI LIMITED</w:t>
      </w:r>
    </w:p>
    <w:p>
      <w:pPr>
        <w:spacing w:after="0" w:line="129" w:lineRule="exact"/>
        <w:rPr>
          <w:sz w:val="20"/>
          <w:szCs w:val="20"/>
          <w:color w:val="auto"/>
        </w:rPr>
      </w:pPr>
    </w:p>
    <w:p>
      <w:pPr>
        <w:ind w:left="10"/>
        <w:spacing w:after="0"/>
        <w:tabs>
          <w:tab w:leader="none" w:pos="1330" w:val="left"/>
        </w:tabs>
        <w:rPr>
          <w:sz w:val="20"/>
          <w:szCs w:val="20"/>
          <w:color w:val="auto"/>
        </w:rPr>
      </w:pPr>
      <w:r>
        <w:rPr>
          <w:rFonts w:ascii="Times New Roman" w:cs="Times New Roman" w:eastAsia="Times New Roman" w:hAnsi="Times New Roman"/>
          <w:sz w:val="12"/>
          <w:szCs w:val="12"/>
          <w:color w:val="auto"/>
        </w:rPr>
        <w:t>Warrant Shares: _______</w:t>
      </w:r>
      <w:r>
        <w:rPr>
          <w:sz w:val="20"/>
          <w:szCs w:val="20"/>
          <w:color w:val="auto"/>
        </w:rPr>
        <w:tab/>
      </w:r>
      <w:r>
        <w:rPr>
          <w:rFonts w:ascii="Times New Roman" w:cs="Times New Roman" w:eastAsia="Times New Roman" w:hAnsi="Times New Roman"/>
          <w:sz w:val="11"/>
          <w:szCs w:val="11"/>
          <w:color w:val="auto"/>
        </w:rPr>
        <w:t>Initial Exercise Date: _______, 2024</w:t>
      </w:r>
    </w:p>
    <w:p>
      <w:pPr>
        <w:spacing w:after="0" w:line="267" w:lineRule="exact"/>
        <w:rPr>
          <w:sz w:val="20"/>
          <w:szCs w:val="20"/>
          <w:color w:val="auto"/>
        </w:rPr>
      </w:pPr>
    </w:p>
    <w:p>
      <w:pPr>
        <w:ind w:left="1410"/>
        <w:spacing w:after="0"/>
        <w:rPr>
          <w:sz w:val="20"/>
          <w:szCs w:val="20"/>
          <w:color w:val="auto"/>
        </w:rPr>
      </w:pPr>
      <w:r>
        <w:rPr>
          <w:rFonts w:ascii="Times New Roman" w:cs="Times New Roman" w:eastAsia="Times New Roman" w:hAnsi="Times New Roman"/>
          <w:sz w:val="12"/>
          <w:szCs w:val="12"/>
          <w:color w:val="auto"/>
        </w:rPr>
        <w:t>THIS ORDINARY SHARE PURCHASE WARRANT (the “</w:t>
      </w:r>
      <w:r>
        <w:rPr>
          <w:rFonts w:ascii="Times New Roman" w:cs="Times New Roman" w:eastAsia="Times New Roman" w:hAnsi="Times New Roman"/>
          <w:sz w:val="12"/>
          <w:szCs w:val="12"/>
          <w:u w:val="single" w:color="auto"/>
          <w:color w:val="auto"/>
        </w:rPr>
        <w:t>Warrant</w:t>
      </w:r>
      <w:r>
        <w:rPr>
          <w:rFonts w:ascii="Times New Roman" w:cs="Times New Roman" w:eastAsia="Times New Roman" w:hAnsi="Times New Roman"/>
          <w:sz w:val="12"/>
          <w:szCs w:val="12"/>
          <w:color w:val="auto"/>
        </w:rPr>
        <w:t>”) certifies that, for value received, _____________ or its assigns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is entitled, upon the terms and subject to</w:t>
      </w:r>
    </w:p>
    <w:p>
      <w:pPr>
        <w:spacing w:after="0" w:line="17" w:lineRule="exact"/>
        <w:rPr>
          <w:sz w:val="20"/>
          <w:szCs w:val="20"/>
          <w:color w:val="auto"/>
        </w:rPr>
      </w:pPr>
    </w:p>
    <w:p>
      <w:pPr>
        <w:ind w:left="10" w:right="80"/>
        <w:spacing w:after="0" w:line="212" w:lineRule="auto"/>
        <w:rPr>
          <w:sz w:val="20"/>
          <w:szCs w:val="20"/>
          <w:color w:val="auto"/>
        </w:rPr>
      </w:pPr>
      <w:r>
        <w:rPr>
          <w:rFonts w:ascii="Times New Roman" w:cs="Times New Roman" w:eastAsia="Times New Roman" w:hAnsi="Times New Roman"/>
          <w:sz w:val="12"/>
          <w:szCs w:val="12"/>
          <w:color w:val="auto"/>
        </w:rPr>
        <w:t>the limitations on exercise and the conditions hereinafter set forth, at any time on or after the date hereof (the “</w:t>
      </w:r>
      <w:r>
        <w:rPr>
          <w:rFonts w:ascii="Times New Roman" w:cs="Times New Roman" w:eastAsia="Times New Roman" w:hAnsi="Times New Roman"/>
          <w:sz w:val="12"/>
          <w:szCs w:val="12"/>
          <w:u w:val="single" w:color="auto"/>
          <w:color w:val="auto"/>
        </w:rPr>
        <w:t>Initial Exercise Date</w:t>
      </w:r>
      <w:r>
        <w:rPr>
          <w:rFonts w:ascii="Times New Roman" w:cs="Times New Roman" w:eastAsia="Times New Roman" w:hAnsi="Times New Roman"/>
          <w:sz w:val="12"/>
          <w:szCs w:val="12"/>
          <w:color w:val="auto"/>
        </w:rPr>
        <w:t xml:space="preserve">”) and on or prior to 5:00 p.m. (New York City time) on </w:t>
      </w: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12"/>
          <w:szCs w:val="12"/>
          <w:color w:val="auto"/>
        </w:rPr>
        <w:t>he earlier of (i) thirty (30) days after the VWAP is at or above $______ for five consecutive Trading Days and (ii) ______</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but not thereafter, to subscribe for and purchase from Rezolve AI Limited, a limited company</w:t>
      </w: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2"/>
          <w:szCs w:val="12"/>
          <w:color w:val="auto"/>
        </w:rPr>
        <w:t>registered under the laws of England and Wales with registration number 14573691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up to ______ Ordinary Shares (as subject to adjustment hereunder, the “</w:t>
      </w:r>
      <w:r>
        <w:rPr>
          <w:rFonts w:ascii="Times New Roman" w:cs="Times New Roman" w:eastAsia="Times New Roman" w:hAnsi="Times New Roman"/>
          <w:sz w:val="12"/>
          <w:szCs w:val="12"/>
          <w:u w:val="single" w:color="auto"/>
          <w:color w:val="auto"/>
        </w:rPr>
        <w:t>Warrant Shares</w:t>
      </w:r>
      <w:r>
        <w:rPr>
          <w:rFonts w:ascii="Times New Roman" w:cs="Times New Roman" w:eastAsia="Times New Roman" w:hAnsi="Times New Roman"/>
          <w:sz w:val="12"/>
          <w:szCs w:val="12"/>
          <w:color w:val="auto"/>
        </w:rPr>
        <w:t>”), provided that, if there is no</w:t>
      </w:r>
    </w:p>
    <w:p>
      <w:pPr>
        <w:spacing w:after="0" w:line="5" w:lineRule="exact"/>
        <w:rPr>
          <w:sz w:val="20"/>
          <w:szCs w:val="20"/>
          <w:color w:val="auto"/>
        </w:rPr>
      </w:pPr>
    </w:p>
    <w:p>
      <w:pPr>
        <w:ind w:left="10" w:right="60"/>
        <w:spacing w:after="0" w:line="252" w:lineRule="auto"/>
        <w:rPr>
          <w:sz w:val="20"/>
          <w:szCs w:val="20"/>
          <w:color w:val="auto"/>
        </w:rPr>
      </w:pPr>
      <w:r>
        <w:rPr>
          <w:rFonts w:ascii="Times New Roman" w:cs="Times New Roman" w:eastAsia="Times New Roman" w:hAnsi="Times New Roman"/>
          <w:sz w:val="12"/>
          <w:szCs w:val="12"/>
          <w:color w:val="auto"/>
        </w:rPr>
        <w:t>effective registration statement registering, or the prospectus contained therein is not available for, the issuance of the Warrant Shares to the Holder (“</w:t>
      </w:r>
      <w:r>
        <w:rPr>
          <w:rFonts w:ascii="Times New Roman" w:cs="Times New Roman" w:eastAsia="Times New Roman" w:hAnsi="Times New Roman"/>
          <w:sz w:val="12"/>
          <w:szCs w:val="12"/>
          <w:u w:val="single" w:color="auto"/>
          <w:color w:val="auto"/>
        </w:rPr>
        <w:t>Registration Statement Unavailability</w:t>
      </w:r>
      <w:r>
        <w:rPr>
          <w:rFonts w:ascii="Times New Roman" w:cs="Times New Roman" w:eastAsia="Times New Roman" w:hAnsi="Times New Roman"/>
          <w:sz w:val="12"/>
          <w:szCs w:val="12"/>
          <w:color w:val="auto"/>
        </w:rPr>
        <w:t>”) at any time during the term of this Warrant (the aggregate number of days on which the Registration Statement Unavailability occurs, the “</w:t>
      </w:r>
      <w:r>
        <w:rPr>
          <w:rFonts w:ascii="Times New Roman" w:cs="Times New Roman" w:eastAsia="Times New Roman" w:hAnsi="Times New Roman"/>
          <w:sz w:val="12"/>
          <w:szCs w:val="12"/>
          <w:u w:val="single" w:color="auto"/>
          <w:color w:val="auto"/>
        </w:rPr>
        <w:t>Applicable Days</w:t>
      </w:r>
      <w:r>
        <w:rPr>
          <w:rFonts w:ascii="Times New Roman" w:cs="Times New Roman" w:eastAsia="Times New Roman" w:hAnsi="Times New Roman"/>
          <w:sz w:val="12"/>
          <w:szCs w:val="12"/>
          <w:color w:val="auto"/>
        </w:rPr>
        <w:t>”), the new Termination Date of this Warrant shall be the Termination Date as of the Initial Exercise Date hereof plus the number of Applicable Days. The purchase price of one Ordinary Share under this Warrant shall be equal to the Exercise Price, as defined in Section 2(b).</w:t>
      </w:r>
    </w:p>
    <w:p>
      <w:pPr>
        <w:spacing w:after="0" w:line="101"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Definitions</w:t>
      </w:r>
      <w:r>
        <w:rPr>
          <w:rFonts w:ascii="Times New Roman" w:cs="Times New Roman" w:eastAsia="Times New Roman" w:hAnsi="Times New Roman"/>
          <w:sz w:val="12"/>
          <w:szCs w:val="12"/>
          <w:color w:val="auto"/>
        </w:rPr>
        <w:t>. In addition to the terms defined elsewhere in this Warrant, the following terms have the meanings indicated in this Section 1:</w:t>
      </w:r>
    </w:p>
    <w:p>
      <w:pPr>
        <w:spacing w:after="0" w:line="125" w:lineRule="exact"/>
        <w:rPr>
          <w:sz w:val="20"/>
          <w:szCs w:val="20"/>
          <w:color w:val="auto"/>
        </w:rPr>
      </w:pPr>
    </w:p>
    <w:p>
      <w:pPr>
        <w:ind w:left="710" w:right="12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86" w:lineRule="exact"/>
        <w:rPr>
          <w:sz w:val="20"/>
          <w:szCs w:val="20"/>
          <w:color w:val="auto"/>
        </w:rPr>
      </w:pPr>
    </w:p>
    <w:p>
      <w:pPr>
        <w:jc w:val="both"/>
        <w:ind w:left="710" w:right="100" w:firstLine="758"/>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Bid Price</w:t>
      </w:r>
      <w:r>
        <w:rPr>
          <w:rFonts w:ascii="Times New Roman" w:cs="Times New Roman" w:eastAsia="Times New Roman" w:hAnsi="Times New Roman"/>
          <w:sz w:val="12"/>
          <w:szCs w:val="12"/>
          <w:color w:val="auto"/>
        </w:rPr>
        <w:t xml:space="preserve"> ”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949325" cy="400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949325" cy="40005"/>
                    </a:xfrm>
                    <a:prstGeom prst="rect">
                      <a:avLst/>
                    </a:prstGeom>
                    <a:noFill/>
                  </pic:spPr>
                </pic:pic>
              </a:graphicData>
            </a:graphic>
          </wp:anchor>
        </w:drawing>
      </w:r>
    </w:p>
    <w:p>
      <w:pPr>
        <w:spacing w:after="0" w:line="176" w:lineRule="exact"/>
        <w:rPr>
          <w:sz w:val="20"/>
          <w:szCs w:val="20"/>
          <w:color w:val="auto"/>
        </w:rPr>
      </w:pPr>
    </w:p>
    <w:p>
      <w:pPr>
        <w:ind w:left="30" w:right="3800" w:hanging="30"/>
        <w:spacing w:after="0" w:line="206" w:lineRule="auto"/>
        <w:tabs>
          <w:tab w:leader="none" w:pos="69"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Insert the date that is the five (5) year anniversary of the Initial Exercise Date, provided that, if such date is not a Trading Day, insert the immediately following Trading Day.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407670</wp:posOffset>
            </wp:positionV>
            <wp:extent cx="6778625" cy="349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30"/>
          </w:cols>
          <w:pgMar w:left="630" w:top="1288" w:right="640" w:bottom="1440" w:gutter="0" w:footer="0" w:header="0"/>
        </w:sectPr>
      </w:pPr>
    </w:p>
    <w:bookmarkStart w:id="292" w:name="page293"/>
    <w:bookmarkEnd w:id="292"/>
    <w:p>
      <w:pPr>
        <w:ind w:left="680" w:right="180"/>
        <w:spacing w:after="0" w:line="262" w:lineRule="auto"/>
        <w:rPr>
          <w:sz w:val="20"/>
          <w:szCs w:val="20"/>
          <w:color w:val="auto"/>
        </w:rPr>
      </w:pPr>
      <w:r>
        <w:rPr>
          <w:rFonts w:ascii="Times New Roman" w:cs="Times New Roman" w:eastAsia="Times New Roman" w:hAnsi="Times New Roman"/>
          <w:sz w:val="12"/>
          <w:szCs w:val="12"/>
          <w:color w:val="auto"/>
        </w:rPr>
        <w:t>agency succeeding to its functions of reporting prices), the most recent bid price per share of the Ordinary Shares so reported, or (d) in all other cases, the fair market value of an Ordinary Share as determined by an independent appraiser selected in good faith by the Holders of a majority in interest of the Warrants then outstanding and reasonably acceptable to the Company, the fees and expenses of which shall be paid by the Company.</w:t>
      </w:r>
    </w:p>
    <w:p>
      <w:pPr>
        <w:spacing w:after="0" w:line="9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means the board of directors of the Company.</w:t>
      </w:r>
    </w:p>
    <w:p>
      <w:pPr>
        <w:spacing w:after="0" w:line="125" w:lineRule="exact"/>
        <w:rPr>
          <w:sz w:val="20"/>
          <w:szCs w:val="20"/>
          <w:color w:val="auto"/>
        </w:rPr>
      </w:pPr>
    </w:p>
    <w:p>
      <w:pPr>
        <w:ind w:left="680" w:firstLine="758"/>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means the United States Securities and Exchange Commission.</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and the rules and regulations promulgated thereunder.</w:t>
      </w:r>
    </w:p>
    <w:p>
      <w:pPr>
        <w:spacing w:after="0" w:line="14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Shares</w:t>
      </w:r>
      <w:r>
        <w:rPr>
          <w:rFonts w:ascii="Times New Roman" w:cs="Times New Roman" w:eastAsia="Times New Roman" w:hAnsi="Times New Roman"/>
          <w:sz w:val="12"/>
          <w:szCs w:val="12"/>
          <w:color w:val="auto"/>
        </w:rPr>
        <w:t>” means the ordinary shares of the Company, par value £0.0001 per share, and any other class of securities into which such securities may hereafter be reclassified or</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changed.</w:t>
      </w:r>
    </w:p>
    <w:p>
      <w:pPr>
        <w:spacing w:after="0" w:line="113" w:lineRule="exact"/>
        <w:rPr>
          <w:sz w:val="20"/>
          <w:szCs w:val="20"/>
          <w:color w:val="auto"/>
        </w:rPr>
      </w:pPr>
    </w:p>
    <w:p>
      <w:pPr>
        <w:ind w:left="680" w:right="320" w:firstLine="758"/>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Share Equivalents</w:t>
      </w:r>
      <w:r>
        <w:rPr>
          <w:rFonts w:ascii="Times New Roman" w:cs="Times New Roman" w:eastAsia="Times New Roman" w:hAnsi="Times New Roman"/>
          <w:sz w:val="12"/>
          <w:szCs w:val="12"/>
          <w:color w:val="auto"/>
        </w:rPr>
        <w:t xml:space="preserve">” means any securities of the Company or the Subsidiaries which would entitle the holder thereof to acquire at any time </w:t>
      </w:r>
      <w:r>
        <w:rPr>
          <w:rFonts w:ascii="Times New Roman" w:cs="Times New Roman" w:eastAsia="Times New Roman" w:hAnsi="Times New Roman"/>
          <w:sz w:val="12"/>
          <w:szCs w:val="12"/>
          <w:u w:val="single" w:color="auto"/>
          <w:color w:val="auto"/>
        </w:rPr>
        <w:t>Ordinary</w:t>
      </w:r>
      <w:r>
        <w:rPr>
          <w:rFonts w:ascii="Times New Roman" w:cs="Times New Roman" w:eastAsia="Times New Roman" w:hAnsi="Times New Roman"/>
          <w:sz w:val="12"/>
          <w:szCs w:val="12"/>
          <w:color w:val="auto"/>
        </w:rPr>
        <w:t xml:space="preserve"> Shares, including, without limitation, any debt, preferred stock, right, option, warrant or other instrument that is at any time convertible into or exercisable or exchangeable for, or otherwise entitles the holder thereof to receive, Ordinary Shares.</w:t>
      </w:r>
    </w:p>
    <w:p>
      <w:pPr>
        <w:spacing w:after="0" w:line="118" w:lineRule="exact"/>
        <w:rPr>
          <w:sz w:val="20"/>
          <w:szCs w:val="20"/>
          <w:color w:val="auto"/>
        </w:rPr>
      </w:pPr>
    </w:p>
    <w:p>
      <w:pPr>
        <w:ind w:left="680" w:right="120" w:firstLine="78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 Agreement</w:t>
      </w:r>
      <w:r>
        <w:rPr>
          <w:rFonts w:ascii="Times New Roman" w:cs="Times New Roman" w:eastAsia="Times New Roman" w:hAnsi="Times New Roman"/>
          <w:sz w:val="12"/>
          <w:szCs w:val="12"/>
          <w:color w:val="auto"/>
        </w:rPr>
        <w:t>” means the securities purchase agreement, dated as of ____, 2024, by and between the Company and each of the purchasers signatory thereto</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means the Company’s registration statement on Form F-1 (File No. 333-283622).</w:t>
      </w:r>
    </w:p>
    <w:p>
      <w:pPr>
        <w:spacing w:after="0" w:line="1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 and the rules and regulations promulgated thereunder.</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means any subsidiary of the Company and shall, where applicable, also include any direct or indirect subsidiary of the Company formed or acquired after the date hereof.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40"/>
          </w:cols>
          <w:pgMar w:left="660" w:top="1283" w:right="600" w:bottom="1440" w:gutter="0" w:footer="0" w:header="0"/>
        </w:sectPr>
      </w:pPr>
    </w:p>
    <w:bookmarkStart w:id="293" w:name="page294"/>
    <w:bookmarkEnd w:id="293"/>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Day</w:t>
      </w:r>
      <w:r>
        <w:rPr>
          <w:rFonts w:ascii="Times New Roman" w:cs="Times New Roman" w:eastAsia="Times New Roman" w:hAnsi="Times New Roman"/>
          <w:sz w:val="12"/>
          <w:szCs w:val="12"/>
          <w:color w:val="auto"/>
        </w:rPr>
        <w:t>” means a day on which the Ordinary Shares are traded on a Trading Market.</w:t>
      </w:r>
    </w:p>
    <w:p>
      <w:pPr>
        <w:spacing w:after="0" w:line="125" w:lineRule="exact"/>
        <w:rPr>
          <w:sz w:val="20"/>
          <w:szCs w:val="20"/>
          <w:color w:val="auto"/>
        </w:rPr>
      </w:pPr>
    </w:p>
    <w:p>
      <w:pPr>
        <w:ind w:left="680" w:right="160" w:firstLine="758"/>
        <w:spacing w:after="0" w:line="27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Trading Market</w:t>
      </w:r>
      <w:r>
        <w:rPr>
          <w:rFonts w:ascii="Times New Roman" w:cs="Times New Roman" w:eastAsia="Times New Roman" w:hAnsi="Times New Roman"/>
          <w:sz w:val="12"/>
          <w:szCs w:val="12"/>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Agent</w:t>
      </w:r>
      <w:r>
        <w:rPr>
          <w:rFonts w:ascii="Times New Roman" w:cs="Times New Roman" w:eastAsia="Times New Roman" w:hAnsi="Times New Roman"/>
          <w:sz w:val="12"/>
          <w:szCs w:val="12"/>
          <w:color w:val="auto"/>
        </w:rPr>
        <w:t>” means ________, the current transfer agent of the Company, with a mailing address of __________ and an email address of _________, and any successor transfer agent of</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the Company.</w:t>
      </w:r>
    </w:p>
    <w:p>
      <w:pPr>
        <w:spacing w:after="0" w:line="113" w:lineRule="exact"/>
        <w:rPr>
          <w:sz w:val="20"/>
          <w:szCs w:val="20"/>
          <w:color w:val="auto"/>
        </w:rPr>
      </w:pPr>
    </w:p>
    <w:p>
      <w:pPr>
        <w:ind w:left="680" w:firstLine="758"/>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the OTCQB Venture Market (“OTCQB”) or the OTCQX Best Market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(“Pink Market”) operated by the OTC Markets, Inc. (or a similar organization or agency succeeding to its functions of reporting prices), the most recent bid price per share of the Ordinary Shares so reported, or (d) in all other cases, the fair market value of an Ordinary Share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0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 means this Warrant and other Ordinary Share purchase warrants issued by the Company pursuant to the Registration Statement.</w:t>
      </w:r>
    </w:p>
    <w:p>
      <w:pPr>
        <w:spacing w:after="0" w:line="1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Exercise</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firstLine="758"/>
        <w:spacing w:after="0" w:line="253" w:lineRule="auto"/>
        <w:rPr>
          <w:sz w:val="20"/>
          <w:szCs w:val="20"/>
          <w:color w:val="auto"/>
        </w:rPr>
      </w:pPr>
      <w:r>
        <w:rPr>
          <w:rFonts w:ascii="Times New Roman" w:cs="Times New Roman" w:eastAsia="Times New Roman" w:hAnsi="Times New Roman"/>
          <w:sz w:val="12"/>
          <w:szCs w:val="12"/>
          <w:u w:val="single" w:color="auto"/>
          <w:color w:val="auto"/>
        </w:rPr>
        <w:t>a)Exercise of Warrant</w:t>
      </w:r>
      <w:r>
        <w:rPr>
          <w:rFonts w:ascii="Times New Roman" w:cs="Times New Roman" w:eastAsia="Times New Roman" w:hAnsi="Times New Roman"/>
          <w:sz w:val="12"/>
          <w:szCs w:val="12"/>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2"/>
          <w:szCs w:val="12"/>
          <w:u w:val="single" w:color="auto"/>
          <w:color w:val="auto"/>
        </w:rPr>
        <w:t>Notice of Exercise</w:t>
      </w:r>
      <w:r>
        <w:rPr>
          <w:rFonts w:ascii="Times New Roman" w:cs="Times New Roman" w:eastAsia="Times New Roman" w:hAnsi="Times New Roman"/>
          <w:sz w:val="12"/>
          <w:szCs w:val="12"/>
          <w:color w:val="auto"/>
        </w:rPr>
        <w:t>”).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No ink-original Notice of Exercise shall be required, nor shall any medallion guarantee (or other type of guarantee or notarization) of any Notice of Exercise be required. Notwithstanding anything herein to the contrary, the Holder shall not be required to</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294" w:name="page295"/>
    <w:bookmarkEnd w:id="294"/>
    <w:p>
      <w:pPr>
        <w:ind w:left="680" w:right="20"/>
        <w:spacing w:after="0" w:line="252" w:lineRule="auto"/>
        <w:rPr>
          <w:sz w:val="20"/>
          <w:szCs w:val="20"/>
          <w:color w:val="auto"/>
        </w:rPr>
      </w:pPr>
      <w:r>
        <w:rPr>
          <w:rFonts w:ascii="Times New Roman" w:cs="Times New Roman" w:eastAsia="Times New Roman" w:hAnsi="Times New Roman"/>
          <w:sz w:val="12"/>
          <w:szCs w:val="12"/>
          <w:color w:val="auto"/>
        </w:rPr>
        <w:t xml:space="preserve">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 w:cs="Times New Roman" w:eastAsia="Times New Roman" w:hAnsi="Times New Roman"/>
          <w:sz w:val="12"/>
          <w:szCs w:val="12"/>
          <w:b w:val="1"/>
          <w:bCs w:val="1"/>
          <w:color w:val="auto"/>
        </w:rPr>
        <w:t>The Holder and any assignee, by acceptance of this Warrant, acknowledge and agree that, by reason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of the provisions of this paragraph, following the purchase of a portion of the Warrant Shares hereunder, the number of Warrant Shares available for purchase hereunder at any given time may be less than the amount stated on the face hereof.</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b)Exercise Price</w:t>
      </w:r>
      <w:r>
        <w:rPr>
          <w:rFonts w:ascii="Times New Roman" w:cs="Times New Roman" w:eastAsia="Times New Roman" w:hAnsi="Times New Roman"/>
          <w:sz w:val="12"/>
          <w:szCs w:val="12"/>
          <w:color w:val="auto"/>
        </w:rPr>
        <w:t xml:space="preserve">. The exercise price per Ordinary Share under this Warrant shall be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_____, subject to adjustment hereunder (the “</w:t>
      </w:r>
      <w:r>
        <w:rPr>
          <w:rFonts w:ascii="Times New Roman" w:cs="Times New Roman" w:eastAsia="Times New Roman" w:hAnsi="Times New Roman"/>
          <w:sz w:val="12"/>
          <w:szCs w:val="12"/>
          <w:u w:val="single" w:color="auto"/>
          <w:color w:val="auto"/>
        </w:rPr>
        <w:t>Exercise Price</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RESERVED</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d)Mechanics of Exercise</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2280" w:firstLine="900"/>
        <w:spacing w:after="0" w:line="250" w:lineRule="auto"/>
        <w:rPr>
          <w:sz w:val="20"/>
          <w:szCs w:val="20"/>
          <w:color w:val="auto"/>
        </w:rPr>
      </w:pPr>
      <w:r>
        <w:rPr>
          <w:rFonts w:ascii="Times New Roman" w:cs="Times New Roman" w:eastAsia="Times New Roman" w:hAnsi="Times New Roman"/>
          <w:sz w:val="12"/>
          <w:szCs w:val="12"/>
          <w:u w:val="single" w:color="auto"/>
          <w:color w:val="auto"/>
        </w:rPr>
        <w:t>i.Delivery of Warrant Shares Upon Exercise</w:t>
      </w:r>
      <w:r>
        <w:rPr>
          <w:rFonts w:ascii="Times New Roman" w:cs="Times New Roman" w:eastAsia="Times New Roman" w:hAnsi="Times New Roman"/>
          <w:sz w:val="12"/>
          <w:szCs w:val="12"/>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2"/>
          <w:szCs w:val="12"/>
          <w:u w:val="single" w:color="auto"/>
          <w:color w:val="auto"/>
        </w:rPr>
        <w:t>DWAC</w:t>
      </w:r>
      <w:r>
        <w:rPr>
          <w:rFonts w:ascii="Times New Roman" w:cs="Times New Roman" w:eastAsia="Times New Roman" w:hAnsi="Times New Roman"/>
          <w:sz w:val="12"/>
          <w:szCs w:val="12"/>
          <w:color w:val="auto"/>
        </w:rPr>
        <w:t>”) if the Company is then a participant in such system and there is an effective registration statement permitting the issuance of the Warrant Shares to or resale of the Warrant Shares by the Holder,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2"/>
          <w:szCs w:val="12"/>
          <w:u w:val="single" w:color="auto"/>
          <w:color w:val="auto"/>
        </w:rPr>
        <w:t>Warrant Share Delivery Date</w:t>
      </w:r>
      <w:r>
        <w:rPr>
          <w:rFonts w:ascii="Times New Roman" w:cs="Times New Roman" w:eastAsia="Times New Roman" w:hAnsi="Times New Roman"/>
          <w:sz w:val="12"/>
          <w:szCs w:val="12"/>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is received within the earlier of (i) one (1) Trading Day and</w:t>
      </w:r>
    </w:p>
    <w:p>
      <w:pPr>
        <w:spacing w:after="0" w:line="1" w:lineRule="exact"/>
        <w:rPr>
          <w:sz w:val="20"/>
          <w:szCs w:val="20"/>
          <w:color w:val="auto"/>
        </w:rPr>
      </w:pPr>
    </w:p>
    <w:p>
      <w:pPr>
        <w:ind w:left="2280" w:right="80"/>
        <w:spacing w:after="0" w:line="256" w:lineRule="auto"/>
        <w:tabs>
          <w:tab w:leader="none" w:pos="2456"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Trading Days comprising the Standard Settlement Period following delivery of the Notice of Exercise. The Company agrees to maintain a transfer agent that is a participant in the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295" w:name="page296"/>
    <w:bookmarkEnd w:id="295"/>
    <w:p>
      <w:pPr>
        <w:jc w:val="both"/>
        <w:ind w:left="2280" w:right="100"/>
        <w:spacing w:after="0" w:line="276" w:lineRule="auto"/>
        <w:rPr>
          <w:sz w:val="20"/>
          <w:szCs w:val="20"/>
          <w:color w:val="auto"/>
        </w:rPr>
      </w:pPr>
      <w:r>
        <w:rPr>
          <w:rFonts w:ascii="Times New Roman" w:cs="Times New Roman" w:eastAsia="Times New Roman" w:hAnsi="Times New Roman"/>
          <w:sz w:val="11"/>
          <w:szCs w:val="11"/>
          <w:color w:val="auto"/>
        </w:rPr>
        <w:t>FAST program so long as this Warrant remains outstanding and exercisable. As used herein, “</w:t>
      </w:r>
      <w:r>
        <w:rPr>
          <w:rFonts w:ascii="Times New Roman" w:cs="Times New Roman" w:eastAsia="Times New Roman" w:hAnsi="Times New Roman"/>
          <w:sz w:val="11"/>
          <w:szCs w:val="11"/>
          <w:u w:val="single" w:color="auto"/>
          <w:color w:val="auto"/>
        </w:rPr>
        <w:t>Standard Settlement Period</w:t>
      </w:r>
      <w:r>
        <w:rPr>
          <w:rFonts w:ascii="Times New Roman" w:cs="Times New Roman" w:eastAsia="Times New Roman" w:hAnsi="Times New Roman"/>
          <w:sz w:val="11"/>
          <w:szCs w:val="11"/>
          <w:color w:val="auto"/>
        </w:rPr>
        <w:t xml:space="preserve"> ”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w:t>
      </w:r>
    </w:p>
    <w:p>
      <w:pPr>
        <w:jc w:val="both"/>
        <w:ind w:left="2280" w:right="100"/>
        <w:spacing w:after="0" w:line="256" w:lineRule="auto"/>
        <w:rPr>
          <w:sz w:val="20"/>
          <w:szCs w:val="20"/>
          <w:color w:val="auto"/>
        </w:rPr>
      </w:pPr>
      <w:r>
        <w:rPr>
          <w:rFonts w:ascii="Times New Roman" w:cs="Times New Roman" w:eastAsia="Times New Roman" w:hAnsi="Times New Roman"/>
          <w:sz w:val="12"/>
          <w:szCs w:val="12"/>
          <w:color w:val="auto"/>
        </w:rPr>
        <w:t>(New York City time) on the Initial Exercise Date and the Initial Exercise Date shall be the Warrant Share Delivery Date for purposes hereunder, provided that payment of the aggregate Exercise Price is received by such Warrant Share Delivery Date.</w:t>
      </w:r>
    </w:p>
    <w:p>
      <w:pPr>
        <w:spacing w:after="0" w:line="99" w:lineRule="exact"/>
        <w:rPr>
          <w:sz w:val="20"/>
          <w:szCs w:val="20"/>
          <w:color w:val="auto"/>
        </w:rPr>
      </w:pPr>
    </w:p>
    <w:p>
      <w:pPr>
        <w:ind w:left="2280" w:right="160" w:firstLine="795"/>
        <w:spacing w:after="0" w:line="262" w:lineRule="auto"/>
        <w:rPr>
          <w:sz w:val="20"/>
          <w:szCs w:val="20"/>
          <w:color w:val="auto"/>
        </w:rPr>
      </w:pPr>
      <w:r>
        <w:rPr>
          <w:rFonts w:ascii="Times New Roman" w:cs="Times New Roman" w:eastAsia="Times New Roman" w:hAnsi="Times New Roman"/>
          <w:sz w:val="12"/>
          <w:szCs w:val="12"/>
          <w:u w:val="single" w:color="auto"/>
          <w:color w:val="auto"/>
        </w:rPr>
        <w:t>ii.Delivery of New Warrants Upon Exercise</w:t>
      </w:r>
      <w:r>
        <w:rPr>
          <w:rFonts w:ascii="Times New Roman" w:cs="Times New Roman" w:eastAsia="Times New Roman" w:hAnsi="Times New Roman"/>
          <w:sz w:val="12"/>
          <w:szCs w:val="12"/>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96" w:lineRule="exact"/>
        <w:rPr>
          <w:sz w:val="20"/>
          <w:szCs w:val="20"/>
          <w:color w:val="auto"/>
        </w:rPr>
      </w:pPr>
    </w:p>
    <w:p>
      <w:pPr>
        <w:ind w:left="2280" w:right="220" w:firstLine="900"/>
        <w:spacing w:after="0" w:line="277" w:lineRule="auto"/>
        <w:rPr>
          <w:sz w:val="20"/>
          <w:szCs w:val="20"/>
          <w:color w:val="auto"/>
        </w:rPr>
      </w:pPr>
      <w:r>
        <w:rPr>
          <w:rFonts w:ascii="Times New Roman" w:cs="Times New Roman" w:eastAsia="Times New Roman" w:hAnsi="Times New Roman"/>
          <w:sz w:val="12"/>
          <w:szCs w:val="12"/>
          <w:u w:val="single" w:color="auto"/>
          <w:color w:val="auto"/>
        </w:rPr>
        <w:t>iii.Rescission Rights</w:t>
      </w:r>
      <w:r>
        <w:rPr>
          <w:rFonts w:ascii="Times New Roman" w:cs="Times New Roman" w:eastAsia="Times New Roman" w:hAnsi="Times New Roman"/>
          <w:sz w:val="12"/>
          <w:szCs w:val="12"/>
          <w:color w:val="auto"/>
        </w:rPr>
        <w:t>. If the Company fails to cause the Transfer Agent to transmit to the Holder the Warrant Shares pursuant to Section 2(d)(i) by the Warrant Share Delivery Date, then the Holder will have the right to rescind such exercise.</w:t>
      </w:r>
    </w:p>
    <w:p>
      <w:pPr>
        <w:spacing w:after="0" w:line="86" w:lineRule="exact"/>
        <w:rPr>
          <w:sz w:val="20"/>
          <w:szCs w:val="20"/>
          <w:color w:val="auto"/>
        </w:rPr>
      </w:pPr>
    </w:p>
    <w:p>
      <w:pPr>
        <w:ind w:left="2280" w:firstLine="900"/>
        <w:spacing w:after="0" w:line="252" w:lineRule="auto"/>
        <w:rPr>
          <w:sz w:val="20"/>
          <w:szCs w:val="20"/>
          <w:color w:val="auto"/>
        </w:rPr>
      </w:pPr>
      <w:r>
        <w:rPr>
          <w:rFonts w:ascii="Times New Roman" w:cs="Times New Roman" w:eastAsia="Times New Roman" w:hAnsi="Times New Roman"/>
          <w:sz w:val="12"/>
          <w:szCs w:val="12"/>
          <w:u w:val="single" w:color="auto"/>
          <w:color w:val="auto"/>
        </w:rPr>
        <w:t>iv.Compensation for Buy-In on Failure to Timely Deliver Warrant Shares Upon Exercise</w:t>
      </w:r>
      <w:r>
        <w:rPr>
          <w:rFonts w:ascii="Times New Roman" w:cs="Times New Roman" w:eastAsia="Times New Roman" w:hAnsi="Times New Roman"/>
          <w:sz w:val="12"/>
          <w:szCs w:val="12"/>
          <w:color w:val="auto"/>
        </w:rPr>
        <w:t xml:space="preserve"> . In addition to any other rights available to the Holder, if the Company fails to cause the Transfer Agent to transmit to the Holder the Warrant Shares in accordance with the provisions of Section 2(d)(i) above pursuant to an exercise on or before the Warrant Share Delivery Date, then the Company shall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spacing w:after="0" w:line="10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2"/>
          <w:szCs w:val="12"/>
          <w:u w:val="single" w:color="auto"/>
          <w:color w:val="auto"/>
        </w:rPr>
        <w:t>v.No Fractional Shares or Scrip</w:t>
      </w:r>
      <w:r>
        <w:rPr>
          <w:rFonts w:ascii="Times New Roman" w:cs="Times New Roman" w:eastAsia="Times New Roman" w:hAnsi="Times New Roman"/>
          <w:sz w:val="12"/>
          <w:szCs w:val="12"/>
          <w:color w:val="auto"/>
        </w:rPr>
        <w:t>. No fractional shares or scrip representing fractional shares shall be issued upon the exercise of this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296" w:name="page297"/>
    <w:bookmarkEnd w:id="296"/>
    <w:p>
      <w:pPr>
        <w:ind w:left="2280" w:right="220"/>
        <w:spacing w:after="0" w:line="277" w:lineRule="auto"/>
        <w:rPr>
          <w:sz w:val="20"/>
          <w:szCs w:val="20"/>
          <w:color w:val="auto"/>
        </w:rPr>
      </w:pPr>
      <w:r>
        <w:rPr>
          <w:rFonts w:ascii="Times New Roman" w:cs="Times New Roman" w:eastAsia="Times New Roman" w:hAnsi="Times New Roman"/>
          <w:sz w:val="12"/>
          <w:szCs w:val="12"/>
          <w:color w:val="auto"/>
        </w:rPr>
        <w:t>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86" w:lineRule="exact"/>
        <w:rPr>
          <w:sz w:val="20"/>
          <w:szCs w:val="20"/>
          <w:color w:val="auto"/>
        </w:rPr>
      </w:pPr>
    </w:p>
    <w:p>
      <w:pPr>
        <w:ind w:left="2280" w:firstLine="900"/>
        <w:spacing w:after="0" w:line="252" w:lineRule="auto"/>
        <w:rPr>
          <w:sz w:val="20"/>
          <w:szCs w:val="20"/>
          <w:color w:val="auto"/>
        </w:rPr>
      </w:pPr>
      <w:r>
        <w:rPr>
          <w:rFonts w:ascii="Times New Roman" w:cs="Times New Roman" w:eastAsia="Times New Roman" w:hAnsi="Times New Roman"/>
          <w:sz w:val="12"/>
          <w:szCs w:val="12"/>
          <w:u w:val="single" w:color="auto"/>
          <w:color w:val="auto"/>
        </w:rPr>
        <w:t>vi.Charges, Taxes and Expenses</w:t>
      </w:r>
      <w:r>
        <w:rPr>
          <w:rFonts w:ascii="Times New Roman" w:cs="Times New Roman" w:eastAsia="Times New Roman" w:hAnsi="Times New Roman"/>
          <w:sz w:val="12"/>
          <w:szCs w:val="12"/>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03" w:lineRule="exact"/>
        <w:rPr>
          <w:sz w:val="20"/>
          <w:szCs w:val="20"/>
          <w:color w:val="auto"/>
        </w:rPr>
      </w:pPr>
    </w:p>
    <w:p>
      <w:pPr>
        <w:ind w:left="2280" w:right="220" w:firstLine="900"/>
        <w:spacing w:after="0" w:line="277" w:lineRule="auto"/>
        <w:rPr>
          <w:sz w:val="20"/>
          <w:szCs w:val="20"/>
          <w:color w:val="auto"/>
        </w:rPr>
      </w:pPr>
      <w:r>
        <w:rPr>
          <w:rFonts w:ascii="Times New Roman" w:cs="Times New Roman" w:eastAsia="Times New Roman" w:hAnsi="Times New Roman"/>
          <w:sz w:val="12"/>
          <w:szCs w:val="12"/>
          <w:u w:val="single" w:color="auto"/>
          <w:color w:val="auto"/>
        </w:rPr>
        <w:t>vii.Closing of Books</w:t>
      </w:r>
      <w:r>
        <w:rPr>
          <w:rFonts w:ascii="Times New Roman" w:cs="Times New Roman" w:eastAsia="Times New Roman" w:hAnsi="Times New Roman"/>
          <w:sz w:val="12"/>
          <w:szCs w:val="12"/>
          <w:color w:val="auto"/>
        </w:rPr>
        <w:t>. The Company will not close its stockholder books or records in any manner which prevents the timely exercise of this Warrant, pursuant to the terms hereof.</w:t>
      </w:r>
    </w:p>
    <w:p>
      <w:pPr>
        <w:spacing w:after="0" w:line="86" w:lineRule="exact"/>
        <w:rPr>
          <w:sz w:val="20"/>
          <w:szCs w:val="20"/>
          <w:color w:val="auto"/>
        </w:rPr>
      </w:pPr>
    </w:p>
    <w:p>
      <w:pPr>
        <w:ind w:left="1380" w:right="20" w:firstLine="825"/>
        <w:spacing w:after="0" w:line="251" w:lineRule="auto"/>
        <w:tabs>
          <w:tab w:leader="none" w:pos="231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Holder’s Exercise Limitations</w:t>
      </w:r>
      <w:r>
        <w:rPr>
          <w:rFonts w:ascii="Times New Roman" w:cs="Times New Roman" w:eastAsia="Times New Roman" w:hAnsi="Times New Roman"/>
          <w:sz w:val="12"/>
          <w:szCs w:val="12"/>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2"/>
          <w:szCs w:val="12"/>
          <w:u w:val="single" w:color="auto"/>
          <w:color w:val="auto"/>
        </w:rPr>
        <w:t>Attribution Parties</w:t>
      </w:r>
      <w:r>
        <w:rPr>
          <w:rFonts w:ascii="Times New Roman" w:cs="Times New Roman" w:eastAsia="Times New Roman" w:hAnsi="Times New Roman"/>
          <w:sz w:val="12"/>
          <w:szCs w:val="12"/>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297" w:name="page298"/>
    <w:bookmarkEnd w:id="297"/>
    <w:p>
      <w:pPr>
        <w:ind w:left="1380"/>
        <w:spacing w:after="0" w:line="245" w:lineRule="auto"/>
        <w:rPr>
          <w:sz w:val="20"/>
          <w:szCs w:val="20"/>
          <w:color w:val="auto"/>
        </w:rPr>
      </w:pPr>
      <w:r>
        <w:rPr>
          <w:rFonts w:ascii="Times New Roman" w:cs="Times New Roman" w:eastAsia="Times New Roman" w:hAnsi="Times New Roman"/>
          <w:sz w:val="12"/>
          <w:szCs w:val="12"/>
          <w:color w:val="auto"/>
        </w:rPr>
        <w:t>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shall be 4.99% (or, upon election by a Holder prior to the issuance of any Warrants, 9.99%)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2"/>
          <w:szCs w:val="12"/>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298" w:name="page299"/>
    <w:bookmarkEnd w:id="298"/>
    <w:p>
      <w:pPr>
        <w:ind w:left="680"/>
        <w:spacing w:after="0"/>
        <w:rPr>
          <w:sz w:val="20"/>
          <w:szCs w:val="20"/>
          <w:color w:val="auto"/>
        </w:rPr>
      </w:pP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Certain Adjustments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firstLine="758"/>
        <w:spacing w:after="0" w:line="281" w:lineRule="auto"/>
        <w:rPr>
          <w:sz w:val="20"/>
          <w:szCs w:val="20"/>
          <w:color w:val="auto"/>
        </w:rPr>
      </w:pPr>
      <w:r>
        <w:rPr>
          <w:rFonts w:ascii="Times New Roman" w:cs="Times New Roman" w:eastAsia="Times New Roman" w:hAnsi="Times New Roman"/>
          <w:sz w:val="11"/>
          <w:szCs w:val="11"/>
          <w:u w:val="single" w:color="auto"/>
          <w:color w:val="auto"/>
        </w:rPr>
        <w:t>a)Stock Dividends and Splits</w:t>
      </w:r>
      <w:r>
        <w:rPr>
          <w:rFonts w:ascii="Times New Roman" w:cs="Times New Roman" w:eastAsia="Times New Roman" w:hAnsi="Times New Roman"/>
          <w:sz w:val="11"/>
          <w:szCs w:val="11"/>
          <w:color w:val="auto"/>
        </w:rPr>
        <w:t>. If the Company, at any time while this Warrant is outstanding: (i) pays a stock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w:t>
      </w:r>
    </w:p>
    <w:p>
      <w:pPr>
        <w:spacing w:after="0" w:line="1" w:lineRule="exact"/>
        <w:rPr>
          <w:sz w:val="20"/>
          <w:szCs w:val="20"/>
          <w:color w:val="auto"/>
        </w:rPr>
      </w:pPr>
    </w:p>
    <w:p>
      <w:pPr>
        <w:ind w:left="680" w:right="20" w:hanging="5"/>
        <w:spacing w:after="0" w:line="144" w:lineRule="exact"/>
        <w:tabs>
          <w:tab w:leader="none" w:pos="85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subdivides outstanding Ordinary Shares into a larger number of shares, (iii) combines (including by way of reverse stock split) outstanding Ordinary Shares into a smaller number of shares, or (iv) issues by reclassification of Ordinary Shares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classification.</w:t>
      </w:r>
    </w:p>
    <w:p>
      <w:pPr>
        <w:spacing w:after="0" w:line="10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b)Subsequent Rights Offerings</w:t>
      </w:r>
      <w:r>
        <w:rPr>
          <w:rFonts w:ascii="Times New Roman" w:cs="Times New Roman" w:eastAsia="Times New Roman" w:hAnsi="Times New Roman"/>
          <w:sz w:val="12"/>
          <w:szCs w:val="12"/>
          <w:color w:val="auto"/>
        </w:rPr>
        <w:t>. In addition to any adjustments pursuant to Section 3(a) above, if at any time the Company grants, issues or sells any Ordinary Share Equivalents or rights to</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purchase stock, warrants, securities or other property pro rata to the record holders of any class of Ordinary Shares (the “</w:t>
      </w:r>
      <w:r>
        <w:rPr>
          <w:rFonts w:ascii="Times New Roman" w:cs="Times New Roman" w:eastAsia="Times New Roman" w:hAnsi="Times New Roman"/>
          <w:sz w:val="12"/>
          <w:szCs w:val="12"/>
          <w:u w:val="single" w:color="auto"/>
          <w:color w:val="auto"/>
        </w:rPr>
        <w:t>Purchase Rights</w:t>
      </w:r>
      <w:r>
        <w:rPr>
          <w:rFonts w:ascii="Times New Roman" w:cs="Times New Roman" w:eastAsia="Times New Roman" w:hAnsi="Times New Roman"/>
          <w:sz w:val="12"/>
          <w:szCs w:val="12"/>
          <w:color w:val="auto"/>
        </w:rPr>
        <w:t>”), then the Holder will be entitled to acquire, upon the terms</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applicable to such Purchase Rights, the aggregate Purchase Rights which the Holder could have acquired if the Holder had held the number of Ordinary Shares acquirable upon complete exercise of this</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Warrant (without regard to any limitations on exercise hereof, including without limitation, the Beneficial Ownership Limitation) immediately before the date on which a record is taken for the grant,</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issuance or sale of such Purchase Rights, or, if no such record is taken, the date as of which the record holders of Ordinary Shares are to be determined for the grant, issue or sale of such Purchase Rights</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Purchase Right would result in the Holder exceeding the Beneficial Ownership Limitation, then the Holder shall not be</w:t>
      </w:r>
    </w:p>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entitled to participate in such Purchase Right to such extent (or beneficial ownership of such Ordinary Shares as a result of such Purchase Right to such extent) and such Purchase Right to such extent shall be</w:t>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held in abeyance for the Holder until such time, if ever, as its right thereto would not result in the Holder exceeding the Beneficial Ownership Limitation).</w:t>
      </w:r>
    </w:p>
    <w:p>
      <w:pPr>
        <w:spacing w:after="0" w:line="113" w:lineRule="exact"/>
        <w:rPr>
          <w:sz w:val="20"/>
          <w:szCs w:val="20"/>
          <w:color w:val="auto"/>
        </w:rPr>
      </w:pPr>
    </w:p>
    <w:p>
      <w:pPr>
        <w:ind w:left="680" w:right="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c)Pro Rata Distributions</w:t>
      </w:r>
      <w:r>
        <w:rPr>
          <w:rFonts w:ascii="Times New Roman" w:cs="Times New Roman" w:eastAsia="Times New Roman" w:hAnsi="Times New Roman"/>
          <w:sz w:val="12"/>
          <w:szCs w:val="12"/>
          <w:color w:val="auto"/>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2"/>
          <w:szCs w:val="12"/>
          <w:u w:val="single" w:color="auto"/>
          <w:color w:val="auto"/>
        </w:rPr>
        <w:t>Distribution</w:t>
      </w:r>
      <w:r>
        <w:rPr>
          <w:rFonts w:ascii="Times New Roman" w:cs="Times New Roman" w:eastAsia="Times New Roman" w:hAnsi="Times New Roman"/>
          <w:sz w:val="12"/>
          <w:szCs w:val="12"/>
          <w:color w:val="auto"/>
        </w:rPr>
        <w:t>”), at any time after the issuance of this Warrant, then, in each such case, the Holder shall be entitled to participate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299" w:name="page300"/>
    <w:bookmarkEnd w:id="299"/>
    <w:p>
      <w:pPr>
        <w:ind w:left="680" w:right="40"/>
        <w:spacing w:after="0" w:line="253" w:lineRule="auto"/>
        <w:rPr>
          <w:sz w:val="20"/>
          <w:szCs w:val="20"/>
          <w:color w:val="auto"/>
        </w:rPr>
      </w:pPr>
      <w:r>
        <w:rPr>
          <w:rFonts w:ascii="Times New Roman" w:cs="Times New Roman" w:eastAsia="Times New Roman" w:hAnsi="Times New Roman"/>
          <w:sz w:val="12"/>
          <w:szCs w:val="12"/>
          <w:color w:val="auto"/>
        </w:rPr>
        <w:t>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02" w:lineRule="exact"/>
        <w:rPr>
          <w:sz w:val="20"/>
          <w:szCs w:val="20"/>
          <w:color w:val="auto"/>
        </w:rPr>
      </w:pPr>
    </w:p>
    <w:p>
      <w:pPr>
        <w:ind w:left="680" w:firstLine="758"/>
        <w:spacing w:after="0" w:line="249" w:lineRule="auto"/>
        <w:rPr>
          <w:sz w:val="20"/>
          <w:szCs w:val="20"/>
          <w:color w:val="auto"/>
        </w:rPr>
      </w:pPr>
      <w:r>
        <w:rPr>
          <w:rFonts w:ascii="Times New Roman" w:cs="Times New Roman" w:eastAsia="Times New Roman" w:hAnsi="Times New Roman"/>
          <w:sz w:val="12"/>
          <w:szCs w:val="12"/>
          <w:u w:val="single" w:color="auto"/>
          <w:color w:val="auto"/>
        </w:rPr>
        <w:t>d)Fundamental Transaction</w:t>
      </w:r>
      <w:r>
        <w:rPr>
          <w:rFonts w:ascii="Times New Roman" w:cs="Times New Roman" w:eastAsia="Times New Roman" w:hAnsi="Times New Roman"/>
          <w:sz w:val="12"/>
          <w:szCs w:val="12"/>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greater than 50% of the outstanding Ordinary Shares or greater than 50%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 -off, merger or scheme of arrangement) with another Person or group of Persons whereby such other Person or group acquires greater than 50% of the outstanding Ordinary Shares or greater than 50% of the voting power of the common equity of the Company (each a “</w:t>
      </w:r>
      <w:r>
        <w:rPr>
          <w:rFonts w:ascii="Times New Roman" w:cs="Times New Roman" w:eastAsia="Times New Roman" w:hAnsi="Times New Roman"/>
          <w:sz w:val="12"/>
          <w:szCs w:val="12"/>
          <w:u w:val="single" w:color="auto"/>
          <w:color w:val="auto"/>
        </w:rPr>
        <w:t>Fundamental Transaction</w:t>
      </w:r>
      <w:r>
        <w:rPr>
          <w:rFonts w:ascii="Times New Roman" w:cs="Times New Roman" w:eastAsia="Times New Roman" w:hAnsi="Times New Roman"/>
          <w:sz w:val="12"/>
          <w:szCs w:val="12"/>
          <w:color w:val="auto"/>
        </w:rPr>
        <w:t xml:space="preserve">”),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 </w:t>
      </w:r>
      <w:r>
        <w:rPr>
          <w:rFonts w:ascii="Times New Roman" w:cs="Times New Roman" w:eastAsia="Times New Roman" w:hAnsi="Times New Roman"/>
          <w:sz w:val="12"/>
          <w:szCs w:val="12"/>
          <w:u w:val="single" w:color="auto"/>
          <w:color w:val="auto"/>
        </w:rPr>
        <w:t>Alternate Consideration</w:t>
      </w:r>
      <w:r>
        <w:rPr>
          <w:rFonts w:ascii="Times New Roman" w:cs="Times New Roman" w:eastAsia="Times New Roman" w:hAnsi="Times New Roman"/>
          <w:sz w:val="12"/>
          <w:szCs w:val="12"/>
          <w:color w:val="auto"/>
        </w:rPr>
        <w:t>”) receivable as a result of such Fundamental Transaction by a holder of the number of Ordinary Shares for which this Warrant is exercisable immediately prior to such Fundamental Transaction (without regard to any limitation in Section 2(e) on the exercise of this Warrant) .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00" w:name="page301"/>
    <w:bookmarkEnd w:id="300"/>
    <w:p>
      <w:pPr>
        <w:ind w:left="680"/>
        <w:spacing w:after="0" w:line="249" w:lineRule="auto"/>
        <w:rPr>
          <w:sz w:val="20"/>
          <w:szCs w:val="20"/>
          <w:color w:val="auto"/>
        </w:rPr>
      </w:pPr>
      <w:r>
        <w:rPr>
          <w:rFonts w:ascii="Times New Roman" w:cs="Times New Roman" w:eastAsia="Times New Roman" w:hAnsi="Times New Roman"/>
          <w:sz w:val="12"/>
          <w:szCs w:val="12"/>
          <w:color w:val="auto"/>
        </w:rPr>
        <w:t xml:space="preserve">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to the extent it can lawfully do so,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if holders of Ordinary Shares of the Company are not offered or paid any consideration in such Fundamental Transaction, such holders of Ordinary Shares will be deemed to have received ordinary shares of the Successor Entity (which Successor Entity may be the Company following such Fundamental Transaction) in such Fundamental Transaction. “</w:t>
      </w:r>
      <w:r>
        <w:rPr>
          <w:rFonts w:ascii="Times New Roman" w:cs="Times New Roman" w:eastAsia="Times New Roman" w:hAnsi="Times New Roman"/>
          <w:sz w:val="12"/>
          <w:szCs w:val="12"/>
          <w:u w:val="single" w:color="auto"/>
          <w:color w:val="auto"/>
        </w:rPr>
        <w:t>Black Scholes Value</w:t>
      </w:r>
      <w:r>
        <w:rPr>
          <w:rFonts w:ascii="Times New Roman" w:cs="Times New Roman" w:eastAsia="Times New Roman" w:hAnsi="Times New Roman"/>
          <w:sz w:val="12"/>
          <w:szCs w:val="12"/>
          <w:color w:val="auto"/>
        </w:rPr>
        <w:t>” means the value of this Warrant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2"/>
          <w:szCs w:val="12"/>
          <w:u w:val="single" w:color="auto"/>
          <w:color w:val="auto"/>
        </w:rPr>
        <w:t>Successor Entity</w:t>
      </w:r>
      <w:r>
        <w:rPr>
          <w:rFonts w:ascii="Times New Roman" w:cs="Times New Roman" w:eastAsia="Times New Roman" w:hAnsi="Times New Roman"/>
          <w:sz w:val="12"/>
          <w:szCs w:val="12"/>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01" w:name="page302"/>
    <w:bookmarkEnd w:id="301"/>
    <w:p>
      <w:pPr>
        <w:ind w:left="680"/>
        <w:spacing w:after="0" w:line="250" w:lineRule="auto"/>
        <w:rPr>
          <w:sz w:val="20"/>
          <w:szCs w:val="20"/>
          <w:color w:val="auto"/>
        </w:rPr>
      </w:pPr>
      <w:r>
        <w:rPr>
          <w:rFonts w:ascii="Times New Roman" w:cs="Times New Roman" w:eastAsia="Times New Roman" w:hAnsi="Times New Roman"/>
          <w:sz w:val="12"/>
          <w:szCs w:val="12"/>
          <w:color w:val="auto"/>
        </w:rPr>
        <w:t>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Ordinary Shares for the issuance of Warrant Shares and/or (ii) whether a Fundamental Transaction occurs prior to the Initial Exercise Date.</w:t>
      </w:r>
    </w:p>
    <w:p>
      <w:pPr>
        <w:spacing w:after="0" w:line="106" w:lineRule="exact"/>
        <w:rPr>
          <w:sz w:val="20"/>
          <w:szCs w:val="20"/>
          <w:color w:val="auto"/>
        </w:rPr>
      </w:pPr>
    </w:p>
    <w:p>
      <w:pPr>
        <w:ind w:left="680" w:right="340" w:firstLine="758"/>
        <w:spacing w:after="0" w:line="277" w:lineRule="auto"/>
        <w:rPr>
          <w:sz w:val="20"/>
          <w:szCs w:val="20"/>
          <w:color w:val="auto"/>
        </w:rPr>
      </w:pPr>
      <w:r>
        <w:rPr>
          <w:rFonts w:ascii="Times New Roman" w:cs="Times New Roman" w:eastAsia="Times New Roman" w:hAnsi="Times New Roman"/>
          <w:sz w:val="12"/>
          <w:szCs w:val="12"/>
          <w:u w:val="single" w:color="auto"/>
          <w:color w:val="auto"/>
        </w:rPr>
        <w:t>e)Calculations</w:t>
      </w:r>
      <w:r>
        <w:rPr>
          <w:rFonts w:ascii="Times New Roman" w:cs="Times New Roman" w:eastAsia="Times New Roman" w:hAnsi="Times New Roman"/>
          <w:sz w:val="12"/>
          <w:szCs w:val="12"/>
          <w:color w:val="auto"/>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spacing w:after="0" w:line="8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f)Notice to Holder</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2100" w:right="20" w:firstLine="885"/>
        <w:spacing w:after="0" w:line="262" w:lineRule="auto"/>
        <w:rPr>
          <w:sz w:val="20"/>
          <w:szCs w:val="20"/>
          <w:color w:val="auto"/>
        </w:rPr>
      </w:pPr>
      <w:r>
        <w:rPr>
          <w:rFonts w:ascii="Times New Roman" w:cs="Times New Roman" w:eastAsia="Times New Roman" w:hAnsi="Times New Roman"/>
          <w:sz w:val="12"/>
          <w:szCs w:val="12"/>
          <w:u w:val="single" w:color="auto"/>
          <w:color w:val="auto"/>
        </w:rPr>
        <w:t>i.Adjustment to Exercise Price</w:t>
      </w:r>
      <w:r>
        <w:rPr>
          <w:rFonts w:ascii="Times New Roman" w:cs="Times New Roman" w:eastAsia="Times New Roman" w:hAnsi="Times New Roman"/>
          <w:sz w:val="12"/>
          <w:szCs w:val="12"/>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96" w:lineRule="exact"/>
        <w:rPr>
          <w:sz w:val="20"/>
          <w:szCs w:val="20"/>
          <w:color w:val="auto"/>
        </w:rPr>
      </w:pPr>
    </w:p>
    <w:p>
      <w:pPr>
        <w:jc w:val="both"/>
        <w:ind w:left="2100" w:right="140" w:firstLine="885"/>
        <w:spacing w:after="0" w:line="262" w:lineRule="auto"/>
        <w:rPr>
          <w:sz w:val="20"/>
          <w:szCs w:val="20"/>
          <w:color w:val="auto"/>
        </w:rPr>
      </w:pPr>
      <w:r>
        <w:rPr>
          <w:rFonts w:ascii="Times New Roman" w:cs="Times New Roman" w:eastAsia="Times New Roman" w:hAnsi="Times New Roman"/>
          <w:sz w:val="12"/>
          <w:szCs w:val="12"/>
          <w:u w:val="single" w:color="auto"/>
          <w:color w:val="auto"/>
        </w:rPr>
        <w:t>ii.Notice to Allow Exercise by Holder</w:t>
      </w:r>
      <w:r>
        <w:rPr>
          <w:rFonts w:ascii="Times New Roman" w:cs="Times New Roman" w:eastAsia="Times New Roman" w:hAnsi="Times New Roman"/>
          <w:sz w:val="12"/>
          <w:szCs w:val="12"/>
          <w:color w:val="auto"/>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shares of capital stock of any class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02" w:name="page303"/>
    <w:bookmarkEnd w:id="302"/>
    <w:p>
      <w:pPr>
        <w:ind w:left="2100" w:right="20"/>
        <w:spacing w:after="0" w:line="250" w:lineRule="auto"/>
        <w:rPr>
          <w:sz w:val="20"/>
          <w:szCs w:val="20"/>
          <w:color w:val="auto"/>
        </w:rPr>
      </w:pPr>
      <w:r>
        <w:rPr>
          <w:rFonts w:ascii="Times New Roman" w:cs="Times New Roman" w:eastAsia="Times New Roman" w:hAnsi="Times New Roman"/>
          <w:sz w:val="12"/>
          <w:szCs w:val="12"/>
          <w:color w:val="auto"/>
        </w:rPr>
        <w:t>or of any rights, (D) the approval of any stockholders of the Company shall be required in connection with any reclassification of the Ordinary Shares, any consolidation or merger to which the Company (or any of its Subsidiaries) is a party, any sale or transfer of all or substantially all of its assets,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 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04" w:lineRule="exact"/>
        <w:rPr>
          <w:sz w:val="20"/>
          <w:szCs w:val="20"/>
          <w:color w:val="auto"/>
        </w:rPr>
      </w:pPr>
    </w:p>
    <w:p>
      <w:pPr>
        <w:ind w:left="680" w:right="300" w:firstLine="758"/>
        <w:spacing w:after="0" w:line="277" w:lineRule="auto"/>
        <w:rPr>
          <w:sz w:val="20"/>
          <w:szCs w:val="20"/>
          <w:color w:val="auto"/>
        </w:rPr>
      </w:pPr>
      <w:r>
        <w:rPr>
          <w:rFonts w:ascii="Times New Roman" w:cs="Times New Roman" w:eastAsia="Times New Roman" w:hAnsi="Times New Roman"/>
          <w:sz w:val="12"/>
          <w:szCs w:val="12"/>
          <w:u w:val="single" w:color="auto"/>
          <w:color w:val="auto"/>
        </w:rPr>
        <w:t>g)Voluntary Adjustment By Company</w:t>
      </w:r>
      <w:r>
        <w:rPr>
          <w:rFonts w:ascii="Times New Roman" w:cs="Times New Roman" w:eastAsia="Times New Roman" w:hAnsi="Times New Roman"/>
          <w:sz w:val="12"/>
          <w:szCs w:val="12"/>
          <w:color w:val="auto"/>
        </w:rPr>
        <w:t>. Subject to the rules and regulations of the Trading Market, the Company may at any time during the term of this Warrant reduce the then current Exercise Price to any amount (not being less than the nominal value of an Ordinary Share) and for any period of time deemed appropriate by the board of directors of the Company.</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Transfer of Warrant</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a)Transferability</w:t>
      </w:r>
      <w:r>
        <w:rPr>
          <w:rFonts w:ascii="Times New Roman" w:cs="Times New Roman" w:eastAsia="Times New Roman" w:hAnsi="Times New Roman"/>
          <w:sz w:val="12"/>
          <w:szCs w:val="12"/>
          <w:color w:val="auto"/>
        </w:rPr>
        <w:t xml:space="preserve"> .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03" w:name="page304"/>
    <w:bookmarkEnd w:id="303"/>
    <w:p>
      <w:pPr>
        <w:ind w:left="680" w:right="40"/>
        <w:spacing w:after="0" w:line="255" w:lineRule="auto"/>
        <w:rPr>
          <w:sz w:val="20"/>
          <w:szCs w:val="20"/>
          <w:color w:val="auto"/>
        </w:rPr>
      </w:pPr>
      <w:r>
        <w:rPr>
          <w:rFonts w:ascii="Times New Roman" w:cs="Times New Roman" w:eastAsia="Times New Roman" w:hAnsi="Times New Roman"/>
          <w:sz w:val="12"/>
          <w:szCs w:val="12"/>
          <w:color w:val="auto"/>
        </w:rPr>
        <w:t>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99" w:lineRule="exact"/>
        <w:rPr>
          <w:sz w:val="20"/>
          <w:szCs w:val="20"/>
          <w:color w:val="auto"/>
        </w:rPr>
      </w:pPr>
    </w:p>
    <w:p>
      <w:pPr>
        <w:ind w:left="6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b)New Warrants</w:t>
      </w:r>
      <w:r>
        <w:rPr>
          <w:rFonts w:ascii="Times New Roman" w:cs="Times New Roman" w:eastAsia="Times New Roman" w:hAnsi="Times New Roman"/>
          <w:sz w:val="12"/>
          <w:szCs w:val="12"/>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99" w:lineRule="exact"/>
        <w:rPr>
          <w:sz w:val="20"/>
          <w:szCs w:val="20"/>
          <w:color w:val="auto"/>
        </w:rPr>
      </w:pPr>
    </w:p>
    <w:p>
      <w:pPr>
        <w:ind w:left="680" w:right="12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c)Warrant Register</w:t>
      </w:r>
      <w:r>
        <w:rPr>
          <w:rFonts w:ascii="Times New Roman" w:cs="Times New Roman" w:eastAsia="Times New Roman" w:hAnsi="Times New Roman"/>
          <w:sz w:val="12"/>
          <w:szCs w:val="12"/>
          <w:color w:val="auto"/>
        </w:rPr>
        <w:t>. The Company shall register this Warrant, upon records to be maintained by the Company for that purpose (the “</w:t>
      </w:r>
      <w:r>
        <w:rPr>
          <w:rFonts w:ascii="Times New Roman" w:cs="Times New Roman" w:eastAsia="Times New Roman" w:hAnsi="Times New Roman"/>
          <w:sz w:val="12"/>
          <w:szCs w:val="12"/>
          <w:u w:val="single" w:color="auto"/>
          <w:color w:val="auto"/>
        </w:rPr>
        <w:t>Warrant Register</w:t>
      </w:r>
      <w:r>
        <w:rPr>
          <w:rFonts w:ascii="Times New Roman" w:cs="Times New Roman" w:eastAsia="Times New Roman" w:hAnsi="Times New Roman"/>
          <w:sz w:val="12"/>
          <w:szCs w:val="12"/>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9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680" w:right="120" w:firstLine="758"/>
        <w:spacing w:after="0" w:line="277" w:lineRule="auto"/>
        <w:rPr>
          <w:sz w:val="20"/>
          <w:szCs w:val="20"/>
          <w:color w:val="auto"/>
        </w:rPr>
      </w:pPr>
      <w:r>
        <w:rPr>
          <w:rFonts w:ascii="Times New Roman" w:cs="Times New Roman" w:eastAsia="Times New Roman" w:hAnsi="Times New Roman"/>
          <w:sz w:val="12"/>
          <w:szCs w:val="12"/>
          <w:u w:val="single" w:color="auto"/>
          <w:color w:val="auto"/>
        </w:rPr>
        <w:t>a)No Rights as Stockholder Until Exercise; No Settlement in Cash</w:t>
      </w:r>
      <w:r>
        <w:rPr>
          <w:rFonts w:ascii="Times New Roman" w:cs="Times New Roman" w:eastAsia="Times New Roman" w:hAnsi="Times New Roman"/>
          <w:sz w:val="12"/>
          <w:szCs w:val="12"/>
          <w:color w:val="auto"/>
        </w:rPr>
        <w:t>. This Warrant does not entitle the Holder to any voting rights, dividends or other rights as a stockholder of the Company prior to the exercise hereof as set forth in Section 2(d)(i), except as expressly set forth in Section 3. In no event shall the Company be required to net cash settle an exercise of this Warrant.</w:t>
      </w:r>
    </w:p>
    <w:p>
      <w:pPr>
        <w:spacing w:after="0" w:line="86" w:lineRule="exact"/>
        <w:rPr>
          <w:sz w:val="20"/>
          <w:szCs w:val="20"/>
          <w:color w:val="auto"/>
        </w:rPr>
      </w:pPr>
    </w:p>
    <w:p>
      <w:pPr>
        <w:ind w:left="680" w:right="30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b)Loss, Theft, Destruction or Mutilation of Warrant</w:t>
      </w:r>
      <w:r>
        <w:rPr>
          <w:rFonts w:ascii="Times New Roman" w:cs="Times New Roman" w:eastAsia="Times New Roman" w:hAnsi="Times New Roman"/>
          <w:sz w:val="12"/>
          <w:szCs w:val="12"/>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9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c)Saturdays, Sundays, Holidays, etc</w:t>
      </w:r>
      <w:r>
        <w:rPr>
          <w:rFonts w:ascii="Times New Roman" w:cs="Times New Roman" w:eastAsia="Times New Roman" w:hAnsi="Times New Roman"/>
          <w:sz w:val="12"/>
          <w:szCs w:val="12"/>
          <w:color w:val="auto"/>
        </w:rPr>
        <w:t>. If the last or appointed day for the taking of any action or the expiration of any right required or granted herein shall not be a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580"/>
          </w:cols>
          <w:pgMar w:left="660" w:top="1283" w:right="660" w:bottom="1440" w:gutter="0" w:footer="0" w:header="0"/>
        </w:sectPr>
      </w:pPr>
    </w:p>
    <w:bookmarkStart w:id="304" w:name="page305"/>
    <w:bookmarkEnd w:id="304"/>
    <w:p>
      <w:pPr>
        <w:ind w:left="680"/>
        <w:spacing w:after="0"/>
        <w:rPr>
          <w:sz w:val="20"/>
          <w:szCs w:val="20"/>
          <w:color w:val="auto"/>
        </w:rPr>
      </w:pPr>
      <w:r>
        <w:rPr>
          <w:rFonts w:ascii="Times New Roman" w:cs="Times New Roman" w:eastAsia="Times New Roman" w:hAnsi="Times New Roman"/>
          <w:sz w:val="12"/>
          <w:szCs w:val="12"/>
          <w:color w:val="auto"/>
        </w:rPr>
        <w:t>Day, then such action may be taken or such right may be exercised on the next succeeding Business Day.</w:t>
      </w:r>
    </w:p>
    <w:p>
      <w:pPr>
        <w:spacing w:after="0" w:line="1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d)Authorized Shares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1380" w:firstLine="1635"/>
        <w:spacing w:after="0" w:line="252" w:lineRule="auto"/>
        <w:rPr>
          <w:sz w:val="20"/>
          <w:szCs w:val="20"/>
          <w:color w:val="auto"/>
        </w:rPr>
      </w:pPr>
      <w:r>
        <w:rPr>
          <w:rFonts w:ascii="Times New Roman" w:cs="Times New Roman" w:eastAsia="Times New Roman" w:hAnsi="Times New Roman"/>
          <w:sz w:val="12"/>
          <w:szCs w:val="12"/>
          <w:color w:val="auto"/>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01" w:lineRule="exact"/>
        <w:rPr>
          <w:sz w:val="20"/>
          <w:szCs w:val="20"/>
          <w:color w:val="auto"/>
        </w:rPr>
      </w:pPr>
    </w:p>
    <w:p>
      <w:pPr>
        <w:ind w:left="1380" w:right="40" w:firstLine="817"/>
        <w:spacing w:after="0" w:line="279" w:lineRule="auto"/>
        <w:rPr>
          <w:sz w:val="20"/>
          <w:szCs w:val="20"/>
          <w:color w:val="auto"/>
        </w:rPr>
      </w:pPr>
      <w:r>
        <w:rPr>
          <w:rFonts w:ascii="Times New Roman" w:cs="Times New Roman" w:eastAsia="Times New Roman" w:hAnsi="Times New Roman"/>
          <w:sz w:val="11"/>
          <w:szCs w:val="11"/>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8" w:lineRule="exact"/>
        <w:rPr>
          <w:sz w:val="20"/>
          <w:szCs w:val="20"/>
          <w:color w:val="auto"/>
        </w:rPr>
      </w:pPr>
    </w:p>
    <w:p>
      <w:pPr>
        <w:ind w:left="1380" w:right="200" w:firstLine="817"/>
        <w:spacing w:after="0" w:line="277" w:lineRule="auto"/>
        <w:rPr>
          <w:sz w:val="20"/>
          <w:szCs w:val="20"/>
          <w:color w:val="auto"/>
        </w:rPr>
      </w:pPr>
      <w:r>
        <w:rPr>
          <w:rFonts w:ascii="Times New Roman" w:cs="Times New Roman" w:eastAsia="Times New Roman" w:hAnsi="Times New Roman"/>
          <w:sz w:val="12"/>
          <w:szCs w:val="12"/>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60" w:top="1283" w:right="640" w:bottom="1440" w:gutter="0" w:footer="0" w:header="0"/>
        </w:sectPr>
      </w:pPr>
    </w:p>
    <w:bookmarkStart w:id="305" w:name="page306"/>
    <w:bookmarkEnd w:id="305"/>
    <w:p>
      <w:pPr>
        <w:ind w:left="680" w:right="20" w:firstLine="758"/>
        <w:spacing w:after="0" w:line="250" w:lineRule="auto"/>
        <w:rPr>
          <w:sz w:val="20"/>
          <w:szCs w:val="20"/>
          <w:color w:val="auto"/>
        </w:rPr>
      </w:pPr>
      <w:r>
        <w:rPr>
          <w:rFonts w:ascii="Times New Roman" w:cs="Times New Roman" w:eastAsia="Times New Roman" w:hAnsi="Times New Roman"/>
          <w:sz w:val="12"/>
          <w:szCs w:val="12"/>
          <w:u w:val="single" w:color="auto"/>
          <w:color w:val="auto"/>
        </w:rPr>
        <w:t>e)Governing Law</w:t>
      </w:r>
      <w:r>
        <w:rPr>
          <w:rFonts w:ascii="Times New Roman" w:cs="Times New Roman" w:eastAsia="Times New Roman" w:hAnsi="Times New Roman"/>
          <w:sz w:val="12"/>
          <w:szCs w:val="12"/>
          <w:color w:val="auto"/>
        </w:rPr>
        <w:t xml:space="preserve"> . All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by accepting this Warrant, the Holder each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The Company and, by accepting this Warrant, the Holder each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The Company and, by accepting this Warrant, the Holder each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the Company or the Holder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0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f)Restrictions</w:t>
      </w:r>
      <w:r>
        <w:rPr>
          <w:rFonts w:ascii="Times New Roman" w:cs="Times New Roman" w:eastAsia="Times New Roman" w:hAnsi="Times New Roman"/>
          <w:sz w:val="12"/>
          <w:szCs w:val="12"/>
          <w:color w:val="auto"/>
        </w:rPr>
        <w:t>. The Holder acknowledges that the Warrant Shares acquired upon the exercise of this Warrant, if not registered, will have restrictions upon resale imposed by state and federal</w:t>
      </w:r>
    </w:p>
    <w:p>
      <w:pPr>
        <w:spacing w:after="0" w:line="1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securities laws.</w:t>
      </w:r>
    </w:p>
    <w:p>
      <w:pPr>
        <w:spacing w:after="0" w:line="113" w:lineRule="exact"/>
        <w:rPr>
          <w:sz w:val="20"/>
          <w:szCs w:val="20"/>
          <w:color w:val="auto"/>
        </w:rPr>
      </w:pPr>
    </w:p>
    <w:p>
      <w:pPr>
        <w:ind w:left="680" w:firstLine="758"/>
        <w:spacing w:after="0" w:line="257" w:lineRule="auto"/>
        <w:rPr>
          <w:sz w:val="20"/>
          <w:szCs w:val="20"/>
          <w:color w:val="auto"/>
        </w:rPr>
      </w:pPr>
      <w:r>
        <w:rPr>
          <w:rFonts w:ascii="Times New Roman" w:cs="Times New Roman" w:eastAsia="Times New Roman" w:hAnsi="Times New Roman"/>
          <w:sz w:val="12"/>
          <w:szCs w:val="12"/>
          <w:u w:val="single" w:color="auto"/>
          <w:color w:val="auto"/>
        </w:rPr>
        <w:t>g)Nonwaiver and Expenses</w:t>
      </w:r>
      <w:r>
        <w:rPr>
          <w:rFonts w:ascii="Times New Roman" w:cs="Times New Roman" w:eastAsia="Times New Roman" w:hAnsi="Times New Roman"/>
          <w:sz w:val="12"/>
          <w:szCs w:val="12"/>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99" w:lineRule="exact"/>
        <w:rPr>
          <w:sz w:val="20"/>
          <w:szCs w:val="20"/>
          <w:color w:val="auto"/>
        </w:rPr>
      </w:pPr>
    </w:p>
    <w:p>
      <w:pPr>
        <w:jc w:val="both"/>
        <w:ind w:left="680" w:right="180" w:firstLine="758"/>
        <w:spacing w:after="0" w:line="258" w:lineRule="auto"/>
        <w:rPr>
          <w:sz w:val="20"/>
          <w:szCs w:val="20"/>
          <w:color w:val="auto"/>
        </w:rPr>
      </w:pPr>
      <w:r>
        <w:rPr>
          <w:rFonts w:ascii="Times New Roman" w:cs="Times New Roman" w:eastAsia="Times New Roman" w:hAnsi="Times New Roman"/>
          <w:sz w:val="12"/>
          <w:szCs w:val="12"/>
          <w:u w:val="single" w:color="auto"/>
          <w:color w:val="auto"/>
        </w:rPr>
        <w:t>h)Notices</w:t>
      </w:r>
      <w:r>
        <w:rPr>
          <w:rFonts w:ascii="Times New Roman" w:cs="Times New Roman" w:eastAsia="Times New Roman" w:hAnsi="Times New Roman"/>
          <w:sz w:val="12"/>
          <w:szCs w:val="12"/>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80 New Bond Street, 3</w:t>
      </w:r>
      <w:r>
        <w:rPr>
          <w:rFonts w:ascii="Times New Roman" w:cs="Times New Roman" w:eastAsia="Times New Roman" w:hAnsi="Times New Roman"/>
          <w:sz w:val="8"/>
          <w:szCs w:val="8"/>
          <w:color w:val="auto"/>
        </w:rPr>
        <w:t>rd</w:t>
      </w:r>
      <w:r>
        <w:rPr>
          <w:rFonts w:ascii="Times New Roman" w:cs="Times New Roman" w:eastAsia="Times New Roman" w:hAnsi="Times New Roman"/>
          <w:sz w:val="12"/>
          <w:szCs w:val="12"/>
          <w:color w:val="auto"/>
        </w:rPr>
        <w:t xml:space="preserve"> Floor, London, W1S 1SB, United Kingdom, Attention:</w:t>
      </w:r>
    </w:p>
    <w:p>
      <w:pPr>
        <w:ind w:left="680"/>
        <w:spacing w:after="0"/>
        <w:rPr>
          <w:sz w:val="20"/>
          <w:szCs w:val="20"/>
          <w:color w:val="auto"/>
        </w:rPr>
      </w:pPr>
      <w:r>
        <w:rPr>
          <w:rFonts w:ascii="Times New Roman" w:cs="Times New Roman" w:eastAsia="Times New Roman" w:hAnsi="Times New Roman"/>
          <w:sz w:val="12"/>
          <w:szCs w:val="12"/>
          <w:b w:val="1"/>
          <w:bCs w:val="1"/>
          <w:color w:val="auto"/>
        </w:rPr>
        <w:t>___________</w:t>
      </w:r>
      <w:r>
        <w:rPr>
          <w:rFonts w:ascii="Times New Roman" w:cs="Times New Roman" w:eastAsia="Times New Roman" w:hAnsi="Times New Roman"/>
          <w:sz w:val="12"/>
          <w:szCs w:val="12"/>
          <w:color w:val="auto"/>
        </w:rPr>
        <w:t>, email address: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60" w:top="1283" w:right="620" w:bottom="1440" w:gutter="0" w:footer="0" w:header="0"/>
        </w:sectPr>
      </w:pPr>
    </w:p>
    <w:bookmarkStart w:id="306" w:name="page307"/>
    <w:bookmarkEnd w:id="306"/>
    <w:p>
      <w:pPr>
        <w:ind w:left="680"/>
        <w:spacing w:after="0"/>
        <w:rPr>
          <w:sz w:val="20"/>
          <w:szCs w:val="20"/>
          <w:color w:val="auto"/>
        </w:rPr>
      </w:pPr>
      <w:r>
        <w:rPr>
          <w:rFonts w:ascii="Times New Roman" w:cs="Times New Roman" w:eastAsia="Times New Roman" w:hAnsi="Times New Roman"/>
          <w:sz w:val="12"/>
          <w:szCs w:val="12"/>
          <w:color w:val="auto"/>
        </w:rPr>
        <w:t>___________, or such other email address or address as the Company may specify for such purposes by notice to the Holder. Any and all notices or other communications or deliveries to be provided by the</w:t>
      </w:r>
    </w:p>
    <w:p>
      <w:pPr>
        <w:spacing w:after="0" w:line="17" w:lineRule="exact"/>
        <w:rPr>
          <w:sz w:val="20"/>
          <w:szCs w:val="20"/>
          <w:color w:val="auto"/>
        </w:rPr>
      </w:pPr>
    </w:p>
    <w:p>
      <w:pPr>
        <w:ind w:left="680"/>
        <w:spacing w:after="0" w:line="249" w:lineRule="auto"/>
        <w:rPr>
          <w:sz w:val="20"/>
          <w:szCs w:val="20"/>
          <w:color w:val="auto"/>
        </w:rPr>
      </w:pPr>
      <w:r>
        <w:rPr>
          <w:rFonts w:ascii="Times New Roman" w:cs="Times New Roman" w:eastAsia="Times New Roman" w:hAnsi="Times New Roman"/>
          <w:sz w:val="12"/>
          <w:szCs w:val="12"/>
          <w:color w:val="auto"/>
        </w:rPr>
        <w:t>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03" w:lineRule="exact"/>
        <w:rPr>
          <w:sz w:val="20"/>
          <w:szCs w:val="20"/>
          <w:color w:val="auto"/>
        </w:rPr>
      </w:pPr>
    </w:p>
    <w:p>
      <w:pPr>
        <w:ind w:left="680" w:right="16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i)Limitation of Liability</w:t>
      </w:r>
      <w:r>
        <w:rPr>
          <w:rFonts w:ascii="Times New Roman" w:cs="Times New Roman" w:eastAsia="Times New Roman" w:hAnsi="Times New Roman"/>
          <w:sz w:val="12"/>
          <w:szCs w:val="12"/>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stockholder of the Company, whether such liability is asserted by the Company or by creditors of the Company.</w:t>
      </w:r>
    </w:p>
    <w:p>
      <w:pPr>
        <w:spacing w:after="0" w:line="96" w:lineRule="exact"/>
        <w:rPr>
          <w:sz w:val="20"/>
          <w:szCs w:val="20"/>
          <w:color w:val="auto"/>
        </w:rPr>
      </w:pPr>
    </w:p>
    <w:p>
      <w:pPr>
        <w:ind w:left="680" w:right="4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j)Remedies</w:t>
      </w:r>
      <w:r>
        <w:rPr>
          <w:rFonts w:ascii="Times New Roman" w:cs="Times New Roman" w:eastAsia="Times New Roman" w:hAnsi="Times New Roman"/>
          <w:sz w:val="12"/>
          <w:szCs w:val="12"/>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96" w:lineRule="exact"/>
        <w:rPr>
          <w:sz w:val="20"/>
          <w:szCs w:val="20"/>
          <w:color w:val="auto"/>
        </w:rPr>
      </w:pPr>
    </w:p>
    <w:p>
      <w:pPr>
        <w:jc w:val="both"/>
        <w:ind w:left="680" w:right="10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k)Successors and Assigns</w:t>
      </w:r>
      <w:r>
        <w:rPr>
          <w:rFonts w:ascii="Times New Roman" w:cs="Times New Roman" w:eastAsia="Times New Roman" w:hAnsi="Times New Roman"/>
          <w:sz w:val="12"/>
          <w:szCs w:val="12"/>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9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u w:val="single" w:color="auto"/>
          <w:color w:val="auto"/>
        </w:rPr>
        <w:t>l)Amendment</w:t>
      </w:r>
      <w:r>
        <w:rPr>
          <w:rFonts w:ascii="Times New Roman" w:cs="Times New Roman" w:eastAsia="Times New Roman" w:hAnsi="Times New Roman"/>
          <w:sz w:val="12"/>
          <w:szCs w:val="12"/>
          <w:color w:val="auto"/>
        </w:rPr>
        <w:t>. This Warrant may be modified or amended or the provisions hereof waived with the written consent of the Company and the Holder.</w:t>
      </w:r>
    </w:p>
    <w:p>
      <w:pPr>
        <w:spacing w:after="0" w:line="125" w:lineRule="exact"/>
        <w:rPr>
          <w:sz w:val="20"/>
          <w:szCs w:val="20"/>
          <w:color w:val="auto"/>
        </w:rPr>
      </w:pPr>
    </w:p>
    <w:p>
      <w:pPr>
        <w:ind w:left="680" w:right="40" w:firstLine="758"/>
        <w:spacing w:after="0" w:line="262" w:lineRule="auto"/>
        <w:rPr>
          <w:sz w:val="20"/>
          <w:szCs w:val="20"/>
          <w:color w:val="auto"/>
        </w:rPr>
      </w:pPr>
      <w:r>
        <w:rPr>
          <w:rFonts w:ascii="Times New Roman" w:cs="Times New Roman" w:eastAsia="Times New Roman" w:hAnsi="Times New Roman"/>
          <w:sz w:val="12"/>
          <w:szCs w:val="12"/>
          <w:u w:val="single" w:color="auto"/>
          <w:color w:val="auto"/>
        </w:rPr>
        <w:t>m)Severability</w:t>
      </w:r>
      <w:r>
        <w:rPr>
          <w:rFonts w:ascii="Times New Roman" w:cs="Times New Roman" w:eastAsia="Times New Roman" w:hAnsi="Times New Roman"/>
          <w:sz w:val="12"/>
          <w:szCs w:val="12"/>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60" w:top="1283" w:right="620" w:bottom="1440" w:gutter="0" w:footer="0" w:header="0"/>
        </w:sectPr>
      </w:pPr>
    </w:p>
    <w:bookmarkStart w:id="307" w:name="page308"/>
    <w:bookmarkEnd w:id="307"/>
    <w:p>
      <w:pPr>
        <w:jc w:val="right"/>
        <w:ind w:right="960"/>
        <w:spacing w:after="0"/>
        <w:rPr>
          <w:sz w:val="20"/>
          <w:szCs w:val="20"/>
          <w:color w:val="auto"/>
        </w:rPr>
      </w:pPr>
      <w:r>
        <w:rPr>
          <w:rFonts w:ascii="Times New Roman" w:cs="Times New Roman" w:eastAsia="Times New Roman" w:hAnsi="Times New Roman"/>
          <w:sz w:val="12"/>
          <w:szCs w:val="12"/>
          <w:u w:val="single" w:color="auto"/>
          <w:color w:val="auto"/>
        </w:rPr>
        <w:t>n)Headings</w:t>
      </w:r>
      <w:r>
        <w:rPr>
          <w:rFonts w:ascii="Times New Roman" w:cs="Times New Roman" w:eastAsia="Times New Roman" w:hAnsi="Times New Roman"/>
          <w:sz w:val="12"/>
          <w:szCs w:val="12"/>
          <w:color w:val="auto"/>
        </w:rPr>
        <w:t>. The headings used in this Warrant are for the convenience of reference only and shall not, for any purpose, be deemed a part of this Warrant.</w:t>
      </w:r>
    </w:p>
    <w:p>
      <w:pPr>
        <w:spacing w:after="0" w:line="26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w:t>
      </w:r>
    </w:p>
    <w:p>
      <w:pPr>
        <w:spacing w:after="0" w:line="28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00"/>
          </w:cols>
          <w:pgMar w:left="660" w:top="1283" w:right="1440" w:bottom="1440" w:gutter="0" w:footer="0" w:header="0"/>
        </w:sectPr>
      </w:pPr>
    </w:p>
    <w:bookmarkStart w:id="308" w:name="page309"/>
    <w:bookmarkEnd w:id="308"/>
    <w:p>
      <w:pPr>
        <w:jc w:val="right"/>
        <w:ind w:right="920"/>
        <w:spacing w:after="0"/>
        <w:rPr>
          <w:sz w:val="20"/>
          <w:szCs w:val="20"/>
          <w:color w:val="auto"/>
        </w:rPr>
      </w:pPr>
      <w:r>
        <w:rPr>
          <w:rFonts w:ascii="Times New Roman" w:cs="Times New Roman" w:eastAsia="Times New Roman" w:hAnsi="Times New Roman"/>
          <w:sz w:val="12"/>
          <w:szCs w:val="12"/>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REZOLVE AI LIMITED</w:t>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By:__________________________________________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Name:</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Title: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398780</wp:posOffset>
            </wp:positionV>
            <wp:extent cx="6778625" cy="349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9800"/>
          </w:cols>
          <w:pgMar w:left="660" w:top="1426" w:right="1440"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2"/>
          <w:szCs w:val="12"/>
          <w:b w:val="1"/>
          <w:bCs w:val="1"/>
          <w:color w:val="auto"/>
        </w:rPr>
        <w:t>NOTICE OF EXERCISE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REZOLVE AI LIMITED</w:t>
      </w:r>
    </w:p>
    <w:p>
      <w:pPr>
        <w:spacing w:after="0" w:line="1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1"/>
          <w:szCs w:val="11"/>
          <w:color w:val="auto"/>
        </w:rPr>
        <w:t>(1)The undersigned hereby elects to purchase ________ Warrant Shares of the Company pursuant to the terms of the attached Warrant (only if exercised in full), and tenders herewith payment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exercise price in full, together with all applicable transfer taxes, if any.</w:t>
      </w:r>
    </w:p>
    <w:p>
      <w:pPr>
        <w:spacing w:after="0" w:line="11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(2)Payment shall take the form of lawful money of the United States.</w:t>
      </w:r>
    </w:p>
    <w:p>
      <w:pPr>
        <w:spacing w:after="0" w:line="12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(3)Please issue said Warrant Shares in the name of the undersigned or in such other name as is specified below:</w:t>
      </w:r>
    </w:p>
    <w:p>
      <w:pPr>
        <w:spacing w:after="0" w:line="1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Warrant Shares shall be delivered to the following DWAC Account Number:</w:t>
      </w: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1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_______________________________</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HOLDER]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Investing Entity: ________________________________________________________________________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Signature of Authorized Signatory of Investing Entity</w:t>
      </w:r>
      <w:r>
        <w:rPr>
          <w:rFonts w:ascii="Times New Roman" w:cs="Times New Roman" w:eastAsia="Times New Roman" w:hAnsi="Times New Roman"/>
          <w:sz w:val="12"/>
          <w:szCs w:val="12"/>
          <w:color w:val="auto"/>
        </w:rPr>
        <w:t>: 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of Authorized Signatory: 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of Authorized Signatory: ____________________________________________________________________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596265</wp:posOffset>
            </wp:positionV>
            <wp:extent cx="6778625" cy="349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00"/>
          </w:cols>
          <w:pgMar w:left="640" w:top="1204" w:right="660" w:bottom="1440" w:gutter="0" w:footer="0" w:header="0"/>
        </w:sectPr>
      </w:pPr>
    </w:p>
    <w:bookmarkStart w:id="310" w:name="page311"/>
    <w:bookmarkEnd w:id="310"/>
    <w:p>
      <w:pPr>
        <w:ind w:left="20"/>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ASSIGNMENT FORM</w:t>
      </w:r>
    </w:p>
    <w:p>
      <w:pPr>
        <w:spacing w:after="0" w:line="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(To assign the foregoing Warrant, execute this form and supply required information. Do not use this form to purchase shares.)</w:t>
      </w:r>
    </w:p>
    <w:p>
      <w:pPr>
        <w:spacing w:after="0" w:line="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FOR VALUE RECEIVED, the foregoing Warrant and all rights evidenced thereby are hereby assigned to</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Name: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724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(Please Print)</w:t>
            </w:r>
          </w:p>
        </w:tc>
        <w:tc>
          <w:tcPr>
            <w:tcW w:w="0" w:type="dxa"/>
            <w:vAlign w:val="bottom"/>
          </w:tcPr>
          <w:p>
            <w:pPr>
              <w:spacing w:after="0"/>
              <w:rPr>
                <w:sz w:val="1"/>
                <w:szCs w:val="1"/>
                <w:color w:val="auto"/>
              </w:rPr>
            </w:pPr>
          </w:p>
        </w:tc>
      </w:tr>
      <w:tr>
        <w:trPr>
          <w:trHeight w:val="251"/>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Address:</w:t>
            </w:r>
          </w:p>
        </w:tc>
        <w:tc>
          <w:tcPr>
            <w:tcW w:w="7240" w:type="dxa"/>
            <w:vAlign w:val="bottom"/>
            <w:vMerge w:val="restart"/>
          </w:tcPr>
          <w:p>
            <w:pPr>
              <w:ind w:left="1500"/>
              <w:spacing w:after="0"/>
              <w:rPr>
                <w:sz w:val="20"/>
                <w:szCs w:val="20"/>
                <w:color w:val="auto"/>
              </w:rPr>
            </w:pPr>
            <w:r>
              <w:rPr>
                <w:rFonts w:ascii="Times New Roman" w:cs="Times New Roman" w:eastAsia="Times New Roman" w:hAnsi="Times New Roman"/>
                <w:sz w:val="12"/>
                <w:szCs w:val="12"/>
                <w:color w:val="auto"/>
              </w:rPr>
              <w:t>(Please Print)</w:t>
            </w: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7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Phone Number:</w:t>
            </w:r>
          </w:p>
        </w:tc>
        <w:tc>
          <w:tcPr>
            <w:tcW w:w="724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______________________________________</w:t>
            </w: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Email Address:</w:t>
            </w:r>
          </w:p>
        </w:tc>
        <w:tc>
          <w:tcPr>
            <w:tcW w:w="7240" w:type="dxa"/>
            <w:vAlign w:val="bottom"/>
          </w:tcPr>
          <w:p>
            <w:pPr>
              <w:ind w:left="1500"/>
              <w:spacing w:after="0"/>
              <w:rPr>
                <w:sz w:val="20"/>
                <w:szCs w:val="20"/>
                <w:color w:val="auto"/>
              </w:rPr>
            </w:pPr>
            <w:r>
              <w:rPr>
                <w:rFonts w:ascii="Times New Roman" w:cs="Times New Roman" w:eastAsia="Times New Roman" w:hAnsi="Times New Roman"/>
                <w:sz w:val="12"/>
                <w:szCs w:val="12"/>
                <w:color w:val="auto"/>
              </w:rPr>
              <w:t>______________________________________</w:t>
            </w: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Dated: _______________ __, ______</w:t>
            </w:r>
          </w:p>
        </w:tc>
        <w:tc>
          <w:tcPr>
            <w:tcW w:w="7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Holder’s Signature:</w:t>
            </w:r>
          </w:p>
        </w:tc>
        <w:tc>
          <w:tcPr>
            <w:tcW w:w="7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Holder’s Address:</w:t>
            </w:r>
          </w:p>
        </w:tc>
        <w:tc>
          <w:tcPr>
            <w:tcW w:w="7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7"/>
        </w:trPr>
        <w:tc>
          <w:tcPr>
            <w:tcW w:w="3380" w:type="dxa"/>
            <w:vAlign w:val="bottom"/>
            <w:tcBorders>
              <w:bottom w:val="single" w:sz="8" w:color="EEEEEE"/>
            </w:tcBorders>
          </w:tcPr>
          <w:p>
            <w:pPr>
              <w:spacing w:after="0"/>
              <w:rPr>
                <w:sz w:val="24"/>
                <w:szCs w:val="24"/>
                <w:color w:val="auto"/>
              </w:rPr>
            </w:pPr>
          </w:p>
        </w:tc>
        <w:tc>
          <w:tcPr>
            <w:tcW w:w="72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-21590</wp:posOffset>
            </wp:positionV>
            <wp:extent cx="6778625" cy="349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62" w:right="640" w:bottom="1440" w:gutter="0" w:footer="0" w:header="0"/>
        </w:sectPr>
      </w:pPr>
    </w:p>
    <w:bookmarkStart w:id="311" w:name="page312"/>
    <w:bookmarkEnd w:id="311"/>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Exhibit 23.1</w:t>
      </w:r>
    </w:p>
    <w:p>
      <w:pPr>
        <w:spacing w:after="0" w:line="200" w:lineRule="exact"/>
        <w:rPr>
          <w:sz w:val="20"/>
          <w:szCs w:val="20"/>
          <w:color w:val="auto"/>
        </w:rPr>
      </w:pPr>
    </w:p>
    <w:p>
      <w:pPr>
        <w:spacing w:after="0" w:line="373" w:lineRule="exact"/>
        <w:rPr>
          <w:sz w:val="20"/>
          <w:szCs w:val="20"/>
          <w:color w:val="auto"/>
        </w:rPr>
      </w:pPr>
    </w:p>
    <w:p>
      <w:pPr>
        <w:ind w:left="1080"/>
        <w:spacing w:after="0"/>
        <w:rPr>
          <w:sz w:val="20"/>
          <w:szCs w:val="20"/>
          <w:color w:val="auto"/>
        </w:rPr>
      </w:pPr>
      <w:r>
        <w:rPr>
          <w:rFonts w:ascii="Arial" w:cs="Arial" w:eastAsia="Arial" w:hAnsi="Arial"/>
          <w:sz w:val="11"/>
          <w:szCs w:val="11"/>
          <w:u w:val="single" w:color="auto"/>
          <w:color w:val="auto"/>
        </w:rPr>
        <w:t>INDEPENDENT REGISTERED PUBLIC ACCOUNTING FIRM’S CONSENT</w:t>
      </w: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We hereby consent to the inclusion in this Amendment No. 2 to Registration Statement on Form F-1 of our report dated May 20, 2024, except for Notes 2.20, 13 and 14, as to which the date is June 11, 2024, except</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Note 17 as to which the date is October 28, 2024, which includes an explanatory paragraph as to</w:t>
      </w:r>
    </w:p>
    <w:p>
      <w:pPr>
        <w:spacing w:after="0" w:line="234" w:lineRule="auto"/>
        <w:rPr>
          <w:sz w:val="20"/>
          <w:szCs w:val="20"/>
          <w:color w:val="auto"/>
        </w:rPr>
      </w:pPr>
      <w:r>
        <w:rPr>
          <w:rFonts w:ascii="Arial" w:cs="Arial" w:eastAsia="Arial" w:hAnsi="Arial"/>
          <w:sz w:val="10"/>
          <w:szCs w:val="10"/>
          <w:color w:val="auto"/>
        </w:rPr>
        <w:t>the Company’s ability to continue as a going concern and an emphasis-of-matter for the</w:t>
      </w:r>
    </w:p>
    <w:p>
      <w:pPr>
        <w:spacing w:after="0" w:line="235" w:lineRule="auto"/>
        <w:rPr>
          <w:sz w:val="20"/>
          <w:szCs w:val="20"/>
          <w:color w:val="auto"/>
        </w:rPr>
      </w:pPr>
      <w:r>
        <w:rPr>
          <w:rFonts w:ascii="Arial" w:cs="Arial" w:eastAsia="Arial" w:hAnsi="Arial"/>
          <w:sz w:val="10"/>
          <w:szCs w:val="10"/>
          <w:color w:val="auto"/>
        </w:rPr>
        <w:t>Restatement of the 2023 and 2022 Financial Statements, relating to the carve-out consolidated</w:t>
      </w:r>
    </w:p>
    <w:p>
      <w:pPr>
        <w:spacing w:after="0" w:line="235" w:lineRule="auto"/>
        <w:rPr>
          <w:sz w:val="20"/>
          <w:szCs w:val="20"/>
          <w:color w:val="auto"/>
        </w:rPr>
      </w:pPr>
      <w:r>
        <w:rPr>
          <w:rFonts w:ascii="Arial" w:cs="Arial" w:eastAsia="Arial" w:hAnsi="Arial"/>
          <w:sz w:val="10"/>
          <w:szCs w:val="10"/>
          <w:color w:val="auto"/>
        </w:rPr>
        <w:t>financial statements of Rezolve AI Limited and Subsidiaries as of and for the years ended</w:t>
      </w:r>
    </w:p>
    <w:p>
      <w:pPr>
        <w:spacing w:after="0" w:line="235" w:lineRule="auto"/>
        <w:rPr>
          <w:sz w:val="20"/>
          <w:szCs w:val="20"/>
          <w:color w:val="auto"/>
        </w:rPr>
      </w:pPr>
      <w:r>
        <w:rPr>
          <w:rFonts w:ascii="Arial" w:cs="Arial" w:eastAsia="Arial" w:hAnsi="Arial"/>
          <w:sz w:val="10"/>
          <w:szCs w:val="10"/>
          <w:color w:val="auto"/>
        </w:rPr>
        <w:t>December 31, 2023 (restated) and 2022 (restated). We also consent to the reference to our firm</w:t>
      </w:r>
    </w:p>
    <w:p>
      <w:pPr>
        <w:spacing w:after="0"/>
        <w:rPr>
          <w:sz w:val="20"/>
          <w:szCs w:val="20"/>
          <w:color w:val="auto"/>
        </w:rPr>
      </w:pPr>
      <w:r>
        <w:rPr>
          <w:rFonts w:ascii="Arial" w:cs="Arial" w:eastAsia="Arial" w:hAnsi="Arial"/>
          <w:sz w:val="10"/>
          <w:szCs w:val="10"/>
          <w:color w:val="auto"/>
        </w:rPr>
        <w:t>under the heading “Experts” appearing therein.</w:t>
      </w: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11"/>
          <w:szCs w:val="11"/>
          <w:color w:val="auto"/>
        </w:rPr>
        <w:t>/s/ Grassi &amp; Co., CPAs, P.C.</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Grassi &amp; Co., CPAs, P.C. Jericho, New York</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1"/>
          <w:szCs w:val="11"/>
          <w:color w:val="auto"/>
        </w:rPr>
        <w:t>December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114300</wp:posOffset>
            </wp:positionV>
            <wp:extent cx="6778625" cy="349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440" w:right="640"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1"/>
          <w:szCs w:val="11"/>
          <w:b w:val="1"/>
          <w:bCs w:val="1"/>
          <w:color w:val="auto"/>
        </w:rPr>
        <w:t>Exhibit 23.2</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INDEPENDENT REGISTERED PUBLIC ACCOUNTING FIRM’S CONSENT</w:t>
      </w:r>
    </w:p>
    <w:p>
      <w:pPr>
        <w:spacing w:after="0" w:line="14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We consent to the inclusion in this Amendment No. 2 to Registration Statement of Rezolve AI Limited on Form F-1 of our report dated December 4, 2023, which includes an explanatory paragraph as to Armada Acquisition Corp. I’s ability to continue as a going concern, with respect to our audits of the financial statements of Armada Acquisition Corp. I as of September 30, 2023 and 2022 and for the years ended September 30, 2023 and 2022, which report appears in this Prospectus, which is part of this Registration Statement. We were dismissed as auditors on August 21, 2024 and, accordingly, we have not performed any audit or review procedures with respect to any financial statements appearing in such Registration Statement for the periods after the date of our dismissal. We also consent to the reference to our Firm under the heading “Experts” in such Registration Statement.</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Marcum llp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Marcum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Morristown, NJ</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643890</wp:posOffset>
            </wp:positionV>
            <wp:extent cx="6778625" cy="349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6778625" cy="34925"/>
                    </a:xfrm>
                    <a:prstGeom prst="rect">
                      <a:avLst/>
                    </a:prstGeom>
                    <a:noFill/>
                  </pic:spPr>
                </pic:pic>
              </a:graphicData>
            </a:graphic>
          </wp:anchor>
        </w:drawing>
      </w:r>
    </w:p>
    <w:p>
      <w:pPr>
        <w:sectPr>
          <w:pgSz w:w="11900" w:h="16840" w:orient="portrait"/>
          <w:cols w:equalWidth="0" w:num="1">
            <w:col w:w="10620"/>
          </w:cols>
          <w:pgMar w:left="640" w:top="1063" w:right="640" w:bottom="1440" w:gutter="0" w:footer="0" w:header="0"/>
        </w:sectPr>
      </w:pPr>
    </w:p>
    <w:bookmarkStart w:id="313" w:name="page314"/>
    <w:bookmarkEnd w:id="31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404"/>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bullet"/>
      <w:start w:val="1"/>
    </w:lvl>
  </w:abstractNum>
  <w:abstractNum w:abstractNumId="3">
    <w:nsid w:val="7FDCC233"/>
    <w:multiLevelType w:val="hybridMultilevel"/>
    <w:lvl w:ilvl="0">
      <w:lvlJc w:val="left"/>
      <w:lvlText w:val="(%1)"/>
      <w:numFmt w:val="lowerLetter"/>
      <w:start w:val="27"/>
    </w:lvl>
  </w:abstractNum>
  <w:abstractNum w:abstractNumId="4">
    <w:nsid w:val="1BEFD79F"/>
    <w:multiLevelType w:val="hybridMultilevel"/>
    <w:lvl w:ilvl="0">
      <w:lvlJc w:val="left"/>
      <w:lvlText w:val="2"/>
      <w:numFmt w:val="bullet"/>
      <w:start w:val="1"/>
    </w:lvl>
  </w:abstractNum>
  <w:abstractNum w:abstractNumId="5">
    <w:nsid w:val="41A7C4C9"/>
    <w:multiLevelType w:val="hybridMultilevel"/>
    <w:lvl w:ilvl="0">
      <w:lvlJc w:val="left"/>
      <w:lvlText w:val="2"/>
      <w:numFmt w:val="bullet"/>
      <w:start w:val="1"/>
    </w:lvl>
  </w:abstractNum>
  <w:abstractNum w:abstractNumId="6">
    <w:nsid w:val="6B68079A"/>
    <w:multiLevelType w:val="hybridMultilevel"/>
    <w:lvl w:ilvl="0">
      <w:lvlJc w:val="left"/>
      <w:lvlText w:val="3"/>
      <w:numFmt w:val="bullet"/>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lowerRoman"/>
      <w:start w:val="2"/>
    </w:lvl>
  </w:abstractNum>
  <w:abstractNum w:abstractNumId="13">
    <w:nsid w:val="257130A3"/>
    <w:multiLevelType w:val="hybridMultilevel"/>
    <w:lvl w:ilvl="0">
      <w:lvlJc w:val="left"/>
      <w:lvlText w:val="(%1)"/>
      <w:numFmt w:val="lowerRoman"/>
      <w:start w:val="2"/>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Roman"/>
      <w:start w:val="2"/>
    </w:lvl>
  </w:abstractNum>
  <w:abstractNum w:abstractNumId="16">
    <w:nsid w:val="628C895D"/>
    <w:multiLevelType w:val="hybridMultilevel"/>
    <w:lvl w:ilvl="0">
      <w:lvlJc w:val="left"/>
      <w:lvlText w:val="(%1)"/>
      <w:numFmt w:val="lowerRoman"/>
      <w:start w:val="2"/>
    </w:lvl>
  </w:abstractNum>
  <w:abstractNum w:abstractNumId="17">
    <w:nsid w:val="333AB105"/>
    <w:multiLevelType w:val="hybridMultilevel"/>
    <w:lvl w:ilvl="0">
      <w:lvlJc w:val="left"/>
      <w:lvlText w:val="(%1)"/>
      <w:numFmt w:val="lowerRoman"/>
      <w:start w:val="2"/>
    </w:lvl>
  </w:abstractNum>
  <w:abstractNum w:abstractNumId="18">
    <w:nsid w:val="721DA317"/>
    <w:multiLevelType w:val="hybridMultilevel"/>
    <w:lvl w:ilvl="0">
      <w:lvlJc w:val="left"/>
      <w:lvlText w:val="(%1)"/>
      <w:numFmt w:val="lowerRoman"/>
      <w:start w:val="2"/>
    </w:lvl>
  </w:abstractNum>
  <w:abstractNum w:abstractNumId="19">
    <w:nsid w:val="2443A858"/>
    <w:multiLevelType w:val="hybridMultilevel"/>
    <w:lvl w:ilvl="0">
      <w:lvlJc w:val="left"/>
      <w:lvlText w:val="(%1)"/>
      <w:numFmt w:val="lowerRoman"/>
      <w:start w:val="2"/>
    </w:lvl>
  </w:abstractNum>
  <w:abstractNum w:abstractNumId="20">
    <w:nsid w:val="2D1D5AE9"/>
    <w:multiLevelType w:val="hybridMultilevel"/>
    <w:lvl w:ilvl="0">
      <w:lvlJc w:val="left"/>
      <w:lvlText w:val="(%1)"/>
      <w:numFmt w:val="lowerRoman"/>
      <w:start w:val="2"/>
    </w:lvl>
  </w:abstractNum>
  <w:abstractNum w:abstractNumId="21">
    <w:nsid w:val="6763845E"/>
    <w:multiLevelType w:val="hybridMultilevel"/>
    <w:lvl w:ilvl="0">
      <w:lvlJc w:val="left"/>
      <w:lvlText w:val="1"/>
      <w:numFmt w:val="bullet"/>
      <w:start w:val="1"/>
    </w:lvl>
  </w:abstractNum>
  <w:abstractNum w:abstractNumId="22">
    <w:nsid w:val="75A2A8D4"/>
    <w:multiLevelType w:val="hybridMultilevel"/>
    <w:lvl w:ilvl="0">
      <w:lvlJc w:val="left"/>
      <w:lvlText w:val="(%1)"/>
      <w:numFmt w:val="lowerRoman"/>
      <w:start w:val="2"/>
    </w:lvl>
  </w:abstractNum>
  <w:abstractNum w:abstractNumId="23">
    <w:nsid w:val="8EDBDAB"/>
    <w:multiLevelType w:val="hybridMultilevel"/>
    <w:lvl w:ilvl="0">
      <w:lvlJc w:val="left"/>
      <w:lvlText w:val="%1)"/>
      <w:numFmt w:val="lowerLetter"/>
      <w:start w:val="5"/>
    </w:lvl>
  </w:abstractNum>
  <w:abstractNum w:abstractNumId="24">
    <w:nsid w:val="79838CB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14" Type="http://schemas.openxmlformats.org/officeDocument/2006/relationships/image" Target="media/image300.png"/><Relationship Id="rId332"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07" Type="http://schemas.openxmlformats.org/officeDocument/2006/relationships/hyperlink" Target="https://www.sec.gov/Archives/edgar/data/1920294/000119312523240685/d309194df4a.htm#anxacov" TargetMode="External"/><Relationship Id="rId308" Type="http://schemas.openxmlformats.org/officeDocument/2006/relationships/hyperlink" Target="https://www.sec.gov/Archives/edgar/data/1920294/000119312523240685/d309194df4a.htm#anxaa" TargetMode="External"/><Relationship Id="rId309" Type="http://schemas.openxmlformats.org/officeDocument/2006/relationships/hyperlink" Target="https://www.sec.gov/Archives/edgar/data/1920294/000119312524204510/d885107dex11.htm" TargetMode="External"/><Relationship Id="rId310" Type="http://schemas.openxmlformats.org/officeDocument/2006/relationships/hyperlink" Target="https://www.sec.gov/Archives/edgar/data/1920294/000119312524204510/d885107dex21.htm" TargetMode="External"/><Relationship Id="rId311" Type="http://schemas.openxmlformats.org/officeDocument/2006/relationships/hyperlink" Target="https://www.sec.gov/Archives/edgar/data/1920294/000119312524204510/d885107dex22.htm" TargetMode="External"/><Relationship Id="rId312" Type="http://schemas.openxmlformats.org/officeDocument/2006/relationships/hyperlink" Target="https://www.sec.gov/Archives/edgar/data/1920294/000095017024137943/rzlv-ex4_4.htm" TargetMode="External"/><Relationship Id="rId313" Type="http://schemas.openxmlformats.org/officeDocument/2006/relationships/hyperlink" Target="https://www.sec.gov/Archives/edgar/data/1920294/000119312524204510/d885107dex43.htm" TargetMode="External"/><Relationship Id="rId315" Type="http://schemas.openxmlformats.org/officeDocument/2006/relationships/hyperlink" Target="https://www.sec.gov/Archives/edgar/data/1920294/000119312524204510/d885107dex44.htm" TargetMode="External"/><Relationship Id="rId316" Type="http://schemas.openxmlformats.org/officeDocument/2006/relationships/hyperlink" Target="https://www.sec.gov/Archives/edgar/data/1920294/000119312524204510/d885107dex46.htm" TargetMode="External"/><Relationship Id="rId317" Type="http://schemas.openxmlformats.org/officeDocument/2006/relationships/hyperlink" Target="https://www.sec.gov/Archives/edgar/data/1920294/000119312524204510/d885107dex47.htm" TargetMode="External"/><Relationship Id="rId318" Type="http://schemas.openxmlformats.org/officeDocument/2006/relationships/hyperlink" Target="https://www.sec.gov/Archives/edgar/data/1920294/000095017024137943/rzlv-ex5_1.htm" TargetMode="External"/><Relationship Id="rId319" Type="http://schemas.openxmlformats.org/officeDocument/2006/relationships/hyperlink" Target="https://www.sec.gov/Archives/edgar/data/1920294/000095017024137943/rzlv-ex5_2.htm" TargetMode="External"/><Relationship Id="rId320" Type="http://schemas.openxmlformats.org/officeDocument/2006/relationships/hyperlink" Target="https://www.sec.gov/Archives/edgar/data/1920294/000119312524159410/d309194dex1017.htm" TargetMode="External"/><Relationship Id="rId321" Type="http://schemas.openxmlformats.org/officeDocument/2006/relationships/hyperlink" Target="https://www.sec.gov/Archives/edgar/data/1920294/000119312524143103/d309194dex1018.htm" TargetMode="External"/><Relationship Id="rId322" Type="http://schemas.openxmlformats.org/officeDocument/2006/relationships/hyperlink" Target="https://www.sec.gov/Archives/edgar/data/1920294/000119312524143103/d309194dex1019.htm" TargetMode="External"/><Relationship Id="rId323" Type="http://schemas.openxmlformats.org/officeDocument/2006/relationships/hyperlink" Target="https://www.sec.gov/Archives/edgar/data/1920294/000119312524143103/d309194dex1020.htm" TargetMode="External"/><Relationship Id="rId324" Type="http://schemas.openxmlformats.org/officeDocument/2006/relationships/hyperlink" Target="https://www.sec.gov/Archives/edgar/data/1920294/000119312524143103/d309194dex1021.htm" TargetMode="External"/><Relationship Id="rId325" Type="http://schemas.openxmlformats.org/officeDocument/2006/relationships/hyperlink" Target="https://www.sec.gov/Archives/edgar/data/1920294/000119312524143103/d309194dex1022.htm" TargetMode="External"/><Relationship Id="rId326" Type="http://schemas.openxmlformats.org/officeDocument/2006/relationships/hyperlink" Target="https://www.sec.gov/Archives/edgar/data/1920294/000119312524143103/d309194dex1023.htm" TargetMode="External"/><Relationship Id="rId327" Type="http://schemas.openxmlformats.org/officeDocument/2006/relationships/hyperlink" Target="https://www.sec.gov/Archives/edgar/data/1920294/000119312524143103/d309194dex1024.htm" TargetMode="External"/><Relationship Id="rId328" Type="http://schemas.openxmlformats.org/officeDocument/2006/relationships/hyperlink" Target="https://www.sec.gov/Archives/edgar/data/1844817/000119312524028592/d701134dex21.htm" TargetMode="External"/><Relationship Id="rId329" Type="http://schemas.openxmlformats.org/officeDocument/2006/relationships/hyperlink" Target="https://www.sec.gov/Archives/edgar/data/1920294/000095017024104513/rzlv-ex10_13.htm" TargetMode="External"/><Relationship Id="rId330" Type="http://schemas.openxmlformats.org/officeDocument/2006/relationships/hyperlink" Target="https://www.sec.gov/Archives/edgar/data/1920294/000095017024106474/rzlv-ex99_2.htm" TargetMode="External"/><Relationship Id="rId331" Type="http://schemas.openxmlformats.org/officeDocument/2006/relationships/hyperlink" Target="https://www.sec.gov/Archives/edgar/data/1920294/000095017024137626/rzlv-ex10_2.htm" TargetMode="External"/><Relationship Id="rId333" Type="http://schemas.openxmlformats.org/officeDocument/2006/relationships/hyperlink" Target="https://www.sec.gov/Archives/edgar/data/1920294/000095017024137626/rzlv-ex10_3.htm" TargetMode="External"/><Relationship Id="rId334" Type="http://schemas.openxmlformats.org/officeDocument/2006/relationships/hyperlink" Target="https://www.sec.gov/Archives/edgar/data/1920294/000095017024137943/rzlv-ex10_15.htm" TargetMode="External"/><Relationship Id="rId335" Type="http://schemas.openxmlformats.org/officeDocument/2006/relationships/hyperlink" Target="https://www.sec.gov/Archives/edgar/data/1920294/000095017024137943/rzlv-exfiling_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2024-12-19T15:53:00Z</dcterms:created>
  <dcterms:modified xsi:type="dcterms:W3CDTF">2024-12-19T15:53:00Z</dcterms:modified>
</cp:coreProperties>
</file>