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zlv-20250509.htm"/>
      <w:bookmarkStart w:id="1" w:name="ksrzlv20250509"/>
      <w:bookmarkEnd w:id="0"/>
      <w:bookmarkEnd w:id="1"/>
      <w:r>
        <w:rPr/>
        <w:t> </w:t>
      </w:r>
    </w:p>
    <w:p>
      <w:pPr>
        <w:pStyle w:val="TextBody"/>
        <w:bidi w:val="0"/>
        <w:spacing w:before="240" w:after="283"/>
        <w:jc w:val="right"/>
        <w:rPr>
          <w:rFonts w:ascii="Times New Roman" w:hAnsi="Times New Roman"/>
          <w:b/>
          <w:color w:val="000000"/>
          <w:sz w:val="20"/>
        </w:rPr>
      </w:pPr>
      <w:r>
        <w:rPr>
          <w:rFonts w:ascii="Times New Roman" w:hAnsi="Times New Roman"/>
          <w:b/>
          <w:color w:val="000000"/>
          <w:sz w:val="20"/>
        </w:rPr>
        <w:t>Filed Pursuant to Rule 424(b)(3)</w:t>
      </w:r>
    </w:p>
    <w:p>
      <w:pPr>
        <w:pStyle w:val="TextBody"/>
        <w:bidi w:val="0"/>
        <w:jc w:val="right"/>
        <w:rPr>
          <w:rFonts w:ascii="Times New Roman" w:hAnsi="Times New Roman"/>
          <w:b/>
          <w:color w:val="000000"/>
          <w:sz w:val="20"/>
        </w:rPr>
      </w:pPr>
      <w:r>
        <w:rPr>
          <w:rFonts w:ascii="Times New Roman" w:hAnsi="Times New Roman"/>
          <w:b/>
          <w:color w:val="000000"/>
          <w:sz w:val="20"/>
        </w:rPr>
        <w:t>Registration No. 333-283622</w:t>
      </w:r>
    </w:p>
    <w:p>
      <w:pPr>
        <w:pStyle w:val="TextBody"/>
        <w:bidi w:val="0"/>
        <w:jc w:val="righ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PROSPECTUS</w:t>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Rezolve AI plc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Up to 5,000,000 Ordinary Shares Underlying the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prospectus relates to the issuance, from time to time, by Rezolve AI plc (formerly Rezolve AI Limited), a public limited company incorporated under the laws of England and Wales with registration number 14573691 (“Rezolve” or the “Company”) of 5,000,000 ordinary shares, par value $£0.0001 per share (the “Ordinary Shares”) upon exercise of 5,000,000 warrants (the “Offering Warrants”) that we issued to investors.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had issued the foregoing Offering Warrants in our offering of ordinary shares accompanied by ordinary warrants, that took place</w:t>
        <w:br/>
        <w:t>on December 19, 2025 and was completed on December 23, 2024, for which H.C. Wainwright &amp; Co., LLC (the “Placement Agent”)</w:t>
        <w:br/>
        <w:t>served as our exclusive placement agent (the “Offering”).</w:t>
      </w:r>
    </w:p>
    <w:p>
      <w:pPr>
        <w:pStyle w:val="TextBody"/>
        <w:bidi w:val="0"/>
        <w:jc w:val="left"/>
        <w:rPr>
          <w:rFonts w:ascii="Times New Roman" w:hAnsi="Times New Roman"/>
          <w:color w:val="000000"/>
          <w:sz w:val="20"/>
        </w:rPr>
      </w:pPr>
      <w:r>
        <w:rPr>
          <w:rFonts w:ascii="Times New Roman" w:hAnsi="Times New Roman"/>
          <w:color w:val="000000"/>
          <w:sz w:val="20"/>
        </w:rPr>
        <w:br/>
        <w:t>Each Offering Warrant has an exercise price of $3.00 per share (which is equal to 100% of the offering price per ordinary share sold in</w:t>
        <w:br/>
        <w:t>the Offering) and is exercisable until the fifth anniversary of its issuance date (i.e., until December 23, 2029).</w:t>
      </w:r>
    </w:p>
    <w:p>
      <w:pPr>
        <w:pStyle w:val="TextBody"/>
        <w:bidi w:val="0"/>
        <w:jc w:val="left"/>
        <w:rPr>
          <w:rFonts w:ascii="Times New Roman" w:hAnsi="Times New Roman"/>
          <w:color w:val="000000"/>
          <w:sz w:val="20"/>
        </w:rPr>
      </w:pPr>
      <w:r>
        <w:rPr>
          <w:rFonts w:ascii="Times New Roman" w:hAnsi="Times New Roman"/>
          <w:color w:val="000000"/>
          <w:sz w:val="20"/>
        </w:rPr>
        <w:br/>
        <w:t>We will receive the proceeds from the exercise of the Offering Warrants being registered under this prospectus to the extent</w:t>
        <w:br/>
        <w:t>those warrants are exercised for cash. Given the price volatility of our Ordinary Shares, there is no certainty that warrant holders will</w:t>
        <w:br/>
        <w:t>exercise their warrants and, accordingly, we may not receive any proceeds in relation to those warrants.</w:t>
        <w:br/>
        <w:t> </w:t>
      </w:r>
    </w:p>
    <w:p>
      <w:pPr>
        <w:pStyle w:val="TextBody"/>
        <w:bidi w:val="0"/>
        <w:jc w:val="left"/>
        <w:rPr>
          <w:rFonts w:ascii="Times New Roman" w:hAnsi="Times New Roman"/>
          <w:color w:val="000000"/>
          <w:sz w:val="20"/>
        </w:rPr>
      </w:pPr>
      <w:r>
        <w:rPr>
          <w:rFonts w:ascii="Times New Roman" w:hAnsi="Times New Roman"/>
          <w:color w:val="000000"/>
          <w:sz w:val="20"/>
        </w:rPr>
        <w:t>We have paid all expenses incurred in registering the issuance of the securities offered hereby, including legal and accounting fees.</w:t>
        <w:br/>
        <w:t>See “Plan of Distribution.”</w:t>
      </w:r>
    </w:p>
    <w:p>
      <w:pPr>
        <w:pStyle w:val="TextBody"/>
        <w:bidi w:val="0"/>
        <w:spacing w:before="240" w:after="283"/>
        <w:jc w:val="left"/>
        <w:rPr>
          <w:rFonts w:ascii="Times New Roman" w:hAnsi="Times New Roman"/>
          <w:sz w:val="20"/>
        </w:rPr>
      </w:pPr>
      <w:r>
        <w:rPr>
          <w:rFonts w:ascii="Times New Roman" w:hAnsi="Times New Roman"/>
          <w:color w:val="000000"/>
          <w:sz w:val="20"/>
        </w:rPr>
        <w:t>Our Ordinary Shares and public warrants trade are on the Nasdaq Stock Market LLC (“</w:t>
      </w:r>
      <w:r>
        <w:rPr>
          <w:rFonts w:ascii="Times New Roman" w:hAnsi="Times New Roman"/>
          <w:i/>
          <w:color w:val="000000"/>
          <w:sz w:val="20"/>
        </w:rPr>
        <w:t>Nasdaq</w:t>
      </w:r>
      <w:r>
        <w:rPr>
          <w:rFonts w:ascii="Times New Roman" w:hAnsi="Times New Roman"/>
          <w:color w:val="000000"/>
          <w:sz w:val="20"/>
        </w:rPr>
        <w:t>”) under the symbols “RZLV” and “RZLVW”, respectively. On May 8, 2025, the last reported sale price of our Ordinary Shares and public warrants on Nasdaq were $2.30 and $0.62, respectively. There is no established public trading market for the Offering Warrants and we do not expect such a market to develop. Without an active trading market, the liquidity of the Offering Warrants will be limited. In addition, we do not intend to list the Offering Warrants on Nasdaq, any other national securities exchange or any other trading system.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an “emerging growth company,” as that term is used in the Jumpstart Our Business Startups Act of 2012, or JOBS Act, and, as such, we have elected to comply with certain reduced public company reporting requirements</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Investing in our securities involves risks. See </w:t>
      </w:r>
      <w:r>
        <w:rPr>
          <w:rFonts w:ascii="Times New Roman" w:hAnsi="Times New Roman"/>
          <w:color w:val="000000"/>
          <w:sz w:val="20"/>
        </w:rPr>
        <w:t>“</w:t>
      </w:r>
      <w:r>
        <w:rPr>
          <w:rFonts w:ascii="Times New Roman" w:hAnsi="Times New Roman"/>
          <w:b/>
          <w:i/>
          <w:color w:val="000000"/>
          <w:sz w:val="20"/>
        </w:rPr>
        <w:t>Risk Factors”</w:t>
      </w:r>
      <w:r>
        <w:rPr>
          <w:rFonts w:ascii="Times New Roman" w:hAnsi="Times New Roman"/>
          <w:color w:val="000000"/>
          <w:sz w:val="20"/>
        </w:rPr>
        <w:t xml:space="preserve"> </w:t>
      </w:r>
      <w:r>
        <w:rPr>
          <w:rFonts w:ascii="Times New Roman" w:hAnsi="Times New Roman"/>
          <w:b/>
          <w:color w:val="000000"/>
          <w:sz w:val="20"/>
        </w:rPr>
        <w:t>beginning on page 9 and in any applicable prospectus supplement.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None of the U.S. Securities and Exchange Commission or any state securities commission has approved or disapproved of the securities or determined if this prospectus is accurate or adequate. Any representation to the contrary is a criminal offense.</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The date of this prospectus is May 9, 2025.</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168" w:type="dxa"/>
        <w:jc w:val="left"/>
        <w:tblInd w:w="0" w:type="dxa"/>
        <w:tblLayout w:type="fixed"/>
        <w:tblCellMar>
          <w:top w:w="28" w:type="dxa"/>
          <w:left w:w="28" w:type="dxa"/>
          <w:bottom w:w="28" w:type="dxa"/>
          <w:right w:w="28" w:type="dxa"/>
        </w:tblCellMar>
      </w:tblPr>
      <w:tblGrid>
        <w:gridCol w:w="9556"/>
        <w:gridCol w:w="146"/>
        <w:gridCol w:w="466"/>
      </w:tblGrid>
      <w:tr>
        <w:trPr/>
        <w:tc>
          <w:tcPr>
            <w:tcW w:w="9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about_this_prospectus">
              <w:r>
                <w:rPr>
                  <w:rStyle w:val="InternetLink"/>
                  <w:rFonts w:ascii="Times New Roman" w:hAnsi="Times New Roman"/>
                  <w:color w:val="0000FF"/>
                  <w:sz w:val="20"/>
                  <w:u w:val="single"/>
                </w:rPr>
                <w:t>ABOUT THIS PROSPECTUS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trademarks">
              <w:r>
                <w:rPr>
                  <w:rStyle w:val="InternetLink"/>
                  <w:rFonts w:ascii="Times New Roman" w:hAnsi="Times New Roman"/>
                  <w:color w:val="0000FF"/>
                  <w:sz w:val="20"/>
                  <w:u w:val="single"/>
                </w:rPr>
                <w:t>TRADEMARKS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selected_definitions">
              <w:r>
                <w:rPr>
                  <w:rStyle w:val="InternetLink"/>
                  <w:rFonts w:ascii="Times New Roman" w:hAnsi="Times New Roman"/>
                  <w:color w:val="0000FF"/>
                  <w:sz w:val="20"/>
                  <w:u w:val="single"/>
                </w:rPr>
                <w:t>SELECTED DEFINITIONS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iii</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cautionary_note_regarding_forward">
              <w:r>
                <w:rPr>
                  <w:rStyle w:val="InternetLink"/>
                  <w:rFonts w:ascii="Times New Roman" w:hAnsi="Times New Roman"/>
                  <w:color w:val="0000FF"/>
                  <w:sz w:val="20"/>
                  <w:u w:val="single"/>
                </w:rPr>
                <w:t>CAUTIONARY NOTE REGARDING FORWARD-LOOKING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iv</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prospectus_summary">
              <w:r>
                <w:rPr>
                  <w:rStyle w:val="InternetLink"/>
                  <w:rFonts w:ascii="Times New Roman" w:hAnsi="Times New Roman"/>
                  <w:color w:val="0000FF"/>
                  <w:sz w:val="20"/>
                  <w:u w:val="single"/>
                </w:rPr>
                <w:t>PROSPECTUS SUMMARY</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the_offering">
              <w:r>
                <w:rPr>
                  <w:rStyle w:val="InternetLink"/>
                  <w:rFonts w:ascii="Times New Roman" w:hAnsi="Times New Roman"/>
                  <w:color w:val="0000FF"/>
                  <w:sz w:val="20"/>
                  <w:u w:val="single"/>
                </w:rPr>
                <w:t>THE OFFERING</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transactions_related_to_offering_under">
              <w:r>
                <w:rPr>
                  <w:rStyle w:val="InternetLink"/>
                  <w:rFonts w:ascii="Times New Roman" w:hAnsi="Times New Roman"/>
                  <w:color w:val="0000FF"/>
                  <w:sz w:val="20"/>
                  <w:u w:val="single"/>
                </w:rPr>
                <w:t>TRANSACTIONS RELATED TO OFFERING UNDER THIS PROSPECTUS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use_of_proceeds">
              <w:r>
                <w:rPr>
                  <w:rStyle w:val="InternetLink"/>
                  <w:rFonts w:ascii="Times New Roman" w:hAnsi="Times New Roman"/>
                  <w:color w:val="0000FF"/>
                  <w:sz w:val="20"/>
                  <w:u w:val="single"/>
                </w:rPr>
                <w:t>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dilution">
              <w:r>
                <w:rPr>
                  <w:rStyle w:val="InternetLink"/>
                  <w:rFonts w:ascii="Times New Roman" w:hAnsi="Times New Roman"/>
                  <w:color w:val="0000FF"/>
                  <w:sz w:val="20"/>
                  <w:u w:val="single"/>
                </w:rPr>
                <w:t>DILUTION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unaudited_pro_forma_condensed_combined">
              <w:r>
                <w:rPr>
                  <w:rStyle w:val="InternetLink"/>
                  <w:rFonts w:ascii="Times New Roman" w:hAnsi="Times New Roman"/>
                  <w:color w:val="0000FF"/>
                  <w:sz w:val="20"/>
                  <w:u w:val="single"/>
                </w:rPr>
                <w:t>UNAUDITED PRO FORMA CONDENSED COMBINED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managements_discussion_and_analysis_o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business_of_rezolve">
              <w:r>
                <w:rPr>
                  <w:rStyle w:val="InternetLink"/>
                  <w:rFonts w:ascii="Times New Roman" w:hAnsi="Times New Roman"/>
                  <w:color w:val="0000FF"/>
                  <w:sz w:val="20"/>
                  <w:u w:val="single"/>
                </w:rPr>
                <w:t>BUSINESS OF REZOLVE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management_and_compensation">
              <w:r>
                <w:rPr>
                  <w:rStyle w:val="InternetLink"/>
                  <w:rFonts w:ascii="Times New Roman" w:hAnsi="Times New Roman"/>
                  <w:color w:val="0000FF"/>
                  <w:sz w:val="20"/>
                  <w:u w:val="single"/>
                </w:rPr>
                <w:t>MANAGEMENT AND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certain_relationships_and_related_party">
              <w:r>
                <w:rPr>
                  <w:rStyle w:val="InternetLink"/>
                  <w:rFonts w:ascii="Times New Roman" w:hAnsi="Times New Roman"/>
                  <w:color w:val="0000FF"/>
                  <w:sz w:val="20"/>
                  <w:u w:val="single"/>
                </w:rPr>
                <w:t>CERTAIN RELATIONSHIPS AND RELATED PARTY TRANSACTIONS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beneficial_ownership_of_securities">
              <w:r>
                <w:rPr>
                  <w:rStyle w:val="InternetLink"/>
                  <w:rFonts w:ascii="Times New Roman" w:hAnsi="Times New Roman"/>
                  <w:color w:val="0000FF"/>
                  <w:sz w:val="20"/>
                  <w:u w:val="single"/>
                </w:rPr>
                <w:t>BENEFICIAL OWNERSHIP OF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description_of_ordinary_shares_articles">
              <w:r>
                <w:rPr>
                  <w:rStyle w:val="InternetLink"/>
                  <w:rFonts w:ascii="Times New Roman" w:hAnsi="Times New Roman"/>
                  <w:color w:val="0000FF"/>
                  <w:sz w:val="20"/>
                  <w:u w:val="single"/>
                </w:rPr>
                <w:t>DESCRIPTION OF ORDINARY SHARES, ARTICLES OF ASSOCIATION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description_securities_we_are_offering">
              <w:r>
                <w:rPr>
                  <w:rStyle w:val="InternetLink"/>
                  <w:rFonts w:ascii="Times New Roman" w:hAnsi="Times New Roman"/>
                  <w:color w:val="0000FF"/>
                  <w:sz w:val="20"/>
                  <w:u w:val="single"/>
                </w:rPr>
                <w:t>DESCRIPTION OF SECURITIES WE ARE OFFERING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us_federal_income_tax_considerations">
              <w:r>
                <w:rPr>
                  <w:rStyle w:val="InternetLink"/>
                  <w:rFonts w:ascii="Times New Roman" w:hAnsi="Times New Roman"/>
                  <w:color w:val="0000FF"/>
                  <w:sz w:val="20"/>
                  <w:u w:val="single"/>
                </w:rPr>
                <w:t>MATERIAL TAX CONSIDERATIONS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plan_of_distribution">
              <w:r>
                <w:rPr>
                  <w:rStyle w:val="InternetLink"/>
                  <w:rFonts w:ascii="Times New Roman" w:hAnsi="Times New Roman"/>
                  <w:color w:val="0000FF"/>
                  <w:sz w:val="20"/>
                  <w:u w:val="single"/>
                </w:rPr>
                <w:t>PLAN OF DISTRIBUTION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expenses_related_to_this_offering">
              <w:r>
                <w:rPr>
                  <w:rStyle w:val="InternetLink"/>
                  <w:rFonts w:ascii="Times New Roman" w:hAnsi="Times New Roman"/>
                  <w:color w:val="0000FF"/>
                  <w:sz w:val="20"/>
                  <w:u w:val="single"/>
                </w:rPr>
                <w:t>EXPENSES RELATED TO THIS OFFERING</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legal_matters">
              <w:r>
                <w:rPr>
                  <w:rStyle w:val="InternetLink"/>
                  <w:rFonts w:ascii="Times New Roman" w:hAnsi="Times New Roman"/>
                  <w:color w:val="0000FF"/>
                  <w:sz w:val="20"/>
                  <w:u w:val="single"/>
                </w:rPr>
                <w:t>LEGAL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experts">
              <w:r>
                <w:rPr>
                  <w:rStyle w:val="InternetLink"/>
                  <w:rFonts w:ascii="Times New Roman" w:hAnsi="Times New Roman"/>
                  <w:color w:val="0000FF"/>
                  <w:sz w:val="20"/>
                  <w:u w:val="single"/>
                </w:rPr>
                <w:t>EXPERTS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enforceability_of_civil_liability">
              <w:r>
                <w:rPr>
                  <w:rStyle w:val="InternetLink"/>
                  <w:rFonts w:ascii="Times New Roman" w:hAnsi="Times New Roman"/>
                  <w:color w:val="0000FF"/>
                  <w:sz w:val="20"/>
                  <w:u w:val="single"/>
                </w:rPr>
                <w:t>ENFORCEABILITY OF CIVIL LIABILITY</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where_you_can_find_more_information">
              <w:r>
                <w:rPr>
                  <w:rStyle w:val="InternetLink"/>
                  <w:rFonts w:ascii="Times New Roman" w:hAnsi="Times New Roman"/>
                  <w:color w:val="0000FF"/>
                  <w:sz w:val="20"/>
                  <w:u w:val="single"/>
                </w:rPr>
                <w:t>WHERE YOU CAN FIND MORE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2" w:name="about_this_prospectus"/>
      <w:bookmarkEnd w:id="2"/>
      <w:r>
        <w:rPr>
          <w:rFonts w:ascii="Times New Roman" w:hAnsi="Times New Roman"/>
          <w:b/>
          <w:caps/>
          <w:color w:val="000000"/>
          <w:sz w:val="20"/>
        </w:rPr>
        <w:t>ABOUT THIS PROSPECTUS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rely only on the information that we have provided in this prospectus. We have not authorized anyone to provide you with different or additional information. If anyone provides you with different or additional information, you should not rely on it. You should assume that the information in this prospectus is accurate only as of the date on the cover of the document and that any information we have incorporated by reference is accurate only as of the date of the document incorporated by reference, regardless of the time of delivery of this prospectus or any sale of a security. Our business, financial condition, results of operations and prospects may have changed since those dates.</w:t>
      </w:r>
    </w:p>
    <w:p>
      <w:pPr>
        <w:pStyle w:val="TextBody"/>
        <w:bidi w:val="0"/>
        <w:spacing w:before="120" w:after="283"/>
        <w:jc w:val="left"/>
        <w:rPr>
          <w:rFonts w:ascii="Times New Roman" w:hAnsi="Times New Roman"/>
          <w:sz w:val="20"/>
        </w:rPr>
      </w:pPr>
      <w:r>
        <w:rPr>
          <w:rFonts w:ascii="Times New Roman" w:hAnsi="Times New Roman"/>
          <w:color w:val="000000"/>
          <w:sz w:val="20"/>
        </w:rPr>
        <w:t>This prospectus contains or incorporates by reference summaries of certain provisions contained in some of the documents described herein, but reference is made to the actual documents for complete information. All the summaries are qualified in their entirety by the actual documents. Copies of some of the documents referred to herein have been filed or have been incorporated by reference as exhibits to the registration statement of which this prospectus forms a part, and you may obtain copies of those documents as described in this prospectus under the heading “</w:t>
      </w:r>
      <w:r>
        <w:rPr>
          <w:rFonts w:ascii="Times New Roman" w:hAnsi="Times New Roman"/>
          <w:i/>
          <w:color w:val="000000"/>
          <w:sz w:val="20"/>
        </w:rPr>
        <w:t>Where You Can Find More Information</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20"/>
        </w:rPr>
        <w:t>On August 15, 2024 (the “</w:t>
      </w:r>
      <w:r>
        <w:rPr>
          <w:rFonts w:ascii="Times New Roman" w:hAnsi="Times New Roman"/>
          <w:b/>
          <w:i/>
          <w:color w:val="000000"/>
          <w:sz w:val="20"/>
        </w:rPr>
        <w:t>Closing Date</w:t>
      </w:r>
      <w:r>
        <w:rPr>
          <w:rFonts w:ascii="Times New Roman" w:hAnsi="Times New Roman"/>
          <w:color w:val="000000"/>
          <w:sz w:val="20"/>
        </w:rPr>
        <w:t>”) Armada Acquisition Corp. I, a Delaware corporation (“</w:t>
      </w:r>
      <w:r>
        <w:rPr>
          <w:rFonts w:ascii="Times New Roman" w:hAnsi="Times New Roman"/>
          <w:b/>
          <w:i/>
          <w:color w:val="000000"/>
          <w:sz w:val="20"/>
        </w:rPr>
        <w:t>Armada</w:t>
      </w:r>
      <w:r>
        <w:rPr>
          <w:rFonts w:ascii="Times New Roman" w:hAnsi="Times New Roman"/>
          <w:color w:val="000000"/>
          <w:sz w:val="20"/>
        </w:rPr>
        <w:t>”), Rezolve AI Limited, a private limited company registered under the laws of England and Wales with registration number 14573691 (the “</w:t>
      </w:r>
      <w:r>
        <w:rPr>
          <w:rFonts w:ascii="Times New Roman" w:hAnsi="Times New Roman"/>
          <w:b/>
          <w:i/>
          <w:color w:val="000000"/>
          <w:sz w:val="20"/>
        </w:rPr>
        <w:t>Company</w:t>
      </w:r>
      <w:r>
        <w:rPr>
          <w:rFonts w:ascii="Times New Roman" w:hAnsi="Times New Roman"/>
          <w:color w:val="000000"/>
          <w:sz w:val="20"/>
        </w:rPr>
        <w:t>” or “</w:t>
      </w:r>
      <w:r>
        <w:rPr>
          <w:rFonts w:ascii="Times New Roman" w:hAnsi="Times New Roman"/>
          <w:b/>
          <w:i/>
          <w:color w:val="000000"/>
          <w:sz w:val="20"/>
        </w:rPr>
        <w:t>Rezolve</w:t>
      </w:r>
      <w:r>
        <w:rPr>
          <w:rFonts w:ascii="Times New Roman" w:hAnsi="Times New Roman"/>
          <w:color w:val="000000"/>
          <w:sz w:val="20"/>
        </w:rPr>
        <w:t>”) and Rezolve Merger Sub, Inc., a Delaware corporation (“</w:t>
      </w:r>
      <w:r>
        <w:rPr>
          <w:rFonts w:ascii="Times New Roman" w:hAnsi="Times New Roman"/>
          <w:b/>
          <w:i/>
          <w:color w:val="000000"/>
          <w:sz w:val="20"/>
        </w:rPr>
        <w:t>Rezolve Merger Sub</w:t>
      </w:r>
      <w:r>
        <w:rPr>
          <w:rFonts w:ascii="Times New Roman" w:hAnsi="Times New Roman"/>
          <w:color w:val="000000"/>
          <w:sz w:val="20"/>
        </w:rPr>
        <w:t>”), consummated the business combination pursuant to the terms of the Business Combination Agreement, dated as of December 17, 2021 (as amended or supplemented from time to time, the “</w:t>
      </w:r>
      <w:r>
        <w:rPr>
          <w:rFonts w:ascii="Times New Roman" w:hAnsi="Times New Roman"/>
          <w:b/>
          <w:i/>
          <w:color w:val="000000"/>
          <w:sz w:val="20"/>
        </w:rPr>
        <w:t>Business Combination Agreement</w:t>
      </w:r>
      <w:r>
        <w:rPr>
          <w:rFonts w:ascii="Times New Roman" w:hAnsi="Times New Roman"/>
          <w:color w:val="000000"/>
          <w:sz w:val="20"/>
        </w:rPr>
        <w:t>”), pursuant to which, among other things, (i) on July 4, 2024, Rezolve Limited, a private limited company organized under the laws of England and Wales ("</w:t>
      </w:r>
      <w:r>
        <w:rPr>
          <w:rFonts w:ascii="Times New Roman" w:hAnsi="Times New Roman"/>
          <w:b/>
          <w:i/>
          <w:color w:val="000000"/>
          <w:sz w:val="20"/>
        </w:rPr>
        <w:t>Rezolve Limited</w:t>
      </w:r>
      <w:r>
        <w:rPr>
          <w:rFonts w:ascii="Times New Roman" w:hAnsi="Times New Roman"/>
          <w:color w:val="000000"/>
          <w:sz w:val="20"/>
        </w:rPr>
        <w:t>") effected a pre-Closing demerger (the “</w:t>
      </w:r>
      <w:r>
        <w:rPr>
          <w:rFonts w:ascii="Times New Roman" w:hAnsi="Times New Roman"/>
          <w:b/>
          <w:i/>
          <w:color w:val="000000"/>
          <w:sz w:val="20"/>
        </w:rPr>
        <w:t>Pre-Closing Demerger</w:t>
      </w:r>
      <w:r>
        <w:rPr>
          <w:rFonts w:ascii="Times New Roman" w:hAnsi="Times New Roman"/>
          <w:color w:val="000000"/>
          <w:sz w:val="20"/>
        </w:rPr>
        <w:t>”)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 (ii) on the Closing Date, the Company effected a company reorganization whereby the Company’s series A shares were reclassified as Ordinary Shares and (iii) on the Closing Date,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Upon the closing of the Business Combination, the Company became the direct parent of Armada.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directors of the Company have taken all reasonable care to ensure that the facts stated in this prospectus are true and accurate in all material respects, and that there are no other facts the omission of which would make misleading any statement in the document, whether of facts or of opinion. The directors accept responsibility accordingly.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the context indicates otherwise, references to the “Company,” “Rezolve,” “we,” “us” and “our”, prior to the Pre-Closing Demerger, refer to Rezolve Limited and after the Pre-Closing Demerger, Rezolve AI plc (formerly Rezolve AI Limited), including its subsidiaries.</w:t>
      </w:r>
    </w:p>
    <w:p>
      <w:pPr>
        <w:pStyle w:val="TextBody"/>
        <w:bidi w:val="0"/>
        <w:spacing w:before="120" w:after="283"/>
        <w:jc w:val="left"/>
        <w:rPr/>
      </w:pPr>
      <w:r>
        <w:rPr/>
        <w:t> </w:t>
      </w:r>
    </w:p>
    <w:p>
      <w:pPr>
        <w:pStyle w:val="TextBody"/>
        <w:bidi w:val="0"/>
        <w:jc w:val="center"/>
        <w:rPr>
          <w:rFonts w:ascii="Times New Roman" w:hAnsi="Times New Roman"/>
          <w:b/>
          <w:caps/>
          <w:color w:val="000000"/>
          <w:sz w:val="20"/>
        </w:rPr>
      </w:pPr>
      <w:bookmarkStart w:id="3" w:name="trademarks"/>
      <w:bookmarkEnd w:id="3"/>
      <w:r>
        <w:rPr>
          <w:rFonts w:ascii="Times New Roman" w:hAnsi="Times New Roman"/>
          <w:b/>
          <w:caps/>
          <w:color w:val="000000"/>
          <w:sz w:val="20"/>
        </w:rPr>
        <w:t>TRADEMARKS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document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pStyle w:val="TextBody"/>
        <w:bidi w:val="0"/>
        <w:spacing w:before="200" w:after="283"/>
        <w:jc w:val="center"/>
        <w:rPr>
          <w:rFonts w:ascii="Times New Roman" w:hAnsi="Times New Roman"/>
          <w:b/>
          <w:caps/>
          <w:color w:val="000000"/>
          <w:sz w:val="20"/>
        </w:rPr>
      </w:pPr>
      <w:r>
        <w:rPr>
          <w:rFonts w:ascii="Times New Roman" w:hAnsi="Times New Roman"/>
          <w:b/>
          <w:caps/>
          <w:color w:val="000000"/>
          <w:sz w:val="20"/>
        </w:rPr>
        <w:t>Market and Industry Data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prospectus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and estimates.</w:t>
      </w:r>
    </w:p>
    <w:p>
      <w:pPr>
        <w:pStyle w:val="TextBody"/>
        <w:bidi w:val="0"/>
        <w:spacing w:before="120" w:after="283"/>
        <w:jc w:val="center"/>
        <w:rPr/>
      </w:pPr>
      <w:r>
        <w:rPr/>
        <w:t> </w:t>
      </w:r>
    </w:p>
    <w:p>
      <w:pPr>
        <w:pStyle w:val="TextBody"/>
        <w:pBdr>
          <w:bottom w:val="single" w:sz="8" w:space="1" w:color="808080"/>
        </w:pBdr>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4" w:name="selected_definitions"/>
      <w:bookmarkEnd w:id="4"/>
      <w:r>
        <w:rPr>
          <w:rFonts w:ascii="Times New Roman" w:hAnsi="Times New Roman"/>
          <w:b/>
          <w:caps/>
          <w:color w:val="000000"/>
          <w:sz w:val="20"/>
        </w:rPr>
        <w:t>SELECTED DEFINITIONS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Terms defined in the body of this document shall have the meanings attributed to them therein and in addition the following terms shall have the following meanings:</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Armada</w:t>
      </w:r>
      <w:r>
        <w:rPr>
          <w:rFonts w:ascii="Times New Roman" w:hAnsi="Times New Roman"/>
          <w:color w:val="000000"/>
          <w:sz w:val="20"/>
        </w:rPr>
        <w:t xml:space="preserve">” means Armada Acquisition Corp. I, a Delaware corporation; </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Armada Common Stock</w:t>
      </w:r>
      <w:r>
        <w:rPr>
          <w:rFonts w:ascii="Times New Roman" w:hAnsi="Times New Roman"/>
          <w:color w:val="000000"/>
          <w:sz w:val="20"/>
        </w:rPr>
        <w:t>” means, prior to the Business Combination, an issued and outstanding share of common stock of Armada;</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Armada Unit</w:t>
      </w:r>
      <w:r>
        <w:rPr>
          <w:rFonts w:ascii="Times New Roman" w:hAnsi="Times New Roman"/>
          <w:color w:val="000000"/>
          <w:sz w:val="20"/>
        </w:rPr>
        <w:t>” means, prior to the Business Combination, an issued and outstanding unit of Armada;</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Armada Warran</w:t>
      </w:r>
      <w:r>
        <w:rPr>
          <w:rFonts w:ascii="Times New Roman" w:hAnsi="Times New Roman"/>
          <w:color w:val="000000"/>
          <w:sz w:val="20"/>
        </w:rPr>
        <w:t>t” means, prior to the Business Combination, an issued and outstanding warrant of Armada;</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Articles</w:t>
      </w:r>
      <w:r>
        <w:rPr>
          <w:rFonts w:ascii="Times New Roman" w:hAnsi="Times New Roman"/>
          <w:color w:val="000000"/>
          <w:sz w:val="20"/>
        </w:rPr>
        <w:t xml:space="preserve">” means Rezolve’s articles of association; </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Business Combination Agreement</w:t>
      </w:r>
      <w:r>
        <w:rPr>
          <w:rFonts w:ascii="Times New Roman" w:hAnsi="Times New Roman"/>
          <w:color w:val="000000"/>
          <w:sz w:val="20"/>
        </w:rPr>
        <w:t xml:space="preserve">” means the business combination agreement dated as of December 17, 2021, as amended on November 10, 2022 and as further amended and restated on June 16, 2023, as amended on August 4, 2023, and as may be amended from time to time, by and among Armada, Rezolve Limited, Rezolve and Rezolve Merger Sub; </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Channels</w:t>
      </w:r>
      <w:r>
        <w:rPr>
          <w:rFonts w:ascii="Times New Roman" w:hAnsi="Times New Roman"/>
          <w:color w:val="000000"/>
          <w:sz w:val="20"/>
        </w:rPr>
        <w:t>” means the Rezolve’s distribution partners who distribute Rezolve’s offerings and services;</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Closing</w:t>
      </w:r>
      <w:r>
        <w:rPr>
          <w:rFonts w:ascii="Times New Roman" w:hAnsi="Times New Roman"/>
          <w:color w:val="000000"/>
          <w:sz w:val="20"/>
        </w:rPr>
        <w:t xml:space="preserve">” has the meaning given to it in the Business Combination Agreement; </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Closing Date</w:t>
      </w:r>
      <w:r>
        <w:rPr>
          <w:rFonts w:ascii="Times New Roman" w:hAnsi="Times New Roman"/>
          <w:color w:val="000000"/>
          <w:sz w:val="20"/>
        </w:rPr>
        <w:t>” has the meaning given to it in the Business Combination Agreement;;</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Convertible Notes</w:t>
      </w:r>
      <w:r>
        <w:rPr>
          <w:rFonts w:ascii="Times New Roman" w:hAnsi="Times New Roman"/>
          <w:color w:val="000000"/>
          <w:sz w:val="20"/>
        </w:rPr>
        <w:t>” means the convertible loan notes issued on the terms of the Loan Note Instrument;</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Founder Shares</w:t>
      </w:r>
      <w:r>
        <w:rPr>
          <w:rFonts w:ascii="Times New Roman" w:hAnsi="Times New Roman"/>
          <w:color w:val="000000"/>
          <w:sz w:val="20"/>
        </w:rPr>
        <w:t>” means, collectively, the shares of Armada Common Stock held by the Sponsor, the chief executive officer of Armada, the president of Armada and independent directors of Armada;</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GeoZone</w:t>
      </w:r>
      <w:r>
        <w:rPr>
          <w:rFonts w:ascii="Times New Roman" w:hAnsi="Times New Roman"/>
          <w:color w:val="000000"/>
          <w:sz w:val="20"/>
        </w:rPr>
        <w:t>” means a location-based marketing tool which is a feature of Rezolve’s platform;</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Investor Rights Agreement</w:t>
      </w:r>
      <w:r>
        <w:rPr>
          <w:rFonts w:ascii="Times New Roman" w:hAnsi="Times New Roman"/>
          <w:color w:val="000000"/>
          <w:sz w:val="20"/>
        </w:rPr>
        <w:t>” means the amended form investor rights agreements entered into by Rezolve, Armada, the Sponsor and certain stockholders of Rezolve;</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JVB Note</w:t>
      </w:r>
      <w:r>
        <w:rPr>
          <w:rFonts w:ascii="Times New Roman" w:hAnsi="Times New Roman"/>
          <w:color w:val="000000"/>
          <w:sz w:val="20"/>
        </w:rPr>
        <w:t>” means the convertible note issued by Rezolve to J.V.B. Financial Group, LLC, a registered broker-dealer,on August 14, 2024.</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Loan Note Instrument</w:t>
      </w:r>
      <w:r>
        <w:rPr>
          <w:rFonts w:ascii="Times New Roman" w:hAnsi="Times New Roman"/>
          <w:color w:val="000000"/>
          <w:sz w:val="20"/>
        </w:rPr>
        <w:t>” means the secured convertible loan note instrument dated December 16, 2021, as amended and restated on November 21, 2022 and May 23, 2023 and further amended on and on December 18, 2023, December 29, 2023 and January 26, 2024, to which Rezolve is party;</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Major Investor</w:t>
      </w:r>
      <w:r>
        <w:rPr>
          <w:rFonts w:ascii="Times New Roman" w:hAnsi="Times New Roman"/>
          <w:color w:val="000000"/>
          <w:sz w:val="20"/>
        </w:rPr>
        <w:t>” has the meaning given to it in the Loan Note Instrument.</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Nasdaq</w:t>
      </w:r>
      <w:r>
        <w:rPr>
          <w:rFonts w:ascii="Times New Roman" w:hAnsi="Times New Roman"/>
          <w:color w:val="000000"/>
          <w:sz w:val="20"/>
        </w:rPr>
        <w:t>” means The Nasdaq Stock Market LLC;</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Noteholder Majority</w:t>
      </w:r>
      <w:r>
        <w:rPr>
          <w:rFonts w:ascii="Times New Roman" w:hAnsi="Times New Roman"/>
          <w:color w:val="000000"/>
          <w:sz w:val="20"/>
        </w:rPr>
        <w:t xml:space="preserve">” means the prior consent of holders of more than two-thirds of the aggregate principal amount of the Convertible Notes outstanding from time to time; </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Offering Warrants</w:t>
      </w:r>
      <w:r>
        <w:rPr>
          <w:rFonts w:ascii="Times New Roman" w:hAnsi="Times New Roman"/>
          <w:color w:val="000000"/>
          <w:sz w:val="20"/>
        </w:rPr>
        <w:t>” means the warrants to purchase one Ordinary Share per warrants to be issued pursuant to this offering.</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Ordinary Shares</w:t>
      </w:r>
      <w:r>
        <w:rPr>
          <w:rFonts w:ascii="Times New Roman" w:hAnsi="Times New Roman"/>
          <w:color w:val="000000"/>
          <w:sz w:val="20"/>
        </w:rPr>
        <w:t>” means the ordinary shares of Rezolve, par value £0.0001;</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Placement Agent</w:t>
      </w:r>
      <w:r>
        <w:rPr>
          <w:rFonts w:ascii="Times New Roman" w:hAnsi="Times New Roman"/>
          <w:color w:val="000000"/>
          <w:sz w:val="20"/>
        </w:rPr>
        <w:t>” means H.C. Wainwright &amp; Co., LLC.</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Pre-Closing Demerger</w:t>
      </w:r>
      <w:r>
        <w:rPr>
          <w:rFonts w:ascii="Times New Roman" w:hAnsi="Times New Roman"/>
          <w:color w:val="000000"/>
          <w:sz w:val="20"/>
        </w:rPr>
        <w:t xml:space="preserve">” means the demerger effected pursuant to UK legislation under which (x) part of Rezolve Limited’s business and assets (being all of its business and assets except for certain shares in Rezolve Information Technology (Shanghai) Co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Private Warrants</w:t>
      </w:r>
      <w:r>
        <w:rPr>
          <w:rFonts w:ascii="Times New Roman" w:hAnsi="Times New Roman"/>
          <w:color w:val="000000"/>
          <w:sz w:val="20"/>
        </w:rPr>
        <w:t>” means the 569,982 private warrants issued by Rezolve in a private placement to purchase one Ordinary Share per private warrant.</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Public Warrants</w:t>
      </w:r>
      <w:r>
        <w:rPr>
          <w:rFonts w:ascii="Times New Roman" w:hAnsi="Times New Roman"/>
          <w:color w:val="000000"/>
          <w:sz w:val="20"/>
        </w:rPr>
        <w:t>” means the 7,499,994 issued and outstanding public warrants to purchase one Ordinary Share per public warrant.</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Registerable Securities</w:t>
      </w:r>
      <w:r>
        <w:rPr>
          <w:rFonts w:ascii="Times New Roman" w:hAnsi="Times New Roman"/>
          <w:color w:val="000000"/>
          <w:sz w:val="20"/>
        </w:rPr>
        <w:t>” has the meaning given to it in the Investor Rights Agreement.</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Rezolve</w:t>
      </w:r>
      <w:r>
        <w:rPr>
          <w:rFonts w:ascii="Times New Roman" w:hAnsi="Times New Roman"/>
          <w:color w:val="000000"/>
          <w:sz w:val="20"/>
        </w:rPr>
        <w:t>” and the “</w:t>
      </w:r>
      <w:r>
        <w:rPr>
          <w:rFonts w:ascii="Times New Roman" w:hAnsi="Times New Roman"/>
          <w:b/>
          <w:i/>
          <w:color w:val="000000"/>
          <w:sz w:val="20"/>
        </w:rPr>
        <w:t>Company</w:t>
      </w:r>
      <w:r>
        <w:rPr>
          <w:rFonts w:ascii="Times New Roman" w:hAnsi="Times New Roman"/>
          <w:color w:val="000000"/>
          <w:sz w:val="20"/>
        </w:rPr>
        <w:t>” means Rezolve AI Limited, a private limited liability company registered under the laws of England and Wales with registration number 14573691 and, following its re-registration as a public limited company, Rezolve AI plc;</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Rezolve Founder</w:t>
      </w:r>
      <w:r>
        <w:rPr>
          <w:rFonts w:ascii="Times New Roman" w:hAnsi="Times New Roman"/>
          <w:color w:val="000000"/>
          <w:sz w:val="20"/>
        </w:rPr>
        <w:t>” means Daniel Wagner;</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Rezolve Incentive Equity Plan</w:t>
      </w:r>
      <w:r>
        <w:rPr>
          <w:rFonts w:ascii="Times New Roman" w:hAnsi="Times New Roman"/>
          <w:color w:val="000000"/>
          <w:sz w:val="20"/>
        </w:rPr>
        <w:t xml:space="preserve">” means the incentive equity plan adopted by Rezolve; </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Rezolve Limited</w:t>
      </w:r>
      <w:r>
        <w:rPr>
          <w:rFonts w:ascii="Times New Roman" w:hAnsi="Times New Roman"/>
          <w:color w:val="000000"/>
          <w:sz w:val="20"/>
        </w:rPr>
        <w:t xml:space="preserve">” means Rezolve Limited, a private limited company organized under the laws of England and Wales; </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Rezolve Merger Sub</w:t>
      </w:r>
      <w:r>
        <w:rPr>
          <w:rFonts w:ascii="Times New Roman" w:hAnsi="Times New Roman"/>
          <w:color w:val="000000"/>
          <w:sz w:val="20"/>
        </w:rPr>
        <w:t>” means Rezolve Merger Sub, Inc., a Delaware corporation;</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Rezolve Options</w:t>
      </w:r>
      <w:r>
        <w:rPr>
          <w:rFonts w:ascii="Times New Roman" w:hAnsi="Times New Roman"/>
          <w:color w:val="000000"/>
          <w:sz w:val="20"/>
        </w:rPr>
        <w:t>” means options to subscribe for Ordinary Shares;</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Rezolve Shareholder</w:t>
      </w:r>
      <w:r>
        <w:rPr>
          <w:rFonts w:ascii="Times New Roman" w:hAnsi="Times New Roman"/>
          <w:color w:val="000000"/>
          <w:sz w:val="20"/>
        </w:rPr>
        <w:t>” means a holder of shares of stock in the capital of Rezolve;</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Private Warrant</w:t>
      </w:r>
      <w:r>
        <w:rPr>
          <w:rFonts w:ascii="Times New Roman" w:hAnsi="Times New Roman"/>
          <w:color w:val="000000"/>
          <w:sz w:val="20"/>
        </w:rPr>
        <w:t>” means a private warrant to purchase one Ordinary Share;</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Public Warrant</w:t>
      </w:r>
      <w:r>
        <w:rPr>
          <w:rFonts w:ascii="Times New Roman" w:hAnsi="Times New Roman"/>
          <w:color w:val="000000"/>
          <w:sz w:val="20"/>
        </w:rPr>
        <w:t>” means a public warrant to purchase one Ordinary Share</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Selling Holders</w:t>
      </w:r>
      <w:r>
        <w:rPr>
          <w:rFonts w:ascii="Times New Roman" w:hAnsi="Times New Roman"/>
          <w:color w:val="000000"/>
          <w:sz w:val="20"/>
        </w:rPr>
        <w:t>” means the selling security holders named in this Registration Statement on Form F-1;</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SMBs</w:t>
      </w:r>
      <w:r>
        <w:rPr>
          <w:rFonts w:ascii="Times New Roman" w:hAnsi="Times New Roman"/>
          <w:color w:val="000000"/>
          <w:sz w:val="20"/>
        </w:rPr>
        <w:t>” means small and medium-sized businesses;</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Sponsor</w:t>
      </w:r>
      <w:r>
        <w:rPr>
          <w:rFonts w:ascii="Times New Roman" w:hAnsi="Times New Roman"/>
          <w:color w:val="000000"/>
          <w:sz w:val="20"/>
        </w:rPr>
        <w:t>” means Armada Sponsor LLC;</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UK</w:t>
      </w:r>
      <w:r>
        <w:rPr>
          <w:rFonts w:ascii="Times New Roman" w:hAnsi="Times New Roman"/>
          <w:color w:val="000000"/>
          <w:sz w:val="20"/>
        </w:rPr>
        <w:t>” means the United Kingdom;</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UK Companies Act</w:t>
      </w:r>
      <w:r>
        <w:rPr>
          <w:rFonts w:ascii="Times New Roman" w:hAnsi="Times New Roman"/>
          <w:color w:val="000000"/>
          <w:sz w:val="20"/>
        </w:rPr>
        <w:t>” means the UK Companies Act 2006 (as amended from time to time);</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U.S.</w:t>
      </w:r>
      <w:r>
        <w:rPr>
          <w:rFonts w:ascii="Times New Roman" w:hAnsi="Times New Roman"/>
          <w:color w:val="000000"/>
          <w:sz w:val="20"/>
        </w:rPr>
        <w:t>” refers to the United States of America;</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USD</w:t>
      </w:r>
      <w:r>
        <w:rPr>
          <w:rFonts w:ascii="Times New Roman" w:hAnsi="Times New Roman"/>
          <w:color w:val="000000"/>
          <w:sz w:val="20"/>
        </w:rPr>
        <w:t>” refers to the U.S. Dollar; and</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Warrant</w:t>
      </w:r>
      <w:r>
        <w:rPr>
          <w:rFonts w:ascii="Times New Roman" w:hAnsi="Times New Roman"/>
          <w:color w:val="000000"/>
          <w:sz w:val="20"/>
        </w:rPr>
        <w:t>” mean, collectively, the Private Warrants and the Public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otherwise stated in this prospectus or the context otherwise requires, all references in this prospectus to the Warrants include such Ordinary Shares underlying the Warrants.</w:t>
      </w:r>
    </w:p>
    <w:p>
      <w:pPr>
        <w:pStyle w:val="TextBody"/>
        <w:bidi w:val="0"/>
        <w:spacing w:before="120" w:after="283"/>
        <w:jc w:val="center"/>
        <w:rPr/>
      </w:pPr>
      <w:r>
        <w:rPr/>
        <w:t> </w:t>
      </w:r>
    </w:p>
    <w:p>
      <w:pPr>
        <w:pStyle w:val="TextBody"/>
        <w:pBdr>
          <w:bottom w:val="single" w:sz="8" w:space="1" w:color="808080"/>
        </w:pBdr>
        <w:bidi w:val="0"/>
        <w:jc w:val="left"/>
        <w:rPr/>
      </w:pPr>
      <w:r>
        <w:rPr/>
        <w:t> </w:t>
      </w:r>
    </w:p>
    <w:p>
      <w:pPr>
        <w:pStyle w:val="TextBody"/>
        <w:bidi w:val="0"/>
        <w:jc w:val="left"/>
        <w:rPr/>
      </w:pPr>
      <w:r>
        <w:rPr/>
        <w:t> </w:t>
      </w:r>
    </w:p>
    <w:p>
      <w:pPr>
        <w:pStyle w:val="TextBody"/>
        <w:bidi w:val="0"/>
        <w:jc w:val="center"/>
        <w:rPr>
          <w:rFonts w:ascii="Times New Roman" w:hAnsi="Times New Roman"/>
          <w:b/>
          <w:caps/>
          <w:color w:val="000000"/>
          <w:sz w:val="20"/>
        </w:rPr>
      </w:pPr>
      <w:bookmarkStart w:id="5" w:name="cautionary_note_regarding_forward"/>
      <w:bookmarkEnd w:id="5"/>
      <w:r>
        <w:rPr>
          <w:rFonts w:ascii="Times New Roman" w:hAnsi="Times New Roman"/>
          <w:b/>
          <w:caps/>
          <w:color w:val="000000"/>
          <w:sz w:val="20"/>
        </w:rPr>
        <w:t>CAUTIONARY NOTE REGARDING FORWARD-LOOKING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believe that certain of the information in this prospectus constitutes forward-looking statements. You can identify these statements by forward-looking words such as “may,” “might,” “could,” “will,” “would,” “should,” “expect,” “possible,” “potential,”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color w:val="000000"/>
        </w:rPr>
      </w:pPr>
      <w:r>
        <w:rPr>
          <w:color w:val="000000"/>
        </w:rPr>
        <w:t>“</w:t>
      </w:r>
      <w:r>
        <w:rPr>
          <w:rFonts w:ascii="Times New Roman" w:hAnsi="Times New Roman"/>
          <w:color w:val="000000"/>
          <w:sz w:val="20"/>
        </w:rPr>
        <w:t>anticipate,” “contemplate,” “believe,” “estimate,” “plan,” “predict,” “project,” “intends,” and “continue” or similar words. You should read statements that contain these words carefully because they: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discuss future expectations;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contain projections of future results of operations or financial condition; or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state other “forward-looking” information.</w:t>
      </w:r>
    </w:p>
    <w:p>
      <w:pPr>
        <w:pStyle w:val="TextBody"/>
        <w:bidi w:val="0"/>
        <w:spacing w:before="240" w:after="283"/>
        <w:jc w:val="left"/>
        <w:rPr>
          <w:rFonts w:ascii="Times New Roman" w:hAnsi="Times New Roman"/>
          <w:sz w:val="20"/>
        </w:rPr>
      </w:pPr>
      <w:r>
        <w:rPr>
          <w:rFonts w:ascii="Times New Roman" w:hAnsi="Times New Roman"/>
          <w:color w:val="000000"/>
          <w:sz w:val="20"/>
        </w:rPr>
        <w:t>We believe it is important to communicate our expectations to our security holders. However, there may be events in the future that we are not able to predict accurately or over which we have no control. The risk factors and cautionary language discussed in this prospectus, including in the section titled “</w:t>
      </w:r>
      <w:r>
        <w:rPr>
          <w:rFonts w:ascii="Times New Roman" w:hAnsi="Times New Roman"/>
          <w:i/>
          <w:color w:val="000000"/>
          <w:sz w:val="20"/>
        </w:rPr>
        <w:t>Risk Factors,</w:t>
      </w:r>
      <w:r>
        <w:rPr>
          <w:rFonts w:ascii="Times New Roman" w:hAnsi="Times New Roman"/>
          <w:color w:val="000000"/>
          <w:sz w:val="20"/>
        </w:rPr>
        <w:t>” provide examples of risks, uncertainties and events that may cause actual results to differ materially from the expectations we described in such forward-looking statements, including among other things: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recognize the anticipated benefits of the transactions with Armada;</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continue to meet Nasdaq’s listing standards;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changes adversely affecting our business;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effect of the COVID-19 pandemic on our business;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outcome of any legal proceedings that may be instituted against us following the consummation of the Business Combination and the transactions contemplated thereby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general economic conditions;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the effect of the conflict in Ukraine or other hostilities;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changes in applicable law or regulations;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business strategy and plans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result of future financing efforts; and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color w:val="000000"/>
          <w:sz w:val="20"/>
        </w:rPr>
        <w:t xml:space="preserve">other factors detailed in the section entitled </w:t>
      </w:r>
      <w:r>
        <w:rPr>
          <w:color w:val="000000"/>
        </w:rPr>
        <w:t>“</w:t>
      </w:r>
      <w:r>
        <w:rPr>
          <w:rFonts w:ascii="Times New Roman" w:hAnsi="Times New Roman"/>
          <w:i/>
          <w:color w:val="000000"/>
          <w:sz w:val="20"/>
        </w:rPr>
        <w:t>Risk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are cautioned not to place undue reliance on these forward-looking statements, which speak only as of the date of this prospectus.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forward-looking statements included herein are expressly qualified in their entirety by the cautionary statements contained or referred to in this section. Except to the extent required by applicable laws and regulations, Rezolve undertakes no obligations to update these forward-looking statements to reflect events or circumstances after the date of this prospectus or to reflect the occurrence of unanticipated events.</w:t>
      </w:r>
    </w:p>
    <w:p>
      <w:pPr>
        <w:pStyle w:val="TextBody"/>
        <w:bidi w:val="0"/>
        <w:spacing w:before="240" w:after="283"/>
        <w:jc w:val="left"/>
        <w:rPr>
          <w:rFonts w:ascii="Times New Roman" w:hAnsi="Times New Roman"/>
          <w:sz w:val="20"/>
        </w:rPr>
      </w:pPr>
      <w:r>
        <w:rPr>
          <w:rFonts w:ascii="Times New Roman" w:hAnsi="Times New Roman"/>
          <w:color w:val="000000"/>
          <w:sz w:val="20"/>
        </w:rPr>
        <w:t>The forward-looking statements contained in this prospectus and in any document incorporated by reference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hAnsi="Times New Roman"/>
          <w:i/>
          <w:color w:val="000000"/>
          <w:sz w:val="20"/>
        </w:rPr>
        <w:t>Risk Factors”</w:t>
      </w:r>
      <w:r>
        <w:rPr>
          <w:rFonts w:ascii="Times New Roman" w:hAnsi="Times New Roman"/>
          <w:color w:val="000000"/>
          <w:sz w:val="20"/>
        </w:rPr>
        <w:t xml:space="preserve"> beginning on page 12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w:t>
      </w:r>
    </w:p>
    <w:p>
      <w:pPr>
        <w:pStyle w:val="TextBody"/>
        <w:bidi w:val="0"/>
        <w:spacing w:before="240" w:after="283"/>
        <w:jc w:val="left"/>
        <w:rPr>
          <w:rFonts w:ascii="Times New Roman" w:hAnsi="Times New Roman"/>
          <w:sz w:val="20"/>
        </w:rPr>
      </w:pPr>
      <w:r>
        <w:rPr>
          <w:rFonts w:ascii="Times New Roman" w:hAnsi="Times New Roman"/>
          <w:color w:val="000000"/>
          <w:sz w:val="20"/>
        </w:rPr>
        <w:t>For additional information, please see the section of this prospectus titled “</w:t>
      </w:r>
      <w:r>
        <w:rPr>
          <w:rFonts w:ascii="Times New Roman" w:hAnsi="Times New Roman"/>
          <w:i/>
          <w:color w:val="000000"/>
          <w:sz w:val="20"/>
        </w:rPr>
        <w:t>Where You Can Find More Information</w:t>
      </w:r>
      <w:r>
        <w:rPr>
          <w:rFonts w:ascii="Times New Roman" w:hAnsi="Times New Roman"/>
          <w:color w:val="000000"/>
          <w:sz w:val="20"/>
        </w:rPr>
        <w:t>.”</w:t>
      </w:r>
    </w:p>
    <w:p>
      <w:pPr>
        <w:pStyle w:val="TextBody"/>
        <w:bidi w:val="0"/>
        <w:spacing w:before="120" w:after="283"/>
        <w:jc w:val="center"/>
        <w:rPr/>
      </w:pPr>
      <w:r>
        <w:rPr/>
        <w:t> </w:t>
      </w:r>
    </w:p>
    <w:p>
      <w:pPr>
        <w:pStyle w:val="TextBody"/>
        <w:pBdr>
          <w:bottom w:val="single" w:sz="8" w:space="1" w:color="808080"/>
        </w:pBdr>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vi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6" w:name="prospectus_summary"/>
      <w:bookmarkEnd w:id="6"/>
      <w:r>
        <w:rPr>
          <w:rFonts w:ascii="Times New Roman" w:hAnsi="Times New Roman"/>
          <w:b/>
          <w:caps/>
          <w:color w:val="000000"/>
          <w:sz w:val="20"/>
        </w:rPr>
        <w:t>PROSPECTUS SUMMARY</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This </w:t>
      </w:r>
      <w:r>
        <w:rPr>
          <w:rFonts w:ascii="Times New Roman" w:hAnsi="Times New Roman"/>
          <w:i/>
          <w:color w:val="000000"/>
          <w:sz w:val="20"/>
        </w:rPr>
        <w:t>summary highlights, and is qualified in its entirety by, the more detailed information and financial statements included elsewhere in this prospectus. This summary does not contain all of the information that may be important to you in making your investment decision. You should read this entire prospectus carefully, including our financial statements and the related notes included in this prospectus and the information set forth under the headings “Risk Factors,” and “Management’s Discussion and Analysis of Financial Condition and Results of Operations,” before deciding to invest in our securities.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Rezolve</w:t>
      </w:r>
    </w:p>
    <w:p>
      <w:pPr>
        <w:pStyle w:val="TextBody"/>
        <w:bidi w:val="0"/>
        <w:spacing w:before="120" w:after="283"/>
        <w:jc w:val="left"/>
        <w:rPr>
          <w:rFonts w:ascii="Times New Roman" w:hAnsi="Times New Roman"/>
          <w:sz w:val="20"/>
        </w:rPr>
      </w:pPr>
      <w:r>
        <w:rPr>
          <w:rFonts w:ascii="Times New Roman" w:hAnsi="Times New Roman"/>
          <w:color w:val="000000"/>
          <w:sz w:val="20"/>
        </w:rPr>
        <w:t>We are recognized</w:t>
      </w:r>
      <w:r>
        <w:rPr>
          <w:rFonts w:ascii="Times New Roman" w:hAnsi="Times New Roman"/>
          <w:color w:val="000000"/>
          <w:sz w:val="13"/>
        </w:rPr>
        <w:t>1</w:t>
      </w:r>
      <w:r>
        <w:rPr>
          <w:rFonts w:ascii="Times New Roman" w:hAnsi="Times New Roman"/>
          <w:color w:val="000000"/>
          <w:sz w:val="20"/>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pStyle w:val="TextBody"/>
        <w:bidi w:val="0"/>
        <w:spacing w:before="240" w:after="283"/>
        <w:jc w:val="left"/>
        <w:rPr>
          <w:rFonts w:ascii="Times New Roman" w:hAnsi="Times New Roman"/>
          <w:sz w:val="20"/>
        </w:rPr>
      </w:pPr>
      <w:r>
        <w:rPr>
          <w:rFonts w:ascii="Times New Roman" w:hAnsi="Times New Roman"/>
          <w:color w:val="000000"/>
          <w:sz w:val="20"/>
        </w:rPr>
        <w:t>We expect to commercialize the Rezolve platform in quarter 2 of 2025, initially in Europe and the USA. Revenues from braincommerce are also forecast to begin in Q2 2025, increasing significantly in Q3 and Q4 2025. We also expect to generate revenues in Q4 2025 in South America and the Asia. We expect revenues to increase in 2026 through our signed partner agreements with Microsoft, Google and others. For additional information regarding the partner agreements see “</w:t>
      </w:r>
      <w:r>
        <w:rPr>
          <w:rFonts w:ascii="Times New Roman" w:hAnsi="Times New Roman"/>
          <w:i/>
          <w:color w:val="000000"/>
          <w:sz w:val="20"/>
        </w:rPr>
        <w:t>Business of Rezolve-Partner Agreements</w:t>
      </w:r>
      <w:r>
        <w:rPr>
          <w:rFonts w:ascii="Times New Roman" w:hAnsi="Times New Roman"/>
          <w:color w:val="000000"/>
          <w:sz w:val="20"/>
        </w:rPr>
        <w:t>”</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 (the “Company” or “Rezolve”).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The mailing address of Rezolve AI plc’s registered office is 21 Sackville Street, London, W1S 3DN, United Kingdom, +44 204 625 9700 and its principal executive office is 21 Sackville Street, London, W1S 3DN, United Kingdom.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Business Combination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the Closing Date, we consummated the previously announced Business Combination with Armada.</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On July 4, 2024, prior to the Closing Date, Rezolve Limited effected the Pre-Closing Demerger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Please see Rezolve Press Release dated July 25, 2023, available at https://www.rezolve.com/investors/britains- brain-heralds-new-era-of-commerce-enabled-ai/</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Pursuant to the terms of the Business Combination Agreement, on the Closing Date (i) the Company effected a company reorganization whereby the Company’s series A shares were reclassified as Ordinary Shares and (ii)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The foregoing description of the Business Combination does not purport to be complete and is qualified in its entirety by the full text of the Business Combination Agreement, which is incorporated by reference hereto as Exhibit 2.1.</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In connection with the closing of the Business Combination, holders of an aggregate of 1,300,391 shares of Armada Common Stock exercised their right to redeem such shares for a pro rata portion of the funds in Armada’s Trust Account. Following redemptions and the payment of transaction expenses, Armada delivered an aggregate of approximately $14.8 million to the Company on the Closing Date.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 (the “Company” or “Rezolve”).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Ordinary Shares and Public Warrants are listed on Nasdaq under the symbols “RZLV” and “RZLVW,” respectively. The mailing address of the Company’s registered office is 21 Sackville Street, London, W1S 3DN, United Kingdom, +44 204 625 9700 and its principal executive office is 21 Sackville Street, London, W1S 3DN, United Kingdom. Our website address is </w:t>
      </w:r>
      <w:r>
        <w:rPr>
          <w:rFonts w:ascii="Times New Roman" w:hAnsi="Times New Roman"/>
          <w:i/>
          <w:color w:val="000000"/>
          <w:sz w:val="20"/>
        </w:rPr>
        <w:t>www.rezolve.com.</w:t>
      </w:r>
      <w:r>
        <w:rPr>
          <w:rFonts w:ascii="Times New Roman" w:hAnsi="Times New Roman"/>
          <w:color w:val="000000"/>
          <w:sz w:val="20"/>
        </w:rPr>
        <w:t xml:space="preserve"> Our website and the information contained on, or that can be accessed through, our website is not deemed to be incorporated by reference in, and is not considered part of, this prospectus.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Emerging Growth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remain an emerging growth company until the earlier of: (i) the last day of the fiscal year (a) following the fifth anniversary of the closing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 References herein to “emerging growth company” shall have the meaning associated with it in the JOBS Act.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Foreign Private Issuer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qualify as a “foreign private issuer” under U.S. securities laws. Even after we no longer qualify as an emerging growth company, as long as we qualify as a foreign private issuer under the Exchange Act, we will be exempt from compliance with certain laws and regulations of the Exchange Act including, but not limited to, those related to the solicitations of proxies, consents or authorizations, those related to the public reporting of insider stock ownership and trading activities, and those requiring the filing with the SEC of quarterly reports on Form 10-Q or current reports on Form 8-K.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take all actions necessary for us to maintain compliance as a foreign private issuer under the applicable corporate governance requirements of the Sarbanes-Oxley Act, the rules adopted by the SEC and the Nasdaq corporate governance rules and listing standards. Because we are a foreign private issuer, our officers, directors and principal shareholders are not subject to short-swing profit and insider trading reporting obligations under Section 16 of the Exchange Act. They will, however, be subject to the obligations to report changes in share ownership under Section 13 of the Exchange Act and related SEC rules.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utilize these exemptions until such time as we are longer a foreign private issuer. We would cease to be a foreign private issuer at such time as more than 50% of our outstanding voting securities are directly or indirectly held of record by U.S. holders and any one of the following is true: (i) the majority of our executive officers or directors are U.S. citizens or residents; (ii) more than 50% of our assets are located in the United States; or (iii) our business is administered principally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Because we are a foreign private issuer as defined by the SEC, under Nasdaq rules and regulations, we may comply with home</w:t>
        <w:br/>
        <w:t>country governance requirements and certain exemptions thereunder rather than complying with Nasdaq corporate governance</w:t>
        <w:br/>
        <w:t>standards. On December 18, 2024, we notified Nasdaq that we intend to follow our home country practice in lieu of following Nasdaq</w:t>
        <w:br/>
        <w:t>rule Rule 5635, which requires that a listed company obtain shareholder approval prior to an issuance of securities in connection with:</w:t>
        <w:br/>
        <w:t>(i) the acquisition of the stock or assets of another company; (ii) equity-based compensation of officers, directors, employees or</w:t>
        <w:br/>
        <w:t>consultants; (iii) a change of control; and (iv) private placements of common stock (or securities convertible into or exercisable for</w:t>
        <w:br/>
        <w:t>common stock) equal to 20% or more of the common stock or 20% or more of the voting power outstanding before the issuance for</w:t>
        <w:br/>
        <w:t>less than the greater of book or market value of the stock.</w:t>
      </w:r>
    </w:p>
    <w:p>
      <w:pPr>
        <w:pStyle w:val="TextBody"/>
        <w:bidi w:val="0"/>
        <w:jc w:val="left"/>
        <w:rPr>
          <w:rFonts w:ascii="Times New Roman" w:hAnsi="Times New Roman"/>
          <w:color w:val="000000"/>
          <w:sz w:val="20"/>
        </w:rPr>
      </w:pPr>
      <w:r>
        <w:rPr>
          <w:rFonts w:ascii="Times New Roman" w:hAnsi="Times New Roman"/>
          <w:color w:val="000000"/>
          <w:sz w:val="20"/>
        </w:rPr>
        <w:br/>
        <w:t>We submitted to Nasdaq a written statement by counsel of the United Kingdom certifying that the above noncompliant</w:t>
        <w:br/>
        <w:t>practices are not prohibited under the laws of the United Kingdom, the Company’s home jurisdiction.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 Factors</w:t>
      </w:r>
    </w:p>
    <w:p>
      <w:pPr>
        <w:pStyle w:val="TextBody"/>
        <w:bidi w:val="0"/>
        <w:spacing w:before="120" w:after="283"/>
        <w:jc w:val="left"/>
        <w:rPr>
          <w:rFonts w:ascii="Times New Roman" w:hAnsi="Times New Roman"/>
          <w:sz w:val="20"/>
        </w:rPr>
      </w:pPr>
      <w:r>
        <w:rPr>
          <w:rFonts w:ascii="Times New Roman" w:hAnsi="Times New Roman"/>
          <w:color w:val="000000"/>
          <w:sz w:val="20"/>
        </w:rPr>
        <w:t>You should consider carefully the risks and uncertainties described in this prospectus before investing in our securities. These risks are discussed more fully in the section titled “</w:t>
      </w:r>
      <w:r>
        <w:rPr>
          <w:rFonts w:ascii="Times New Roman" w:hAnsi="Times New Roman"/>
          <w:i/>
          <w:color w:val="000000"/>
          <w:sz w:val="20"/>
        </w:rPr>
        <w:t>Risk Factors”</w:t>
      </w:r>
      <w:r>
        <w:rPr>
          <w:rFonts w:ascii="Times New Roman" w:hAnsi="Times New Roman"/>
          <w:color w:val="000000"/>
          <w:sz w:val="20"/>
        </w:rPr>
        <w:t xml:space="preserve"> following this summary. If any of these risks actually occur, our business, financial condition or results of operations would likely be materially adversely affected. These risks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expects it will need additional financing in addition to the proceeds of this offering to execute our business plan and fund operations, which additional financing may not be available on reasonable terms,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offering price of our securities offered hereby is substantially higher than the net tangible book value per</w:t>
        <w:br/>
        <w:t>share of our outstanding Ordinary Shares following this offering, and new investors will experience immediate and substantial dilution.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will have broad discretion and flexibility in how the net proceeds from this offering are used, we may use the net proceeds in ways in which you disagree.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no public market for the Offering Warrants being offered by us in this offering.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has generated limited revenues from existing Channels and there is no guarantee that it will be able to attract and retain new merchants and increase sales to new merchants.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is an early-stage company with a history of financial losses and expects to incur significant expenses and continuing losses for the foreseeable future.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worldwide economic conditions, including the resulting effect on spending by small and medium-sized businesses (“SMBs”) and spending on technology, may adversely affect Rezolve’s business, operating results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Uneven economic growth or downturns or international trade and other global disruptions, geopolitical tensions, or disputes could adversely affect our business and operating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limited operating history in a new and developing market makes it difficult to evaluate its current business and future prospects and may increase the risk that it will not be successful.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growth depends in part on the success of its strategic relationships with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Non-performance under, termination, non-renewal or material modification of agreements with Rezolve’s business partners could have a material adverse effect on Rezolve’s business, financial condition and/or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business could be harmed if it fails to manage its growth effectively.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does not have the history with its solutions or pricing models necessary to accurately predict optimal pricing necessary to attract new merchants and retain existing merchants.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Rezolve’s business model, it may not be able to accurately assess its financial position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business is susceptible to risks associated with international sales and the use of its platform in various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Exchange rate fluctuations may negatively affect Rezolve’s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operating results are expected to be subject to seasonal fluctuations.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Rezolve fails to improve and enhance the functionality, performance, reliability, design, security and scalability of its platform in a manner that responds to merchants’ evolving needs, its business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may not be able to compete successfully against current and future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 transactions on Rezolve’s platform may be subject to regulatory requirements and other risks that could be costly and difficult to comply with or that could harm Rezolve’s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may need to raise additional funds to pursue its growth strategy or continue its operations, and Rezolve may be unable to raise capital when needed or on acceptable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effectively develop and expand Rezolve’s marketing, sales, customer service, and content management capabilities could harm its ability to increase Rezolve’s customer base and achieve broader market acceptance of Rezolve’s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availability of Rezolve’s platform does not meet its service-level commitments to customers, Rezolve’s current and future revenues may be negatively impacted.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does not intend to pay dividends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regional or global health pandemic, including the global COVID-19 pandemic, may adversely impact Rezolve’s business, results of operations and financial performance.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Rezolve is unable to hire, retain and motivate qualified personnel, its business will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is dependent on the continued services and performance of its senior management and other key employees, the loss of any of whom could adversely affect Rezolve’s business, operating results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expects to be dependent upon consumers’ and merchants’ willingness to use the internet and internet-enabled mobile devices for commerce.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Rezolve’s software or platform contains serious errors or defects, Rezolve may lose revenues and market acceptance and may incur costs to defend or settle claims with its merchants.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denial of service attack or security breach or incident could delay or interrupt service to Rezolve’s merchants and their customers, harm Rezolve’s reputation and subject Rezolve to significant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uses a limited number of data centers to deliver its services. Any disruption of service at these facilities could harm Rezolve’s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relies on computer hardware, purchased or leased, and software licensed from and services rendered by third parties in order to provide its solutions and run its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Rezolve does not or cannot maintain the compatibility of its platform with third-party applications that its customers use in their businesses, Rezolve’s revenues will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may store and process personal data of its merchants and their customers. If the security of this information is compromised or otherwise subjected to unauthorized access, Rezolve’s reputation may be harmed and Rezolve may be exposed to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brand is important to its success. If Rezolve fails to effectively maintain, promote and enhance Rezolve’s brand, Rezolve’s business and competitive advantage may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Activities of merchants or the content of their shops could damage Rezolve’s brand, subject Rezolve to liability and harm its business and financial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Rezolve fails to maintain a consistently high level of customer service, Rezolve’s brand, business and financial results may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may be subject to claims by third parties of intellectual property infringement.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use of “open source” software could negatively affect its ability to sell its solutions and subject Rezolve to possible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Claims for indemnification by Rezolve’s directors and officers may reduce Rezolve’s available funds to satisfy successful third-party claims against Rezolve and may reduce the amount of money available to Rezolve.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Enhanced trade tariffs, import restrictions, export restrictions, United States regulations or other trade barriers may materially harm Rezolve’s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Rezolve may be involved in legal proceedings and commercial or contractual disputes, which could have an adverse impact on Rezolve’s profitability and consolidated financial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provisions of the Articles and English law could deter takeover attempts.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Ordinary Shares could be volatile, and the value of Ordinary Shares may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 that the Public Warrants will ever be in the money at the time they become exercisable or otherwise, and they may expire worthless.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market for our securities may not be sustained, which would adversely affect the liquidity and price of Ordinary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 that Rezolve will be able to comply with the continued listing standards of Nasdaq.</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securities or industry analysts publish reports that are interpreted negatively by the investment community or publish negative research reports about our business, our share price and trading volume could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and our election to comply with the reduced disclosure requirements as a public company may make our Ordinary Shares less attractive to investors.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is a “foreign private issuer” and, as a result, we are permitted to rely on exemptions from certain stock exchange corporate governance standards applicable to U.S. issuers. This may afford less protection to holders of Ordinary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lose our foreign private issuer status in the future, which could result in significant additional cost and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issuance of additional Ordinary Shares in connection with financings, acquisitions, investments, our stock incentive plans, or otherwise will dilute all other shareholders.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incur increased costs as a result of operating as a public company, and our management is required to devote substantial time to compliance with our public company responsibilities and corporate governance practices.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holders that directly or indirectly own 10% or more of our equity interests may be subject to adverse U.S. federal income tax consequences under rules applicable to U.S. shareholders of controlled foreign corporations.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U.S. shareholders may suffer adverse tax consequences if we are classified as a “passive foreign investment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Internal Revenue Service may not agree that Rezolve should be treated as a non-U.S. corporation for U.S. federal income tax purposes.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jc w:val="left"/>
        <w:rPr/>
      </w:pPr>
      <w:r>
        <w:rPr/>
        <w:t> </w:t>
      </w:r>
    </w:p>
    <w:p>
      <w:pPr>
        <w:pStyle w:val="TextBody"/>
        <w:bidi w:val="0"/>
        <w:jc w:val="left"/>
        <w:rPr/>
      </w:pPr>
      <w:r>
        <w:rPr/>
        <w:t> </w:t>
      </w:r>
    </w:p>
    <w:p>
      <w:pPr>
        <w:pStyle w:val="TextBody"/>
        <w:bidi w:val="0"/>
        <w:jc w:val="center"/>
        <w:rPr/>
      </w:pPr>
      <w:bookmarkStart w:id="7" w:name="the_offering"/>
      <w:bookmarkEnd w:id="7"/>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THE OFFERING</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13"/>
        <w:gridCol w:w="8792"/>
      </w:tblGrid>
      <w:tr>
        <w:trPr/>
        <w:tc>
          <w:tcPr>
            <w:tcW w:w="1413" w:type="dxa"/>
            <w:tcBorders/>
            <w:vAlign w:val="center"/>
          </w:tcPr>
          <w:p>
            <w:pPr>
              <w:pStyle w:val="TableContents"/>
              <w:bidi w:val="0"/>
              <w:spacing w:before="0" w:after="283"/>
              <w:jc w:val="left"/>
              <w:rPr>
                <w:sz w:val="4"/>
                <w:szCs w:val="4"/>
              </w:rPr>
            </w:pPr>
            <w:r>
              <w:rPr>
                <w:sz w:val="4"/>
                <w:szCs w:val="4"/>
              </w:rPr>
            </w:r>
          </w:p>
        </w:tc>
        <w:tc>
          <w:tcPr>
            <w:tcW w:w="8792" w:type="dxa"/>
            <w:tcBorders/>
            <w:vAlign w:val="center"/>
          </w:tcPr>
          <w:p>
            <w:pPr>
              <w:pStyle w:val="TableContents"/>
              <w:bidi w:val="0"/>
              <w:spacing w:before="0" w:after="283"/>
              <w:jc w:val="left"/>
              <w:rPr>
                <w:sz w:val="4"/>
                <w:szCs w:val="4"/>
              </w:rPr>
            </w:pPr>
            <w:r>
              <w:rPr>
                <w:sz w:val="4"/>
                <w:szCs w:val="4"/>
              </w:rPr>
            </w:r>
          </w:p>
        </w:tc>
      </w:tr>
      <w:tr>
        <w:trPr/>
        <w:tc>
          <w:tcPr>
            <w:tcW w:w="141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Securities Offered by us</w:t>
            </w:r>
          </w:p>
          <w:p>
            <w:pPr>
              <w:pStyle w:val="TableContents"/>
              <w:bidi w:val="0"/>
              <w:spacing w:before="0" w:after="283"/>
              <w:jc w:val="left"/>
              <w:rPr/>
            </w:pPr>
            <w:r>
              <w:rPr/>
              <w:t> </w:t>
            </w:r>
          </w:p>
        </w:tc>
        <w:tc>
          <w:tcPr>
            <w:tcW w:w="8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5,000,000 Ordinary Shares underlying the remaining 5,000,000 outstanding Offering Warrants, all of which were issued in the Offering.</w:t>
            </w:r>
          </w:p>
        </w:tc>
      </w:tr>
      <w:tr>
        <w:trPr/>
        <w:tc>
          <w:tcPr>
            <w:tcW w:w="141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Ordinary Shares outstanding before this offering</w:t>
            </w:r>
          </w:p>
          <w:p>
            <w:pPr>
              <w:pStyle w:val="TableContents"/>
              <w:bidi w:val="0"/>
              <w:spacing w:before="0" w:after="283"/>
              <w:jc w:val="left"/>
              <w:rPr/>
            </w:pPr>
            <w:r>
              <w:rPr/>
              <w:t> </w:t>
            </w:r>
          </w:p>
        </w:tc>
        <w:tc>
          <w:tcPr>
            <w:tcW w:w="8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243,671,374 Ordinary Shares </w:t>
            </w:r>
          </w:p>
        </w:tc>
      </w:tr>
      <w:tr>
        <w:trPr/>
        <w:tc>
          <w:tcPr>
            <w:tcW w:w="141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Ordinary Shares to be outstanding after this offering</w:t>
            </w:r>
          </w:p>
          <w:p>
            <w:pPr>
              <w:pStyle w:val="TableContents"/>
              <w:bidi w:val="0"/>
              <w:spacing w:before="0" w:after="283"/>
              <w:jc w:val="left"/>
              <w:rPr/>
            </w:pPr>
            <w:r>
              <w:rPr/>
              <w:t> </w:t>
            </w:r>
          </w:p>
        </w:tc>
        <w:tc>
          <w:tcPr>
            <w:tcW w:w="8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248,671,374 Ordinary Shares (including all of the Ordinary Shares that may be issued upon exercise of the Offering Warrants). </w:t>
            </w:r>
          </w:p>
        </w:tc>
      </w:tr>
      <w:tr>
        <w:trPr/>
        <w:tc>
          <w:tcPr>
            <w:tcW w:w="14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Use of proceeds</w:t>
            </w:r>
          </w:p>
        </w:tc>
        <w:tc>
          <w:tcPr>
            <w:tcW w:w="8792"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We will receive the exercise prices of $3.00 per Offering Warrant for the 5,000,000 ordinary warrants and potentially exercisable under this prospectus. However, given the current price of the Ordinary Shares, there is no certainty that warrant holders will exercise their warrants and, accordingly, we may not receive any proceeds in relation to those warrants. We believe that the likelihood that warrant holders determine to exercise their warrants, and therefore the amount of cash proceeds that we would receive, is dependent upon the market price of our Ordinary Shares. If the market price for our ordinary shares is less than the exercise price of the warrants (on a per share basis), we believe that warrant holders will be very unlikely to exercise any of their warrants, and accordingly, we will not receive any such proceeds. There is no assurance that the warrants will be “in the money” prior to their expiration or that the warrant holders will exercise their warrants.</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We currently intend to use the net proceeds from this exercise of the Offering Warrants primarily for working capital and general corporate purposes, including for research and development. We may also use a portion of the net proceeds to invest in or acquire other products, businesses or technologies, although we have no commitments or agreements with respect to any such investments or acquisitions as of the date of this prospectus. See “Use of Proceeds” for additional information.</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We will not receive any proceeds from the resale of ordinary shares issued to holders of the Offerings Warrants after the exercise of such warrants pursuant to this prospectus.</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We will incur all costs associated with this prospectus and the registration statement of which it is a part.</w:t>
            </w:r>
          </w:p>
          <w:p>
            <w:pPr>
              <w:pStyle w:val="TableContents"/>
              <w:bidi w:val="0"/>
              <w:spacing w:before="120" w:after="283"/>
              <w:jc w:val="left"/>
              <w:rPr/>
            </w:pPr>
            <w:r>
              <w:rPr/>
              <w:t> </w:t>
            </w:r>
          </w:p>
        </w:tc>
      </w:tr>
      <w:tr>
        <w:trPr/>
        <w:tc>
          <w:tcPr>
            <w:tcW w:w="14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factors</w:t>
            </w:r>
          </w:p>
        </w:tc>
        <w:tc>
          <w:tcPr>
            <w:tcW w:w="8792"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You should carefully read and consider the information set forth under “Risk Factors,” together with all of the other information set forth in this prospectus, before deciding to invest in our Ordinary Shares.</w:t>
            </w:r>
          </w:p>
          <w:p>
            <w:pPr>
              <w:pStyle w:val="TableContents"/>
              <w:bidi w:val="0"/>
              <w:spacing w:before="0" w:after="283"/>
              <w:jc w:val="left"/>
              <w:rPr/>
            </w:pPr>
            <w:r>
              <w:rPr/>
              <w:t> </w:t>
            </w:r>
          </w:p>
        </w:tc>
      </w:tr>
      <w:tr>
        <w:trPr/>
        <w:tc>
          <w:tcPr>
            <w:tcW w:w="141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Nasdaq symbol for Ordinary Shares</w:t>
            </w:r>
          </w:p>
          <w:p>
            <w:pPr>
              <w:pStyle w:val="TableContents"/>
              <w:bidi w:val="0"/>
              <w:spacing w:before="0" w:after="283"/>
              <w:jc w:val="left"/>
              <w:rPr/>
            </w:pPr>
            <w:r>
              <w:rPr/>
              <w:t> </w:t>
            </w:r>
          </w:p>
        </w:tc>
        <w:tc>
          <w:tcPr>
            <w:tcW w:w="8792"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"RZLV."</w:t>
            </w:r>
          </w:p>
        </w:tc>
      </w:tr>
      <w:tr>
        <w:trPr/>
        <w:tc>
          <w:tcPr>
            <w:tcW w:w="141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Nasdaq symbol for our warrants</w:t>
            </w:r>
          </w:p>
          <w:p>
            <w:pPr>
              <w:pStyle w:val="TableContents"/>
              <w:bidi w:val="0"/>
              <w:spacing w:before="0" w:after="283"/>
              <w:jc w:val="left"/>
              <w:rPr/>
            </w:pPr>
            <w:r>
              <w:rPr/>
              <w:t> </w:t>
            </w:r>
          </w:p>
        </w:tc>
        <w:tc>
          <w:tcPr>
            <w:tcW w:w="8792"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"RZLVW."</w:t>
            </w:r>
          </w:p>
        </w:tc>
      </w:tr>
    </w:tbl>
    <w:p>
      <w:pPr>
        <w:pStyle w:val="TextBody"/>
        <w:bidi w:val="0"/>
        <w:jc w:val="left"/>
        <w:rPr/>
      </w:pPr>
      <w:r>
        <w:rPr/>
        <w:t> </w:t>
      </w:r>
    </w:p>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240"/>
        <w:jc w:val="both"/>
        <w:rPr/>
      </w:pPr>
      <w:r>
        <w:rPr/>
        <w:t> </w:t>
      </w:r>
    </w:p>
    <w:p>
      <w:pPr>
        <w:pStyle w:val="TextBody"/>
        <w:bidi w:val="0"/>
        <w:jc w:val="center"/>
        <w:rPr>
          <w:rFonts w:ascii="Times New Roman" w:hAnsi="Times New Roman"/>
          <w:b/>
          <w:caps/>
          <w:color w:val="000000"/>
          <w:sz w:val="20"/>
        </w:rPr>
      </w:pPr>
      <w:bookmarkStart w:id="8" w:name="risk_factors"/>
      <w:bookmarkEnd w:id="8"/>
      <w:r>
        <w:rPr>
          <w:rFonts w:ascii="Times New Roman" w:hAnsi="Times New Roman"/>
          <w:b/>
          <w:caps/>
          <w:color w:val="000000"/>
          <w:sz w:val="20"/>
        </w:rPr>
        <w:t>RISK FACTORS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An investment in the Ordinary Shares and Warrants involves a high degree of risk. You should consider carefully the following risks, together with the financial and other information contained in this prospectus, including “Management’s Discussion and Analysis of Financial Condition and Results of Operations,” before you decide to purchase Ordinary Shares or Warrants. If any of the following risks actually occur, our business, financial condition and operating results could be materially and adversely affected. In that case, the market price of the Ordinary Shares and Warrants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and operating results. See “Cautionary Note Regarding Forward-Looking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this Offering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As an investor, you may lose all of your investment.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Investing in our Ordinary Shares involves a high degree of risk. As an investor, you may never recoup all, or even part, of your investment and you may never realize any return on your investment. You must be prepared to lose all of your investment.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expect we will need additional financing in addition to the proceeds of this offering to execute our business plan and fund operations, which additional financing may not be available on reasonable terms, or at all. Our consolidated financial statements have been prepared assuming that we will continue as a going concern.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continue as a going concern will require us to obtain additional capital to fund our operations over the twelve months from the date of this prospectus. As of December 31, 2024 and December 31, 2023, we had total assets of approximately $13.04 million and $0.4 million and working capital deficit of approximately $44.8 million and $56.5 million, respectively. As of December 31, 2024 and December 31, 2023, our liquidity included approximately $9.45 million and $0.01 million of cash and cash equivalents, respectively. We intend to seek additional funds through various financing sources, including the sale of our equity and debt securities and fees through the sale of our technology. In addition, we will consider alternatives to our current business plan that may enable to us to achieve revenue producing operations and meaningful commercial success with a smaller amount of capital. However, there can be no guarantees that such funds will be available on commercially reasonable terms, if at all. If such financing is not available on satisfactory terms, we may be unable to further pursue our business plan and we may be unable to continue operations, in which case you may lose your entire investment.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of our independent registered public accounting firm for the year ended December 31, 2023 states that due to our losses incurred since inception, negative cash flows from operations, and negative working capital, there is substantial doubt about our ability to continue as a going concern.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br/>
        <w:t>Because the offering price of our securities offered hereby is substantially higher than the net tangible book value per</w:t>
        <w:br/>
        <w:t>share of our outstanding Ordinary Shares following this offering, new investors will experience immediate and substantial</w:t>
        <w:br/>
        <w:t>dilution.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the offering price of our securities offered hereby is substantially higher than the net tangible book value per</w:t>
        <w:br/>
        <w:t>share of our outstanding Ordinary Shares following this offering, you will suffer substantial dilution in the net tangible book value of the securities offered hereby. See “Dilution” for a more detailed discussion of the dilution you will incur if you purchase our securities in this offering.</w:t>
      </w:r>
    </w:p>
    <w:p>
      <w:pPr>
        <w:pStyle w:val="TextBody"/>
        <w:bidi w:val="0"/>
        <w:spacing w:before="240" w:after="283"/>
        <w:jc w:val="left"/>
        <w:rPr>
          <w:rFonts w:ascii="Times New Roman" w:hAnsi="Times New Roman"/>
          <w:sz w:val="20"/>
        </w:rPr>
      </w:pPr>
      <w:r>
        <w:rPr>
          <w:rFonts w:ascii="Times New Roman" w:hAnsi="Times New Roman"/>
          <w:b/>
          <w:i/>
          <w:color w:val="000000"/>
          <w:sz w:val="20"/>
        </w:rPr>
        <w:t>Because we will have broad discretion and flexibility in how the net proceeds from this offering are used, we may use the net proceeds in ways in which you disagree</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use the net proceeds from this offering for working capital, repayment of convertible debt and general corporate purposes. See “Use of Proceeds” for additional information. Accordingly, our management will have significant discretion and flexibility in applying the net proceeds of this offering. You will be relying on the judgment of our management with regard to the use of these net proceeds, and you will not have the opportunity, as part of your investment decision, to assess whether the net proceeds are being used appropriately. It is possible that the net proceeds will be invested in a way that does not yield a favorable, or any, return for us. The failure of our management to use such funds effectively could have a material adverse effect on our business, financial condition, operating results and cash flow.</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There is no public market for the Offering Warrants being offered by us in this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no established public trading market for the Offering Warrants, and we do not expect a market to develop. In addition, we do not intend to apply to list the Offering Warrants on any national securities exchange or other nationally recognized trading system. Without an active market, the liquidity of the Offering Warrants will be limited.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Offering Warrants in this offering are speculative in 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Offering Warrants offered hereby do not confer any rights of share of common stock ownership on their holders, such as voting rights, but rather merely represent the right to acquire shares of common stock at a fixed price. Specifically, commencing on the date of issuance, holders of the Offering Warrants may acquire the Ordinary Shares issuable upon exercise of such warrants at an exercise price of $3.00 per Ordinary Share. Moreover, the market value of the Offering Warrants is uncertain and there can be no assurance that the market value of the Offering Warrants will equal or exceed their respective offering prices. There can be no assurance that the market price of the Ordinary Shares will ever equal or exceed the exercise price of the Offering Warrants, and consequently, whether it will ever be profitable for holders of Offering Warrants to exercise the Offering Warrants.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Holders of the Offering Warrants offered hereby will have no rights as public shareholders with respect to the Ordinary Shares underlying the Offering Warrants until such holders exercise their warrants and acquire our shares, except as otherwise provided in the Offering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Until holders of the Offering Warrants acquire shares of our common stock upon exercise thereof, except as set forth in the Offering Warrants, such holders will have no rights with respect to our ordinary shares underlying such warrants. Upon exercise of the Offering Warrants, the holders will be entitled to exercise the rights of a common shareholder only as to matters for which the record date occurs after the exercise date.</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Our Business and Industry</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Rezolve has generated limited revenues from existing channels and there is no guarantee that it will be able to attract and retain new merchants and increase sales to new merchants.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expects to generate revenues principally through subscription fees and one-time transaction fees. Rezolve expects to be dependent on agreements with certain business partners to service merchants and remit subscription fees to Rezolve, including Microsoft, Google and ACI in North America and Europe, and Grupo Carso in Latin America. While we expect to generate revenues from these partners, these partnerships are currently pre-revenue. There is no guarantee that Rezolve will be able to renew existing agreements on similar terms or at all when they expire or that they will not be terminated at an earlier time. As a result, there can be no assurance that Rezolve will be able to retain these partnerships. Rezolve’s costs associated with subscription renewals are substantially lower than costs associated with generating revenues from new merchant relationships associated with new partners or costs associated with generating sales of additional solutions to merchants associated with existing partners. Therefore, if Rezolve is unable to retain partners, even if such losses are offset by an increase in new merchants associated with new partners or an increase in other revenues, Rezolve’s operating results could be adversely impacted.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 may also fail to attract new partners and retain existing partners as a result of a number of other factors, including</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competitive factors affecting the software as a service, or SaaS, business software applications market, including the introduction of competing platforms, discount pricing and other strategies that may be implemented by Rezolve’s competitors;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Rezolve’s ability to execute on Rezolve’s growth strategy and operating plans;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decline in Rezolve’s partners’ level of satisfaction with Rezolve’s platform and usage of Rezolve’s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Rezolve’s relationships with third parties, including Rezolve’s partners, app developers, theme designers, referral sources and payment processors;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timeliness and success of Rezolve’s solutions;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frequency and severity of any system outages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technological change;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focus on long-term value over short-term results, meaning that Rezolve may make strategic decisions that may not maximize Rezolve’s short-term revenues or profitability if Rezolve believes that the decisions are consistent with its mission and will improve its long-term financial performance.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is an early-stage company with a history of financial losses and expects to incur significant expenses and continuing losses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incurred a net loss of $172.6 million in the year ended December 31, 2024 and $30.7 million in the year ended December 31, 2023, respectively. At December 31, 2024, Rezolve had a total shareholders’ deficit of $38.0 million. These losses and accumulated deficit are a result of the substantial investments Rezolve made to grow its business, and Rezolve expects to make significant expenditures to expand its business in the future. Rezolve expects to increase its investment in sales and marketing as it continues to spend on marketing activities and expand its partner referral programs. Rezolve also plans to increase its investment in research and development as it continues to introduce new offerings and services to extend the functionality of its platform. Rezolve intends to invest in its merchant service and support operations, which it considers critical for its continued success. To support the continued growth of its business and to comply with continuously changing security and operational requirements, Rezolve plans to continue investing in its technical infrastructure, marketing and payroll systems. Rezolve expects that these increased expenditures will make it harder for Rezolve to achieve profitability, and Rezolve cannot predict if it will achieve profitability in the near-term or at all. Historically, Rezolve’s costs have increased each year due to these factors and Rezolve expects to continue to incur increasing costs to support its anticipated future growth. Rezolve also expects to incur additional general and administrative expenses as a result of both its growth and the increased costs associated with being a public company. Rezolve’s expenses may be greater than it anticipates, and Rezolve’s investments to improve the efficiency of its business, technical infrastructure, marketing and payroll systems may not be successful. Increases in costs may adversely affect Rezolve’s business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impact of worldwide economic conditions, including the resulting effect on spending by SMBs and spending on technology, may adversely affect Rezolve’s business, operating results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performance is subject to worldwide economic conditions and overall demand for technology and the impact of these factors on the economic performance of Rezolve’s current and prospective Channels and the levels of spending of their customers. In general, worldwide economic conditions may remain unstable, including inflation, and these conditions would make it difficult for Rezolve’s Channels, prospective Channels and merchants and Rezolve to forecast and plan future business activities accurately, and they could cause Rezolve’s Channels or prospective Channels and merchants to reevaluate their decision to purchase Rezolve’s solutions. Weak global economic conditions, changes in consumer behavior or a reduction in technology spending even if economic conditions stabilize, could adversely impact Rezolve’s business and results of operations in a number of ways, including longer sales cycles, lower demand or prices for Rezolve’s platform, fewer subscriptions and lower or no growth. For example, recent increased inflation, the residual effects of the collapse of Silicon Valley Bank and other financial institutions in March and April 2023, and resultant instability in global financial markets, may cause Rezolve’s customers to reduce spending, including on Rezolve’s services. Merchants and Channels may be disproportionately affected by economic downturns. Merchants and Channels frequently have limited budgets and may choose to allocate their spending to items other than Rezolve’s platform, especially in times of economic uncertainty or recessions.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Prolonged economic uncertainties or downturns could adversely affect Rezolve’s business, financial condition, and results of operations. Negative conditions in the global economy, including conditions resulting from financial and credit market fluctuations, heightened interest rates, changes in economic policy, trade uncertainty, including changes in tariffs, sanctions, international treaties and other trade restrictions, the occurrence of a natural disaster or global public health crisis, such as the COVID-19 pandemic, or armed conflicts, such as the conflict in Ukraine, and resulting sanctions imposed by countries, and retaliatory actions taken by Russia in response to such sanctions, could negatively affect the growth of Rezolve’s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Economic downturns may also adversely impact retail sales, which could result in merchants who use Rezolve’s platform going out of business or deciding to stop using Rezolve’s services in order to conserve cash. Weakening economic conditions may also adversely affect third-parties with whom Rezolve has entered into relationships and upon which Rezolve depends in order to grow its business. Uncertain and adverse economic conditions may also lead to increased refunds and chargebacks or reduced transaction fees, any of which could adversely affect Rezolve’s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Uneven economic growth or downturns or international trade and other global disruptions, geopolitical tensions, or disputes could adversely affect our business and operating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Trade and other global disputes and interruptions, including related to tariffs, trade protection measures, import or export licensing requirements, the imposition of trade sanctions or similar restrictions by the U.S. or other governments, international tension and conflicts, as well as economic stagnation, cost inflation, strains on global transportation, manufacturing, and labor markets, and public health outbreaks, epidemics, or pandemics affect our ability to do business. Among other risks, the use of tariffs and other trade restrictions increase costs and may impact or otherwise complicate aspects of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Rezolve’s limited operating history in a new and developing market makes it difficult to evaluate its current business and future prospects and may increase the risk that it will not be successful.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is constantly evolving with new offerings and services such as Instant Checkout. This evolving platform makes it difficult to accurately assess Rezolve’s future prospects. Rezolve also operates in developing markets that may not develop as it expects. You should consider Rezolve’s future prospects in light of the challenges and uncertainties that it faces, including the fact that it may not be possible to discern fully the trends that Rezolve is subject to, that Rezolve operates in developing markets, and that elements of its business strategy are new and subject to ongoing development. Rezolve has encountered and will continue to encounter risks and difficulties frequently experienced by growing companies in rapidly changing industries, including, among other factors, increasing and unforeseen expenses as Rezolve continues to grow its business, undercapitalization, cash shortages, limitations with respect to personnel, financial and other resources and lack of revenues. If Rezolve does not manage these risks successfully, its business, results of operations and prospects will be harmed.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Rezolve’s growth depends in part on the success of its strategic relationships with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anticipates that the growth of its business will continue to depend on third-party relationships, including relationships with its referral sources, resellers, payment processors and other partners. Identifying, negotiating and documenting relationships with third parties requires significant time and resources as does integrating third-party content and technology. Rezolve’s agreements with providers of cloud hosting, technology, content and consulting services are typically non-exclusive and do not prohibit such service providers from working with competitors or from offering competing services. These third-party providers may choose to terminate their relationship with Rezolve or to make material changes to their businesses, offerings or services. Rezolve’s competitors may be effective in providing incentives to third parties to favor their offerings or services or to prevent or reduce subscriptions to Rezolve’s platform. In addition, these providers may not perform as expected under Rezolve’s agreements or under their agreements with Rezolve’s merchants, and Rezolve or its merchants may in the future have disagreements or disputes with such providers. If Rezolve loses access to products, offerings or services from a particular supplier, or experiences a significant disruption in the supply of products, offerings or services from a current supplier, including any single-source supplier, it could have an adverse effect on Rezolve’s business and operating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markets for Rezolve’s offerings are relatively new, rapidly evolving and unproven. Accordingly, it is difficult to predict customer adoption and renewals, demand for Rezolve’s platform and Rezolve’s offerings, the entry of competitive offerings, the success of existing competitive offerings, or the future growth rate, expansion, longevity and the size of Rezolve’s target markets. The expansion of, and Rezolve’s ability to penetrate, these new and evolving markets depends on a number of factors, including widespread awareness among key organizational decision makers of, and the cost, performance, effectiveness and perceived value associated with, digital adoption platforms and technologies. If we or other software and SaaS providers experience security incidents, loss or unauthorized acquisition or other processing of customer data, or disruptions in delivery or service, the market for these applications as a whole, including our platform and offerings,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international conflicts, economic downturns, and global pandemics like the COVID-19 pandemic), privacy, data protection, and cybersecurity concerns, governmental regulation, competing technologies and offerings, decreases in information technology spending or otherwise, or if software providers begin to implement digital adoption solutions natively within their existing products, the markets for our platform and offerings might not continue to develop or might develop more slowly than we expect, which could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Non-performance under, termination, non-renewal or material modification of agreements with Rezolve’s business partners could have a material adverse effect on Rezolve’s business, financial condition and/or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expects to be dependent on its business partners to service its existing customers and ensure that subscription payments from expected merchant customers are subsequently remitted to Rezolve. Rezolve’s business partners may fail to meet their settlement obligations on a timely basis or at all. Such failures to pay, payment delays or other non-performance may be due to their insolvency or bankruptcy, a downturn in the economic cycle or factors specific to the relevant business partner. The failure of Rezolve’s business partners to meet their settlement obligations and/or Rezolve’s inability to find new business partners in a timely manner could have a material adverse effect on Rezolve’s financial condition and/or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assurance can be given that business partners will renew their agreements upon expiration of those agreements or that they will not request unfavorable amendments to existing agreements. Also, no assurance can be given that Rezolve will be successful in negotiating favorable terms with these business partners. Any failure to obtain renewals of existing agreements or failure to successfully negotiate favorable terms for such renewals of or amendments to existing agreements could result in a reduction 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revenues and, accordingly, have a material adverse effect on Rezolve’s business, prospects, financial condition and/or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Rezolve’s business could be harmed if it fails to manage its growth effectively.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plans to grow in Germany, Latin America, U.S. and India and to expand into new geographies places significant demands on its operational infrastructure. The scalability and flexibility of its platform depends on the functionality of its technology and network infrastructure and its ability to handle increased traffic and demand. As merchant numbers grow and merchants increase their use of Rezolve’s platform, the number of orders processed through Rezolve’s platform and the amount of data and requests that it processes will increase. Any problems with the transmission of increased data and requests could result in harm to Rezolve’s brand or reputation. Moreover, as Rezolve’s business grows, Rezolve will need to devote additional resources to improving its operational infrastructure and continuing to enhance its scalability to maintain the performance of its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Rezolve’s growth will likely continue to place, a significant strain on its managerial, administrative, operational, financial and other resources. Rezolve has grown from 21 employees at December 31, 2019 to 26 employees at December 31, 2024. Rezolve intends to further expand its overall business, including headcount, with no assurance that its revenues will grow. As Rezolve grows, it will be required to continue to improve its operational and financial controls and reporting procedures and it may not be able to do so effectively. As such, Rezolve may be unable to manage its expenses effectively in the future, which may negatively impact its gross profit or operating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Rezolve believes that an important contributor to its success has been its corporate culture, which it believes fosters innovation, teamwork, passion for its merchants and a focus on attractive designs and technologically advanced and well-crafted software. Most of Rezolve’s employees have been with Rezolve or Rezolve Limited for fewer than two years as a result of its rapid growth. As Rezolve continues to grow, Rezolve must effectively integrate, develop and motivate a growing number of new employees. As a result, Rezolve may find it difficult to maintain its corporate culture, which could limit its ability to innovate and operate effectively. Any failure to preserve Rezolve’s culture could also negatively affect its ability to retain and recruit personnel, continue to perform at current levels or execute its business strategy.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does not have the history with its solutions or pricing models necessary to accurately predict optimal pricing necessary to attract new merchants and retain existing merchants.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has limited experience determining the optimal prices for its solutions. Rezolve has changed its pricing model from time to time and expects to do so in the future. Given Rezolve’s limited experience with selling new solutions, Rezolve may not offer new solutions at the optimal price, which may result in Rezolve’s solutions not being profitable or not gaining market share. As competitors introduce new solutions that compete with Rezolve’s, especially in the payments space where Rezolve faces significant competition, Rezolve may be unable to attract new merchants at competitive pricing models. Pricing decisions may also impact the mix of adoption among Rezolve’s plans and negatively impact Rezolve’s overall revenues. Moreover, SMBs, which are generally sensitive to price and are expected to comprise a portion of the merchants using Rezolve’s platform, may be quite sensitive to price increases or prices offered by competitors. As a result, in the future, Rezolve may be forced to reduce its prices, which could adversely affect its financial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As a result of Rezolve’s business model, it may not be able to accurately assess its financial position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intends to offer its platform primarily through a mix of monthly and single-year subscription agreements and is expected to recognize revenue ratably over the related subscription period. As a result, a large percentage of the revenues Rezolve expects to report each quarter may be derived from agreements entered into during prior months or years. In addition, Rezolve does not and will not record deferred revenues beyond amounts invoiced as a liability on its balance sheet. Such declines may negatively affect its revenues and deferred revenues balances in future periods, and the effect of significant downturns in sales and market acceptance of its platform, and potential changes in Rezolve’s rate of renewals, may not be fully reflected in Rezolve’s results of operations until future periods. Rezolve’s subscription model also may make it difficult for Rezolve to rapidly increase its total revenues and deferred revenues balance through additional sales in any period, as revenues from new customers must be recognized over the applicable subscription term. These factors may have an adverse effect on Rezolve’s business,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Rezolve’s business is susceptible to risks associated with international sales and the use of its platform in various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international sales and the use of its platform in various countries subject Rezolve to risks that include, but are not limited to:</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familiarity and burdens and complexity involved with complying with multiple, conflicting and changing foreign laws, standards, regulatory requirements, tariffs, export controls and other barriers;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ensuring compliance with countries’ multiple, conflicting and changing international trade, customs and sanctions laws;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complying with laws relating to privacy, data protection, and cybersecurity, including the UK General Data Protection Regulation, some of which may require that merchant and customer data be stored and processed in a designated territory;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managing systems integrators and technology partners;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technology standards;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potentially adverse tax consequences, including the complexities of foreign value added tax (or other tax) systems and restrictions on the repatriation of earnings;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difficulty in enforcing contracts, including Rezolve’s universal terms of service and other agreements;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 political and economic climates, including the economic impact of inflation, the possibility of a global economic recession, the COVID-19 pandemic and other geopolitical uncertainty and instability, such as the ongoing conflict in Ukraine, resulting sanctions imposed by countries, and retaliatory actions taken by Russia in response to such sanctions;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currency exchange rates;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J.</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or uncertain protection for intellectual property rights in some countries; and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and different sources of competition.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factors may cause Rezolve’s international costs of doing business to increase and may also require significant management attention and financial resources. Any negative impact from Rezolve’s international business efforts could adversely affect Rezolve’s business,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future success will depend in large part on establishing and growing a market for its solutions and systems, which proprietary machine learning algorithm processes vast amounts of data collected from user interactions. Rezolve’s AI capabilities analyze user behavior and preferences, and identify patterns and trends that inform the creation of personalized experiences for each user, which allows merchants to deliver marketing campaigns, content, offers, and promotions that cater specifically to individual users, leading to higher engagement and conversion rates. Rezolve’s machine learning systems may inadvertently reduce the efficiency of Rezolve’s systems, or may cause unintentional or unexpected outputs that are incorrect, do not match Rezolve’s business goals, do not comply with Rezolve’s policies, or otherwise are inconsistent with Rezolve’s brand. Any errors or vulnerabilities discovered in our code could also result in damage to its reputation, loss of its channels and merchants, unauthorized disclosure of personal and confidential information, loss of revenues or liability for damages, any of which could adversely affect Rezolve’s growth prospects and its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political and regulatory framework for AI technology and machine learning is evolving and remains uncertain. It is possible that new laws and regulations will be adopted in the countries in which Rezolve operates, or existing laws and regulations may be interpreted in new ways, that would affect the operation of Rezolve’s network and the way in which Rezolve uses AI technology and machine learning, including with respect to laws related to privacy, data protection, cybersecurity and processing customer information. The cost to comply with such laws or regulations could be significant and would increase Rezolve’s operating expenses, which could adversely affect its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Exchange rate fluctuations may negatively affect Rezolve’s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Exchange rate fluctuations may affect Rezolve’s merchant solutions as Rezolve may generate revenues in different currencies. For example, if in the future Rezolve generates revenues through Instant Buy in the local currency of the country in which the applicable merchant is located, Rezolve will be exposed to currency fluctuations to the extent revenues in foreign currencies from Instant Buy payments increase. Fluctuations in these foreign currencies could adversely affect Rezolve’s growth prospects and its business.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Rezolve’s operating results are expected to be subject to seasonal fluctuations.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merchant transaction-based revenues are expected to be correlated with the number of transactions that Rezolve’s merchants process through its platform. Certain of its merchants are expected to be subject to seasonal fluctuations as a result of holidays in the countries in which they operate resulting in increased or decreased consumer spending. If Rezolve grows its merchant solutions offerings, Rezolve cannot guarantee that its business will not become more seasonal in the future, and historical patterns in its business may not be a reliable indicator of Rezolve’s future sales activity or performance.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Rezolve fails to improve and enhance the functionality, performance, reliability, design, security and scalability of its platform in a manner that responds to merchants’ evolving needs, its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markets in which Rezolve competes are characterized by constant change and innovation, and Rezolve expects them to continue to evolve rapidly. Rezolve’s ability to attract new merchants and increase sales to new merchants will depend in large part on its ability to continue to improve and enhance the functionality, performance, reliability, design, security and scalability of its platform as well as introduce new features, capabilities and offerings to its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 may experience difficulties with software development that could delay or prevent the development, introduction or implementation of new solutions and enhancements. Software development involves a significant amount of time for Rezolve’s research and development team, as it can take Rezolve’s developers months to update, code and test new and upgraded solutions and integrate them into its platform. Rezolve must also continually update, test and enhance its software platform. For example, Rezolve’s design team spends a significant amount of time and resources incorporating various design enhancements, such as customized colors, fonts, content and other features, into its platform. The continual improvement and enhancement of Rezolve’s platform requires significant investment and Rezolve may not have the resources to make such investment. To the extent Rezolve is not able to improve and enhance the functionality, performance, reliability, design, security and scalability of its platform in a manner that responds to Rezolve’s merchants’ evolving needs, Rezolve’s business, operating results and financial condition will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may not be able to compete successfully against current and future competitors.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faces competition in various aspects of its business, and Rezolve expects such competition to grow in the future. Rezolve has competitors with longer operating histories, larger customer bases, greater brand recognition, more experience and more extensive commercial relationships in certain jurisdictions, and greater financial, technical, marketing and other resources than Rezolve. As a result, Rezolve’s current and potential competitors may be able to develop products, offerings and services better received by merchants or may be able to respond more quickly and effectively than Rezolve can to new or changing opportunities, technologies, regulations or merchant requirements. In addition, certain of Rezolve’s larger competitors may be able to leverage a larger installed customer base and distribution network to adopt more aggressive pricing policies and offer more attractive sales terms, which could cause Rezolve to lose potential sales or to sell Rezolve’s solutions at lower prices.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Competition may intensify as Rezolve’s competitors enter into business combinations or alliances or raise additional capital, or as established companies in other market segments or geographic markets expand into Rezolve’s market segments or geographic markets. For example, certain competitors could use strong or dominant positions in one or more markets to gain a competitive advantage against Rezolve in areas where Rezolve operates including: by integrating competing platforms or features into products or offerings they control such as search engines, web browsers, mobile device operating systems or social networks; by making acquisitions; or by making access to Rezolve’s platform more difficult. Further, current and future competitors could choose to offer a different pricing model or to undercut prices in an effort to increase their market share. If Rezolve cannot compete successfully against current and future competitors, Rezolve’s business, results of operations and financial condition could be negatively impacted.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Payment transactions on Rezolve’s platform may be subject to regulatory requirements and other risks that could be costly and difficult to comply with or that could harm Rezolve’s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may become subject to a number of risks related to payments processed through Instant Buy, including: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payment of interchange and other fees, which may increase Rezolve’s 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Rezolve is unable to maintain its chargeback rate at acceptable levels, its credit card fees may increase or credit card issuers may terminate their relationship with Rezolve;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costs and diversion of management time and effort and other resources to deal with fraudulent transactions or chargeback disputes;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fraudulent or otherwise illegal activity by merchants, their customers, developers, employees or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funds or required reserves related to payments; and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disclosure and other requirements, including new reporting regulations and new credit card association rules.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 is required by its payment processors to comply with payment card network operating rules. The payment card networks set and interpret the card rules. Rezolve faces the risk that one or more payment card networks or other processors may, at any time, assess penalties against Rezolve or terminate its ability to accept credit card payments or other forms of online payments from customers, which would have an adverse effect on Rezolve’s business, financial condition and operating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Rezolve fails to comply with the rules and regulations adopted by the payment card networks, including the Payment Card Industry Data Security Standard, or PCI DSS, Rezolve would be in breach of its contractual obligations to its payment processors, financial institutions, partners and merchants. Such failure to comply may subject Rezolve to fines, penalties, damages, higher transaction fees and civil liability, and could eventually prevent Rezolve from processing or accepting payment cards or could lead to a loss of payment processor partners, even if there is no compromise of customer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 is currently subject to a variety of laws and regulations in the U.S., Mexico, the UK, Europe, India and elsewhere related to payment processing, including those governing cross-border and domestic money transmission, electronic funds transfers, foreign exchange, anti-money laundering, counter-terrorist financing, banking and import and export restrictions. Depending on how Instant Buy and Rezolve’s other merchant solutions evolve, Rezolve may be subject to additional laws in the U.S., Mexico, China, the UK, Europe, India and elsewhere. In certain jurisdictions, the application or interpretation of these laws and regulations is not clear. Rezolve’s efforts to comply with these laws and regulations could be costly and result in diversion of management time and effort and may still not guarantee compliance. In the event that Rezolve is alleged to be in violation of any such legal or regulatory requirements, it may be subject to claims, demands, and litigation by private parties, and governmental investigations and other proceedings, which may result in Rezolve being subject to cease and desist orders, monetary fines or other penalties or liabilities, or being required to make changes to its platform or other aspects of its operations, any of which could have an adverse effect on its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Rezolve evaluates potential strategic acquisition or investment opportunities. Any transactions that Rezolve enters into could be material to its financial condition and results of operations. The process of acquiring and integrating another company or technology could create unforeseen operating difficulties and expenditures. Acquisitions and investments involve a number of risks, such 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management time and focus from operating Rezolve’s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use of resources that are needed in other areas of Rezolve’s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case of an acquisition, implementation or remediation of controls, procedures and policies of the acquired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case of an acquisition, difficulty integrating the accounting systems and operations of the acquired company, including potential risks to Rezolve’s corporate culture;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case of an acquisition, coordination of product, engineering and selling and marketing functions, including difficulties and additional expenses associated with supporting legacy services and offerings and hosting infrastructure of the acquired company and difficulty converting the customers of the acquired company onto Rezolve’s platform and contract terms, including disparities in the revenues, licensing, support or professional services model of the acquired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case of an acquisition, retention and integration of employees from the acquired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costs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effects to Rezolve’s existing business relationships with partners and merchants as a result of the acquisition or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possibility of adverse tax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or other claims arising in connection with the acquired company or investment;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case of foreign acquisitions, the need to integrate operations across different cultures and languages and to address the particular economic, currency, political and regulatory risks associated with specific countries.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 significant portion of the purchase price of companies that Rezolve acquires may be allocated to acquired goodwill and other intangible assets, which must be assessed for impairment on at least an annual basis. In the future, if Rezolve’s acquisitions do not yield expected returns, Rezolve may be required to take charges to its operating results based on this impairment assessment process, which could adversely affect Rezolve’s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Acquisitions and investments may also result in dilutive issuances of equity securities, which could adversely affect Rezolve’s share price, or result in issuances of securities with superior rights and preferences to the Ordinary Shares or the incurrence of debt with restrictive covenants that limit Rezolve’s future uses of capital in pursuit of business opportunities.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Rezolve may not be able to identify acquisition or investment opportunities that meet Rezolve’s strategic objectives, or to the extent such opportunities are identified, Rezolve may not be able to negotiate terms with respect to the acquisition or investment that are acceptable to Rezolve.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may need to raise additional funds to pursue its growth strategy or continue its operations, and Rezolve may be unable to raise capital when needed or on acceptable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Rezolve may seek additional equity or debt financing to fund its growth, enhance its platform, respond to competitive pressures or make acquisitions or other investments. Rezolve’s business plans may change, general economic, financial or political conditions in its markets may deteriorate or other circumstances may arise, in each case that have a material adverse effect on Rezolve’s cash flows and the anticipated cash needs of Rezolve’s business. Any of these events or circumstances could result in significant additional funding needs, requiring Rezolve to raise additional capital. Rezolve cannot predict the timing or amount of any such capital requirements at this time. If financing is not available on satisfactory terms, or at all, Rezolve may be unable to expand Rezolve’s business at the rate desired and Rezolve’s results of operations may suffer. Financing through issuances of equity securities would be dilutive to holders of Rezolve’s shares.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Failure to effectively develop and expand Rezolve’s marketing, sales, customer service, and content management capabilities could harm its ability to increase Rezolve’s customer base and achieve broader market acceptance of Rezolve’s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sales cycle, from initial contact to contract execution and implementation can take significant time. Rezolve’s sales efforts involve educating its clients about the use, technical capabilities and benefits of Rezolve’s platform. Certain of Rezolve’s clients undertake an evaluation process that frequently involves not only its platform but also the offerings of Rezolve’s competitors. As a result, it is difficult to predict when Rezolve will obtain new clients and begin generating revenues from new clients. Even if Rezolve’s sales efforts result in obtaining a new client, under Rezolve’s usage-based pricing model, to a large degree the client controls when and to what extent it uses Rezolve’s platform. As a result, Rezolve may not be able to add clients or generate revenues as quickly as Rezolve may expect, which could harm Rezolve’s revenue growth rates.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the availability of Rezolve’s platform does not meet its service-level commitments to customers, Rezolve’s current and future revenues may be negatively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typically commits to its customers that its platform will maintain a minimum service-level of availability. If Rezolve is unable to meet these commitments, Rezolve may be obligated to provide customers with additional capacity, which could significantly affect its revenues. Further, any failure to meet its service-level commitments could damage its reputation and adoption of its platform, and Rezolve could face loss of revenues from reduced future consumption of its platform. Any service-level failures could adversely affect Rezolve’s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does not intend to pay dividends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may retain future earnings, if any, for future operations, expansion and debt repayment and has no current plans to pay any cash dividends for the foreseeable future. As a result of Rezolve’s current dividend policy, you may not receive any return on an investment in Ordinary Shares unless you sell Ordinary Shares for a price greater than that which you paid for them. Any future determination to declare and pay cash dividends will be at the discretion of Rezolve’s board of directors and will depend on, among other things, Rezolve’s financial condition, results of operations, cash requirements, contractual restrictions and such other factors as Rezolve’s board of directors deems relevant.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future success depends, in part, on Rezolve’s ability to expand its penetration of the international markets in which it currently operates and to expand into additional international markets. Rezolve’s ability to expand internationally will depend upon its ability to deliver functionality and other features that reflect the needs and preferences of the international customers that we target and to successfully navigate the risks inherent in operating a business internationally. Any new geographic market could have different characteristics from the markets in which Rezolve currently operates, and Rezolve’s success in such markets will depend on its ability to adapt properly to these differences. These differences may include limited or unfavorable intellectual property protection, international political or economic conditions, restrictions on the repatriation of earnings, longer sales cycles, warranty expectations, differing regulatory requirements, tax laws, trade laws, labor regulations, corporate formation laws and requirements and tariffs. In addition, expanding into new geographic markets will increase Rezolve’s exposure to presently existing risks, such as fluctuations in the value of foreign currencies and difficulties and increased expenses in complying with U.S. and foreign laws, regulations and trade standards.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regional or global health pandemic, including the global COVID-19 pandemic, may adversely impact Rezolve’s business, results of operations and financial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regional or global health pandemic, depending upon its duration and severity, could have a material adverse effect on our business. For example, in March 2020, the World Health Organization characterized COVID-19 as a global pandemic, which has had numerous effects on the global economy. The COVID-19 pandemic and efforts to control its spread significantly curtailed the movement of people, goods and services, including in most or all of the regions in which Rezolve sells its offerings and services and conducts its business operations. While Rezolve has so far been able to mitigate the impacts of the COVID-19 pandemic on its business, Rezolve cannot guarantee that this will continue to be the case or that a pandemic in the future will have the same outcome.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Rezolve’s results have not been materially affected by COVID-19 to date, Rezolve is unable to accurately predict the impact that other global health crises will have on Rezolve’s or its business partners’ or customers’ operations.</w:t>
      </w:r>
    </w:p>
    <w:p>
      <w:pPr>
        <w:pStyle w:val="TextBody"/>
        <w:bidi w:val="0"/>
        <w:spacing w:before="240" w:after="283"/>
        <w:jc w:val="left"/>
        <w:rPr>
          <w:rFonts w:ascii="Times New Roman" w:hAnsi="Times New Roman"/>
          <w:sz w:val="20"/>
        </w:rPr>
      </w:pPr>
      <w:r>
        <w:rPr>
          <w:rFonts w:ascii="Times New Roman" w:hAnsi="Times New Roman"/>
          <w:color w:val="000000"/>
          <w:sz w:val="20"/>
        </w:rPr>
        <w:t>To the extent the COVID-19 pandemic, or any similar future pandemic or related events could have a material adverse effect on Rezolve’s or Rezolve’s customers’ and business partners’ business, financial condition, results of operations and/or liquidity, it may also have the effect of heightening many of the other risks described in this “</w:t>
      </w:r>
      <w:r>
        <w:rPr>
          <w:rFonts w:ascii="Times New Roman" w:hAnsi="Times New Roman"/>
          <w:i/>
          <w:color w:val="000000"/>
          <w:sz w:val="20"/>
        </w:rPr>
        <w:t>Risk Factors</w:t>
      </w:r>
      <w:r>
        <w:rPr>
          <w:rFonts w:ascii="Times New Roman" w:hAnsi="Times New Roman"/>
          <w:color w:val="000000"/>
          <w:sz w:val="20"/>
        </w:rPr>
        <w:t>” section.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Rezolve is unable to hire, retain and motivate qualified personnel, its business will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future success depends, in part, on its ability to continue to attract and retain highly skilled personnel. The inability to attract or retain qualified personnel or delays in hiring required personnel may seriously harm Rezolve’s business, financial condition and operating results. Rezolve’s ability to continue to attract and retain highly skilled personnel, specifically employees with technical and engineering skills and employees with high levels of experience in designing and developing software and internet-related services, will be critical to Rezolve’s future success. Competition for highly skilled personnel can be intense due in part to the more limited pool of qualified personnel as compared to other types of employees. In addition, to the extent Rezolve hires personnel from competitors, Rezolve may be subject to allegations that such personnel have been improperly solicited or divulged proprietary or other confidential information. While Rezolve intends to issue stock options or other equity awards as key components of its overall compensation and employee attraction and retention efforts, it is required under U.S. GAAP to recognize compensation expense in its operating results for employee stock-based compensation under its equity grant programs which may increase the pressure to limit stock-based compensation.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is dependent on the continued services and performance of its senior management and other key employees, the loss of any of whom could adversely affect Rezolve’s business, operating results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future performance depends on the continued services and contributions of Rezolve’s senior management, including Rezolve’s Chief Executive Officer, Daniel Wagner, Chief Financial Officer, Richard Burchill, Chief Technology Officer, Salman Ahmad, and Chief Executive Officer for Technology, Product and Digital Services, Sauvik Banerjjee, and other key employees to execute its business plan and to identify and pursue new opportunities and offering innovations. The loss of services of senior management or other key employees could significantly delay or prevent the achievement of Rezolve’s strategic objectives. In addition, certain of the members of Rezolve’s current senior management team have only been working together for a short period of time, which could adversely impact Rezolve’s ability to achieve its goals. From time to time, there may be changes in Rezolve’s senior management team resulting from the hiring or departure of executives, which could disrupt Rezolve’s business. Rezolve does not maintain key person life insurance policies on any of its employees other than a policy providing limited coverage on the life of its Chief Executive Officer. The loss of the services of one or more of Rezolve’s senior management or other key employees for any reason could adversely affect Rezolve’s business, financial condition and operating results and require significant amounts of time, training and resources to find suitable replacements and integrate them within Rezolve’s business, and could affect Rezolve’s corporate culture.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expects to be dependent upon consumers’ and merchants’ willingness to use the internet and internet-enabled mobile devices for commerce.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success depends upon the general public’s continued willingness to use the internet and internet-enabled mobile devices as a means to pay for purchases, communicate, access social media, research and conduct commercial transactions, including through mobile devices. If consumers or merchants become unwilling or less willing to use the internet or internet-enabled mobile devices for commerce for any reason, including lack of access to high-speed communications equipment, congestion of traffic on the internet, internet outages or delays, disruptions or other damage to merchants’ and consumers’ computers, increases in the cost of accessing the internet and cybersecurity, data protection, and privacy risks or the perception of such risks, Rezolve’s business could be adversely affected.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Rezolve’s Software, Platform, and Security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Rezolve’s software or platform contains serious errors or defects, Rezolve may lose revenues and market acceptance and may incur costs to defend or settle claims with its merchants.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Software or platforms such as Rezolve’s may contain errors, defects, security vulnerabilities or bugs that are difficult to detect and correct, particularly when first introduced or when new versions or enhancements are released. Despite internal testing, Rezolve’s software or platform may contain serious errors or defects, security vulnerabilities or bugs that Rezolve may be unable to successfully detect, correct or otherwise address in a timely manner or at all, which could result in security breaches or incidents, interruptions, lost revenues, significant expenditures of capital, a delay or loss in market acceptance, damage to Rezolve’s reputation and brand, and other harm, any of which could have an adverse effect on its business, financial condition, and operations. Furthermore, Rezolve’s software and platform is a multi-tenant cloud-based system that allows Rezolve to deploy new versions and enhancements to all of its merchants simultaneously. To the extent Rezolve deploys new versions or enhancements that contain errors, defects, security vulnerabilities or bugs to all of its merchants simultaneously, the consequences would be more severe than if such versions or enhancements were only deployed to a smaller number of its merchants.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Rezolve expects its merchants will use its software or platform for processes that are critical to their businesses, errors, defects, security vulnerabilities, service interruptions or bugs, or security breaches or incidents of, Rezolve’s software or platform could result in losses to its merchants. Rezolve’s merchants may seek significant compensation from Rezolve for any losses they suffer or believe they may have suffered or cease conducting business with Rezolve altogether. Further, merchants could share negative information about their experiences with Rezolve on social media or in other channels or forums, which could result in damage to Rezolve’s reputation and loss of future sales. There can be no assurance that provisions typically included in Rezolve’s agreements with its merchants that attempt to limit its exposure to claims would be enforceable or adequate or would otherwise protect Rezolve from liabilities or damages with respect to any particular claim. Even if not successful, a claim brought against Rezolve by any of its merchants would likely be time-consuming and costly to defend against and could seriously damage Rezolve’s reputation and brand, making it harder for Rezolve to sell its offerings and services.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denial of service attack or security breach or incident could delay or interrupt service to Rezolve’s merchants and their customers, harm Rezolve’s reputation and subject Rezolve to significant liability.</w:t>
      </w:r>
    </w:p>
    <w:p>
      <w:pPr>
        <w:pStyle w:val="TextBody"/>
        <w:bidi w:val="0"/>
        <w:spacing w:before="120" w:after="283"/>
        <w:jc w:val="left"/>
        <w:rPr>
          <w:rFonts w:ascii="Times New Roman" w:hAnsi="Times New Roman"/>
          <w:sz w:val="20"/>
        </w:rPr>
      </w:pPr>
      <w:r>
        <w:rPr>
          <w:rFonts w:ascii="Times New Roman" w:hAnsi="Times New Roman"/>
          <w:color w:val="000000"/>
          <w:sz w:val="20"/>
        </w:rPr>
        <w:t>Rezolve’s platform and systems may be subject to distributed denial-of-service (“</w:t>
      </w:r>
      <w:r>
        <w:rPr>
          <w:rFonts w:ascii="Times New Roman" w:hAnsi="Times New Roman"/>
          <w:b/>
          <w:i/>
          <w:color w:val="000000"/>
          <w:sz w:val="20"/>
        </w:rPr>
        <w:t>DDoS</w:t>
      </w:r>
      <w:r>
        <w:rPr>
          <w:rFonts w:ascii="Times New Roman" w:hAnsi="Times New Roman"/>
          <w:color w:val="000000"/>
          <w:sz w:val="20"/>
        </w:rPr>
        <w:t xml:space="preserve">”) attacks and other sources of disruption or interruption, or security breaches or incidents, including catastrophic events, error or malfeasance by employees, contractors, or other third parties, equipment malfunction or constraints, software defects or deficiencies, bugs, vulnerabilities, computer viruses, ransomware, and other malware, phishing attacks, and cyberattacks. Rezolve cannot guarantee that applicable recovery systems, security protocols, network protection mechanisms and other procedures or measures are or will be adequate to identify, detect, prevent or mitigate any such events. Techniques used to obtain unauthorized access to systems and data change frequently and the size of DDoS attacks is increasing while other threats, including ransomware, increasingly are prevalent in Rezolve’s industry. Such threats also may be heightened as a result of many of Rezolve’s employees and contractors working remotely. Rezolve may be unable to identify or implement adequate preventative measures for any cyberattack, disruption, interruption or other security breach or incident, cease or mitigate attacks or other sources of system disruptions or security breaches or incidents, or remediate them in a timely manner or at all. A DDoS attack or security breach or incident could delay or interrupt service to Rezolve’s merchants and their customers and may deter consumers from visiting Rezolve’s merchants’ shops. In addition, any actual or perceived DDoS attack or other source of system interruption or disruption, or security breach or incident, could result in a loss of or unauthorized use, alteration, unavailability, disclosure or other processing or compromise of personal data, intellectual property or confidential data of Rezolve and its customers, damage Rezolve’s reputation and brand, result in a loss of business, expose Rezolve to a risk of claims, demands and litigation by private parties, and investigations or other proceedings by governmental authorities, possible fines, penalties and other liabilities, and require Rezolve to expend significant capital and other resources in efforts to alleviate problems caused by the interruption, disruption or security breach or incident. Rezolve also may be required to incur significant costs in an effort to prevent and mitigate system and network disruptions and cyberattacks and other sources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security breaches and incidents. Rezolve engages third-party service providers to store and otherwise process certain of its data, including confidential information and personal and other data relating to individuals. Its service providers may also be the targets of cyberattacks and other malicious activity and other sources of security breaches and incidents, which create similar risks for Rezolve.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jurisdictions have enacted laws requiring companies to notify individuals of data security breaches involving certain types of personal data and Rezolve’s agreements with certain customers require Rezolve to notify them in the event of a security incident. Such mandatory disclosures or any other disclosures regarding any such event could lead to negative publicity and may cause Rezolve’s merchants to lose confidence in the effectiveness of its data security measures. Moreover, if a high-profile security breach or incident occurs with respect to another SaaS provider, merchants may lose trust in the security of the SaaS business model generally, which could adversely impact Rezolve’s ability to retain existing merchants or attract new ones. Any of these circumstances could have an adverse effect on Rezolve’s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uses a limited number of data centers to deliver its services. Any disruption of service at these facilities could harm Rezolve’s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currently manages its services and serves all of its merchants from third-party data center facilities. While Rezolve owns the hardware on which its platform runs and deploys this hardware to the data center facilities, Rezolve does not control the operation of these facilities. Rezolve has experienced, and may in the future experience, failures at the third-party data centers where its hardware is deployed. Data centers are vulnerable to damage or interruption from human error, intentional bad acts, earthquakes, hurricanes, floods, fires, conflicts (including the conflict in Ukraine), terrorist attacks, power losses, hardware failures, systems failures, outages, telecommunications failures, and other events. Any of these events could result in lengthy interruptions in Rezolve’s services. Changes in law or regulations applicable to data centers in various jurisdictions, or in their interpretation or enforcement, could also cause a disruption in service. Certain jurisdictions may also impose data localization requirements, which mandate information to be stored in the jurisdiction of origin. These regulations may inhibit Rezolve’s ability to expand into those markets or prohibit Rezolve from offering services in those markets without significant additional costs. Interruptions in Rezolve’s services would reduce its revenues, subject Rezolve to potential liability and adversely affect its ability to retain its merchants or attract new merchants. The performance, reliability and availability of Rezolve’s platform are critical to its reputation and ability to attract merchants. Merchants could share negative information about experiences with Rezolve on social media and in other forums, which could result in damage to Rezolve’s reputation and loss of future sales. Any of the risks above, if realized, could have an adverse effect on Rezolve’s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Providers of internet browsers may from time to time introduce new features that could make it difficult for merchants to use Rezolve’s platform. In addition, internet browsers for desktop or mobile devices could introduce new features or change existing browser specifications, which could result in them being incompatible with Rezolve’s platform, or preventing consumers from accessing Rezolve’s merchants’ shops. Any changes to technologies used in Rezolve’s platform, to existing features that Rezolve relies on, or to operating systems or internet browsers, that make it difficult for merchants to access Rezolve’s platform or consumers to access Rezolve’s merchants’ shops, could adversely impact Rezolve’s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relies on computer hardware, purchased or leased, and software licensed from and services rendered by third parties in order to provide its solutions and run its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relies on computer hardware, purchased or leased, and software licensed from and services rendered by third parties to provide its solutions and run its business. Third-party hardware, software and services may not continue to be available on commercially reasonable terms, or at all. Any loss of the right to use or any failures of third-party hardware, software or services, particularly when such third-party is a sole source supplier to Rezolve, could result in delays in Rezolve’s ability to provide its solutions or run its business until equivalent hardware, software or services are developed by Rezolve or, if available, identified, obtained and integrated, which could be costly and time-consuming and may not result in an equivalent solution, any of which could have an adverse effect on Rezolve’s business, financial condition and operating results. Further, merchants could assert claims against Rezolve in connection with such service disruptions or cease conducting business with Rezolve completely. Even if not successful, a claim brought against Rezolve by any of Rezolve’s merchants would likely be time-consuming and costly to defend and could seriously damage Rezolve’s reputation and brand, making it harder for Rezolve to sell its solutions.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Rezolve does not or cannot maintain the compatibility of its platform with third-party applications that its customers use in their businesses, Rezolve’s revenues will decline.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technologies that allow its platform to interoperate with various third-party applications are critically important to its business. Third-party systems are constantly evolving, and it is difficult to predict the challenges that Rezolve may encounter in developing its platform for use with such third-party systems, and Rezolve may not be able to modify its platform to assure its compatibility with the systems of other third parties following any changes to their systems. Without a convenient way for customers that Rezolve expects to have to integrate with Rezolve’s offerings and services, customers may be less likely to renew or upgrade their subscriptions or prospective customers may be less likely to acquire subscriptions, at current prices or at all.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is dependent on the interoperability of its platform with third-party mobile devices and mobile operating systems as well as web browsers that Rezolve does not control. Any changes in such devices, systems or web browsers that degrade the functionality of its platform or give preferential treatment to competitive services could adversely affect usage of its platform. Effective mobile functionality is integral to Rezolve’s current business and long-term development and growth strategy. In the event that Rezolve’s merchants and their customers have difficulty accessing and using Rezolve’s platform on mobile devices, its business, financial condition, and operating results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may store and process personal data of its merchants and their customers. If the security of this information is compromised or otherwise subjected to unauthorized access, Rezolve’s reputation may be harmed and Rezolve may be exposed to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may in the future store and otherwise processes data, including personal data, credit card information, and other confidential information, of its merchants and their customers. Rezolve does not expect to regularly monitor or review the content of data that its merchants upload and store and, therefore, does not control the substance of the content on its servers, which may include personal data. Rezolve may experience successful attempts by third parties to obtain unauthorized access to, or to exfiltrate, alter, or otherwise process without authorization, data of its merchants and their customers. This data could also be lost, used, altered, rendered unavailable, disclosed or otherwise processed or compromised through human error or malfeasance. The unauthorized access to, or loss, unauthorized use, alteration, unavailability, disclosure, processing or other compromise of, this data could have an adverse effect on Rezolve’s business, financial condition and results of operations.</w:t>
      </w:r>
    </w:p>
    <w:p>
      <w:pPr>
        <w:pStyle w:val="TextBody"/>
        <w:bidi w:val="0"/>
        <w:spacing w:before="120" w:after="283"/>
        <w:jc w:val="left"/>
        <w:rPr>
          <w:rFonts w:ascii="Times New Roman" w:hAnsi="Times New Roman"/>
          <w:sz w:val="20"/>
        </w:rPr>
      </w:pPr>
      <w:r>
        <w:rPr>
          <w:rFonts w:ascii="Times New Roman" w:hAnsi="Times New Roman"/>
          <w:color w:val="000000"/>
          <w:sz w:val="20"/>
        </w:rPr>
        <w:t>Rezolve is also subject to laws and regulations regarding privacy, data protection, and cybersecurity, including the EU General Data Protection Regulation, the UK General Data Protection Regulation, and the ePrivacy Directive (collectively, “</w:t>
      </w:r>
      <w:r>
        <w:rPr>
          <w:rFonts w:ascii="Times New Roman" w:hAnsi="Times New Roman"/>
          <w:b/>
          <w:i/>
          <w:color w:val="000000"/>
          <w:sz w:val="20"/>
        </w:rPr>
        <w:t>European Data Protection Laws</w:t>
      </w:r>
      <w:r>
        <w:rPr>
          <w:rFonts w:ascii="Times New Roman" w:hAnsi="Times New Roman"/>
          <w:color w:val="000000"/>
          <w:sz w:val="20"/>
        </w:rPr>
        <w:t>”). European Data Protection Laws regulate the collection, use and other processing of personal data, and impose requirements in connection with such processing that often are more restrictive than in other jurisdictions. For example, European Data Protection Laws may, for example, require companies processing personal data on behalf of customers to cooperate with data protection authorities, implement security measures, enter into data processing agreements, execute standard contractual clauses to effectuate data transfers to third countries, and keep records of data processing activities. Numerous other jurisdictions have also proposed or enacted laws and regulations addressing these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European Data Protection Laws and other laws, regulations and other actual and asserted obligations applicable to privacy, data protection and cybersecurity evolve rapidly and are subject to varying interpretations, and Rezolve may not be or have been, and may face allegations that its activities are not or have not been, compliant with such applicable laws, regulation, or obligations. Certain jurisdictions have enacted laws requiring companies to notify individuals of data security breaches involving certain types of personal data and Rezolve’s agreements with certain merchants require Rezolve to notify them in the event of a security incident. Rezolve posts on its website its privacy policy and terms of service, which describe its practices concerning the use, transmission and disclosure of merchant data and certain other data relating to their customers. In addition, the interpretation of laws, regulations, and obligations in certain jurisdictions, and their application to Rezolve, are unclear and in a state of flux. There is a risk that these laws, regulations, and obligations may be interpreted and applied in conflicting ways, and in manners inconsistent with Rezolve’s practices. Changes to laws, regulations, and other obligations applicable or alleged to be applicable to Rezolve, including certain industry standards and contractual obligations, such as the Payment Card Industry Data Security Standard, may impose more stringent requirements for compliance and impose significant penalties for non-compliance or provide for significant damages in the event of breach or violation. Rezolve expects that there will continue to be new proposed laws, regulations, and obligations relating to privacy, data protection, and cybersecurity, including in the European Economic Area, the United Kingdom and other jurisdictions, and Rezolve cannot yet determine the impact such future laws, regulations, and obligations may have on its business. Any such new laws, regulations, or other actual or asserted obligations relating to privacy, data protection or cybersecurity, or changing interpretations of such laws, regulations, or obligations, may cause Rezolve to modify its policies and practices, which may involve expending substantial costs and require substantial time and effort from management and technical personnel, in efforts to comply with them. Because Rezolve’s services are accessible worldwide, certain foreign jurisdictions may claim that Rezolve is required to comply with their laws, regulations, and obligations, including in jurisdictions where Rezolve has no local entity, employees or infrastructure.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Rezolve’s failure or perceived failure to comply with federal, state, provincial, and foreign laws, regulations, or other actual and asserted obligations regarding privacy, data protection or cybersecurity could lead to investigations, inquiries, and other proceedings by governmental authorities, significant fines, penalties and other liabilities imposed by regulators, as well as claims, demands and litigation by Rezolve’s merchants or their customers or other private actors. These matters could force Rezolve to spend money in efforts to defend or settle proceedings, result in the imposition of monetary and other liabilities, including orders to modify or cease certain practices and other obligations, divert management’s time and attention, increase Rezolve’s costs of doing business, and adversely affect Rezolve’s reputation and market position and the demand for Rezolve’s solutions. For example, noncompliance with the UK General Data Protection Regulation can trigger fines of up to GBP 17.5 million or 4% of global annual revenues, whichever is higher. If Rezolve’s efforts to comply with laws, regulations, and obligations are not or are not perceived to be successful, Rezolve may be subject to penalties and fines that could adversely impact its business, financial condition, and operating results, and could face significant impairment of its ability to conduct business in the United Kingdom, the European Economic Area, and other jurisdictions. In addition, if Rezolve’s security measures fail to protect credit card information adequately, Rezolve could be liable to both its merchants and their customers for their losses, as well as Rezolve’s payments processing partners under its agreements with them. As a result, Rezolve could be subject to fines and higher transaction fees, Rezolve could lose its ability to accept certain types of payments, Rezolve could face regulatory and private action, and Rezolve’s merchants could end their relationships with it. There can be no assurance that the limitations of liability in Rezolve’s contracts would be enforceable or adequate or would otherwise protect Rezolve from any such liabilities or damages with respect to any particular claim. The successful assertion of one or more large claims against Rezolve could have an adverse effect on Rezolve’s business, financial condition and results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Rezolve’s Brand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Rezolve’s brand is important to its success. If Rezolve fails to effectively maintain, promote and enhance Rezolve’s brand, Rezolve’s business and competitive advantage may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believes that maintaining, promoting and enhancing the Rezolve brand is important to expanding its business. Maintaining and enhancing Rezolve’s brand will depend largely on Rezolve’s ability to provide high-quality, well-designed, useful, reliable and innovative solutions, which Rezolve may not do successfully.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Errors, defects, disruptions or other performance problems with Rezolve’s platform may harm Rezolve’s reputation and brand. Rezolve may introduce new solutions or terms of service that its merchants and their customers do not like, which may negatively affect Rezolve’s brand. Additionally, if Rezolve’s merchants or their customers have a negative experience using Rezolve’s solutions such an experience may affect Rezolve’s brand.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 believes that the importance of brand recognition will increase as competition in its market increases. In addition to Rezolve’s ability to provide reliable and useful solutions at competitive prices, successful promotion of its brand will depend on the effectiveness of its marketing efforts. While Rezolve markets its platform primarily through advertisements, targeted media campaigns and social networking and media sites, Rezolve’s platform is also marketed through a number of free-traffic sources, including customer referrals and word-of-mouth. Rezolve’s efforts to market its brand have involved significant expenses, which Rezolve intends to increase. Rezolve’s marketing spend may not yield increased revenues, and even if it does, any increased revenues may not offset the expenses Rezolve incurs in building and maintaining its brand.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Activities of merchants or the content of their shops could damage Rezolve’s brand, subject Rezolve to liability and harm its business and financial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terms of service prohibit Rezolve’s merchants from using Rezolve’s platform to engage in illegal activities and Rezolve’s terms of service permit Rezolve to take down a merchant’s shop if Rezolve becomes aware of such illegal use. Merchants may nonetheless engage in prohibited or illegal activities or upload store content in violation of applicable laws, which could subject Rezolve to liability. Furthermore, Rezolve’s brand may be negatively impacted by the actions of merchants that are deemed to be hostile, offensive, inappropriate or illegal. Rezolve does not proactively monitor or review the appropriateness of the content of Rezolve’s merchants’ shops and Rezolve does not have control over merchant activities. The safeguards Rezolve has in place, including deep-learning tools which analyze text, URLs, images, audio and video for unwanted material (including, but not limited to, profanity, mature or adult material, content depicting violence, hate speech, depictions of illegal drugs and data or internet locations recognized as spam), may not be sufficient for Rezolve to avoid liability or avoid harm to Rezolve’s brand, especially if such hostile, offensive, inappropriate or illegal use is high profile, which could adversely affect Rezolve’s business and financial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Rezolve fails to maintain a consistently high level of customer service, Rezolve’s brand, business and financial results may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Rezolve believes its focus on customer service and support is critical to onboarding new merchants and growing its business. As a result, Rezolve has invested heavily in the quality and training of its support team along with the tools used to provide this service. If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is unable to maintain a consistently high level of customer service, Rezolve may lose customers. In addition, Rezolve’s ability to attract new merchants is highly dependent on its reputation and on positive recommendations from its existing merchants. If Rezolve fails to achieve and maintain a consistently high level of customer service, or there is a market perception that Rezolve does not maintain high-quality customer service, such failure or perception could adversely affect Rezolve’s reputation and the number of positive merchant referrals that it receives.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Relating to Rezolve’s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intellectual property rights are important to its business. Rezolve relies on the rights and protections afforded by a combination of confidentiality clauses with employees and third parties, trade secrets, copyrights, patents and trademarks to protect its intellectual property, all of which offer only limited protection. The steps Rezolve takes to protect its intellectual property require significant resources and may be inadequate. Rezolve will not be able to protect its intellectual property if Rezolve is unable to enforce its rights or if Rezolve does not detect or is otherwise not made aware of unauthorized use of its intellectual property. Rezolve may be required to use significant resources to monitor and protect these rights. Despite Rezolve’s precautions, it may be possible for unauthorized third parties to copy its platform and use information that Rezolve regards as proprietary to create services that compete with, or otherwise undermine, Rezolve’s. Certain license provisions protecting against unauthorized use, copying, transfer and disclosure of Rezolve’s intellectual property and/or proprietary information may be unenforceable under the laws of certain jurisdictions and foreign countries, or, if legally enforceable, may otherwise be difficult to enforce for other business and legal reasons.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 enters into confidentiality and invention assignment agreements with its employees and consultants and enters into confidentiality agreements with the parties with whom it has strategic relationships and business alliances. No assurance can be given that these agreements will be effective in controlling access to Rezolve’s proprietary information and trade secrets. The confidentiality agreements on which Rezolve relies to protect certain technologies may be breached, may not be adequate to protect Rezolve’s confidential information, trade secrets and proprietary technologies and may not provide an adequate remedy in the event of unauthorized use or disclosure of its confidential information, trade secrets or proprietary technology. Further, these agreements do not prevent Rezolve’s competitors or others from independently developing software that is substantially equivalent or superior to Rezolve’s software. In addition, others may independently discover Rezolve’s trade secrets and confidential information, and in such cases, Rezolve likely would not be able to assert any trade secret rights against such parties. Additionally, Rezolve may from time to time be subject to opposition or similar proceedings with respect to applications for registrations of its intellectual property, including its patents and trademarks. While Rezolve aims to acquire adequate protection of its brand through trademark registrations in key markets, occasionally third parties may have already registered or otherwise acquired rights to identical or similar marks for similar, related, or complimentary services. Rezolve relies on its brand and trademarks to identify its platform and to differentiate its platform and services from those of its competitors, and if Rezolve is unable to adequately protect its trademarks, third parties may use its brand names or trademarks similar to Rezolve’s in a manner that may cause confusion in the market, which could decrease the value of Rezolve’s brand and adversely affect Rezolve’s business and competitive advantages.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Policing unauthorized use of Rezolve’s intellectual property and misappropriation of Rezolve’s technology and trade secrets is difficult and Rezolve may not always be aware of such unauthorized use or misappropriation. Despite Rezolve’s efforts to protect its intellectual property rights, unauthorized third parties may attempt to use, copy or otherwise obtain and market or distribute its intellectual property rights or technology or otherwise develop services with the same or similar functionality as Rezolve’s platform. If Rezolve’s competitors infringe, misappropriate or otherwise misuse Rezolve’s intellectual property rights and Rezolve is not adequately protected, or if Rezolve’s competitors are able to develop a platform with the same or similar functionality as Rezolve’s without infringing Rezolve’s intellectual property, Rezolve’s competitive advantage and results of operations could be harmed. Litigation brought to protect and enforce Rezolve’s intellectual property rights could be costly, time consuming and distracting to management and could result in the impairment, dilution, or loss of portions of Rezolve’s intellectual property rights. As a result, Rezolve may be aware of infringement by its competitors but may choose not to bring litigation to enforce its intellectual property rights due to the strategic considerations, cost, time and distraction of bringing such litigation. Furthermore, if Rezolve does decide to bring litigation, its efforts to enforce its intellectual property rights may be met with defenses, counterclaims or countersuits challenging or opposing Rezolve’s right to use and otherwise exploit particular intellectual property rights, services and technology or the enforceability of Rezolve’s intellectual property rights. Rezolve’s inability to protect its proprietary technology against unauthorized copying or use, as well as any costly litigation or diversion of Rezolve’s management’s attention and resources, could delay further sales or the implementation of Rezolve’s services and offerings, impair the functionality of Rezolve’s platform, prevent or delay introductions of new or enhanced services or offerings, result in Rezolve substituting inferior or more costly technologies into Rezolve’s platform or injure Rezolve’s reputation. Furthermore, many of Rezolve’s current and potential competitors have the ability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dedicate substantially greater resources to developing and protecting their technology or intellectual property rights than Rezolve does.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may be subject to claims by third parties of intellectual property infringement.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software industry is characterized by the existence of a large number of patents and frequent claims and related litigation regarding patents and other intellectual property rights. Third parties may have in the past asserted, and may in the future assert, that Rezolve’s platform, solutions, technology, methods or practices infringe, misappropriate or otherwise violate their intellectual property or other proprietary rights. Such claims may be made by Rezolve’s competitors seeking to obtain a competitive advantage or by other parties. Additionally, in recent years, non-practicing entities have begun purchasing intellectual property assets for the purpose of making claims of infringement and attempting to extract settlements from companies like Rezolve. The risk of claims may increase as the number of solutions that Rezolve offers and competitors in Rezolve’s market increases and overlaps occur. In addition, to the extent that Rezolve gains greater visibility and market exposure, Rezolve faces a higher risk of being the subject of intellectual property infringement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such claims, regardless of merit, that result in litigation could result in substantial expenses, divert the attention of management, cause significant delays in introducing new or enhanced services or technology, materially disrupt the conduct of Rezolve’s business and have a material and adverse effect on Rezolve’s brand, business, financial condition and results of operations. It is possible that patents have been issued to third parties that cover all or a portion of Rezolve’s business. As a consequence of any patent or other intellectual property claims, Rezolve could be required to pay substantial damages, develop non-infringing technology, enter into royalty-bearing licensing agreements, stop selling or marketing some or all of Rezolve’s solutions or re-brand its solutions. Rezolve may also be obligated to indemnify its merchants or partners or pay substantial settlement costs, including royalty payments, in connection with any such claim or litigation and to obtain licenses, modify applications or refund fees, which could be costly. If it appears necessary, Rezolve may seek to secure license rights to intellectual property that Rezolve is alleged to infringe at a significant cost, potentially even if Rezolve believes such claims to be without merit. If required licenses cannot be obtained, or if existing licenses are not renewed, litigation could result. Litigation is inherently uncertain and can cause Rezolve to expend significant resources, time and attention to it, even if Rezolve is ultimately successful. Any adverse decision could result in a loss of Rezolve’s proprietary rights, subject Rezolve to significant liabilities, require Rezolve to seek licenses for alternative technologies from third parties, prevent Rezolve from offering all or a portion of its solutions and otherwise negatively affect its business and operating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Rezolve’s use of “open source” software could negatively affect its ability to sell its solutions and subject Rezolve to possible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solutions incorporate and are significantly dependent on the use and development of “open source” software and Rezolve intends to continue the use and development of open source software in the future. Such open source software is generally licensed by its authors or other third parties under open source licenses and is typically freely accessible, usable and modifiable. Pursuant to such open source licenses, Rezolve may be subject to certain conditions, including requirements that Rezolve offers its proprietary software that incorporates the open source software for no cost, that Rezolve makes available source code for modifications or derivative works it creates based upon, incorporating or using the open source software and that Rezolve licenses such modifications or derivative works under the terms of the particular open source license. If an author or other third party that uses or distributes such open source software were to allege that Rezolve had not complied with the conditions of one or more of these licenses, Rezolve could be required to incur significant legal expenses defending against such allegations and could be subject to significant damages, enjoined from the sale of Rezolve’s solutions that contained or are dependent upon the open-source software and required to comply with the foregoing conditions, which could disrupt the distribution and sale of some of Rezolve’s solutions. Litigation related to the use of open-source software could be costly for Rezolve to defend, have a negative effect on its operating results and financial condition or require it to devote additional research and development resources to change its platform. The terms of many open-source licenses to which Rezolve is subject have not been interpreted by U.S. or foreign courts. As there is little or no legal precedent governing the interpretation of many of the terms of certain of these licenses, the potential impact of these terms on Rezolve’s business is uncertain and may result in unanticipated obligations regarding Rezolve’s solutions and technologies. It is Rezolve’s view that it does not distribute its software, since no installation of software is necessary and its platform is accessible solely through the “cloud.” Nevertheless, this position could be challenged. Any requirement to disclose Rezolve’s proprietary source code, termination of open-source license rights or payments of damages for breach of contract could be harmful to Rezolve’s business, results of operations or financial condition, and could help Rezolve’s competitors develop products, offerings and services that are similar to or better than Rezolve’s.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risks related to license requirements, usage of open-source software can lead to greater risks than the use of third-party commercial software, as open source licensors generally do not provide warranties, controls on the origin or development of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software, or remedies against the licensors. Many of the risks associated with usage of open source software cannot be eliminated and could adversely affect Rezolve’s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Rezolve believes that it has complied with its obligations under the various applicable licenses for open source software, it is possible that Rezolve may not be aware of all instances where open-source software has been incorporated into its proprietary software or used in connection with its solutions or its corresponding obligations under open-source licenses. Rezolve has open-source software usage policies or monitoring procedures in place but cannot assure that such policies and procedures will be effective in avoiding improper use of open-source software. To the extent that Rezolve has failed to comply with its obligations under particular licenses for open-source software, Rezolve may lose the right to continue to use and exploit such open-source software in connection with its operations and solutions, which could disrupt and adversely affect its business.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Relating to Legal and Regulatory Compliance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Claims for indemnification by Rezolve’s directors and officers may reduce Rezolve’s available funds to satisfy successful third-party claims against Rezolve and may reduce the amount of money available to Rezolve.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Memorandum and Articles of Association provide that Rezolve will indemnify its directors and officers, in each case to the fullest extent permitted by English law. More particularly, as permitted by English law, Rezolve’s Memorandum and Articles of Association and its indemnification agreements entered into with its directors and officers provide that, subject to the exceptions and limitations listed below, every person who is, or has been, a director or officer of Rezolve or a direct or indirect subsidiary of Rezolve shall be indemnified by Rezolve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 However, no indemnification shall be provided to any director or officer of Rezolve or a direct or indirect subsidiary of Rezolve (i) by reason of willful misfeasance, bad faith, gross negligence, or reckless disregard of the duties of a director or officer, (ii) with respect to any matter as to which any director or officer has been finally adjudicated to have acted in bad faith and against the interest of Rezolve, or (iii) in the event of a settlement, unless approved by a court or the board of directors. Rezolve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Rezolve or a direct or indirect subsidiary of Rezolve. The right of indemnification will be severable, will not affect any other rights to which any director or officer of Rezolve or a direct or indirect subsidiary of Rezolve 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including directors and officers, may be entitled by contract or otherwise under law. Expenses in connection with the preparation and representation of a defense of any claim, action, suit or proceeding will be advanced by Rezolve prior to final disposition thereof upon receipt of any undertaking by or on behalf of the officer or director, to repay such amount if it is ultimately determined that he or she is not entitled to indemnification.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is subject to the U.S. Foreign Corrupt Practices Act, the U.K. Bribery Act 2010, and possibly other anti-bribery and anti-corruption laws and anti-money laundering laws in countries outside of the United States where Rezolve conducts its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 may leverage third parties to sell its offerings and conduct its business abroad. Rezolve, its employees, agents, representatives, business partners and third-party intermediaries may have direct or indirect interactions with officials and employees of government agencies or state-owned or affiliated entities, and Rezolve may be held liable for the corrupt or other illegal activities of these employees, agents, representatives, business partners or third-party intermediaries even if Rezolve does not explicitly authorize such activities. Rezolve cannot assure you that all of its employees and agents will not take actions in violation of applicable law, for which Rezolve may be ultimately held responsible. As Rezolve increases its international sales and business, Rezolve’s risks under these laws may increase.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laws also require that Rezolve keeps accurate books and records and maintains internal controls and compliance procedures designed to prevent any such actions. While Rezolve has policies and procedures to address compliance with such laws,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 cannot assure you that none of its employees, agents, representatives, business partners or third-party intermediaries will take actions in violation of Rezolve’s policies and applicable law, for which Rezolve may be ultimately held responsible.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allegations or violation of anti-corruption and anti-bribery laws could subject Rezolve to whistleblower complaints, adverse media coverage, investigations, severe civil and criminal sanctions, settlements, prosecution, enforcement actions, fines, damages, loss of export privileges, suspension or debarment from government contracts and other collateral consequences and remedial measures, all of which could adversely affect Rezolve’s business, prospects, financial condition, results of operations and reputation. Responding to any investigation or action will likely result in a significant diversion of management’s attention and resources and significant defense costs and other professional fees.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Enhanced trade tariffs, import restrictions, export restrictions, United States regulations or other trade barriers may materially harm Rezolve’s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is continuing to expand its international operations and sales as part of its strategy which may present various risks to its business. Countries have imposed tariffs on imports from various jurisdictions, including on imports from jurisdictions where Rezolve sources products, which could increase the prices that Rezolve pays for certain products. Furthermore, governments have, and may continue to, impose tariffs and other trade restrictions that could increase the costs of Rezolve’s offerings in certain jurisdictions. The increased cost of Rezolve’s offerings may result in Rezolve losing Channels or merchants, which, in turn, could reduce Rezolve’s sales and harm Rezolve’s business and financial condition. Rezolve’s business also may be adversely impacted by retaliatory trade measures taken by the U.S. government or non-U.S. governments, which could materially harm Rezolve’s business, financial condition and operations. Rezolve’s business also could be adversely impacted by new economic sanctions, trade sanctions, and export controls. The imposition of economic sanctions, trade sanctions, or export controls could limit Rezolve’s ability to make sales in certain jurisdictions or to source products from certain jurisdictions, which could harm Rezolve’s business and its financial condition. Further, the continued threats of tariffs, trade restrictions (including sanctions and export controls) and trade barriers may have a disruptive impact on the global economy. Any such changes could directly and adversely impact Rezolve’s business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From time to time, Rezolve may be involved in legal proceedings and commercial or contractual disputes, which could have an adverse impact on Rezolve’s profitability and consolidated financial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may be involved in legal proceedings and commercial or contractual disputes that, from time to time, are significant. Such claims may include, without limitation, commercial or contractual disputes, including disputes with merchants, intellectual property matters, personal injury claims, tax matters, and employment matters. Efforts to defend against such claims may entail significant costs and harm Rezolve’s reputation, all of which could adversely affect Rezolve’s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Certain provisions of the Articles and English law could deter takeover attempts.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provisions in the Articles and the application of the UK Takeover Code to Rezolve could delay, prevent or make more difficult a merger, tender offer, proxy contest or change of control. Rezolve’s shareholders might view any transaction of this type as being in their best interest since the transaction could result in a higher stock price than the then-current market price for Ordinary Shares.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Ownership of Ordinary Shares and Rezolve Operating as a Public Company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trading price of Ordinary Shares could be volatile, and the value of Ordinary Shares may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predict the prices at which Ordinary Shares will trade. The price of Ordinary Shares s is likely to be volatile and could be subject to fluctuations in response to various factors, some of which are beyond our control. These fluctuations could cause you to lose all or part of your investment in Ordinary Shares as you might be unable to sell your shares at or above the price you paid. Factors that could cause fluctuations in the trading price of Ordinary Shares include the following: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and volume fluctuations in the overall stock market from time to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volatility in the market prices and trading volumes of technology company stocks;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operating performance and stock market valuations of other technology companies generally, or those in Rezolve’s industry in particular;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shares of Ordinary Shares by shareholders;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securities analysts to initiate or maintain coverage of Rezolve, changes in financial estimates by securities analysts who follow Rezolve, or Rezolve’s failure to meet these estimates or the expectations of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projections Rezolve may provide to the public, any changes in those projections, or Rezolve’s failure to meet those projections;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Rezolve or its competitors of new offerings or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public’s reaction to Rezolve’s press releases, other public announcements, and filings with the SEC;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how customers perceive the benefits of Rezolve’s offerings and services, and future offerings;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payment systems;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rumors and market speculation involving Rezolve or other companies in the same or similar industry;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Rezolve’s results of operations or fluctuations in Rezolve’s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developments in Rezolve’s business, Rezolve’s competitors’ businesses, or the competitive landscape generally;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involving Rezolve, Rezolve’s industry or both, or investigations by regulators into Rezolve’s operations or those of Rezolve’s competitors;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Rezolve’s intellectual property or other proprietary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security breach or incident involving our offerings, services or site or data stored or processed by us or on our behalf;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announced or completed acquisitions of businesses, commercial relationships, offerings, services, or technologies by Rezolve or its competitors;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laws or regulations or new interpretations of existing laws or regulations applicable to Rezolve’s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accounting standards, policies, guidelines, interpretations, or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adverse consequences related to the Rezolve Founder weighted voting capital structure, such as stock index providers excluding companies with weighted voting capital structures from certain indices;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significant change in Rezolve’s management;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conditions and slow or negative growth of Rezolve’s markets and war or other hostilities.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if the market for technology stocks or the stock market in general experiences a loss of investor confidence, the trading price of Ordinary Shares could decline for reasons unrelated to our business, financial condition or results of operations. The trading price of Ordinary Shares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share price is volatile, we may become the target of securities litigation. Securities litigation could result in substantial costs and divert our management’s attention and resources from our business. This could have an adverse effect on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There can be no assurance that the Public Warrants will ever be in the money at the time they become exercisable or otherwise, and they may expire worthless.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exercise price for the Public Warrants is $11.50 per Ordinary Share. There is no guarantee that such Public Warrants will ever be in the money prior to their expiration, and as such, the warrants may expire worthless.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market for our securities may not be sustained, which would adversely affect the liquidity and price of Ordinary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active trading market for our securities may not be sustained. In addition, the price of our securities can vary due to general economic conditions and forecasts, Rezolve’s general business condition and the release of Rezolve’s financial reports. Additionally, if our securities become delisted from the Nasdaq and are quoted on the OTC Bulletin Board (an inter-dealer automated quotation system for equity securities that is not a national securities exchange) or Rezolve’s securities are not listed on the Nasdaq and are quoted on the OTC Bulletin Board, the liquidity and price of our securities may be more limited than if we were quoted or listed on the New York Stock Exchange, Nasdaq or another national securities exchange. The lack of an active market may impair your ability to sell your Rezolve securities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There can be no assurance that Rezolve will be able to comply with the continued listing standards of Nasdaq.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Nasdaq delists Rezolve’s securities from trading on its exchange for failure to continue to comply with its listing standards, Rezolve and its stockholders could face significant material adverse consequences including: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limited availability of market quotations for Rezolve’s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determination that the Ordinary Shares are a “penny stock” which will require brokers trading in our Ordinary Shares to adhere to more stringent rules, possibly resulting in a reduced level of trading activity in the secondary trading market for the Ordinary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limited amount of analyst coverage;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decreased ability to issue additional securities or obtain additional financing in the future.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securities or industry analysts publish reports that are interpreted negatively by the investment community or publish negative research reports about our business, our share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 interpreted negatively by the investment community, or have a negative tone regarding our business, financial condition or results of operations, industry or end-markets, our share price could decline. In addition, if a majority of these analysts cease coverage of our company or fail to regularly publish reports on us, we could lose visibility in the financial markets, which could cause our share price or trading volume to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an “emerging growth company,” and our election to comply with the reduced disclosure requirements as a public company may make our Ordinary Shares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that term is used in the JOBS Act, and we may remain an emerging growth company until the earlier of (i) the last day of the fiscal year (A) following the fifth anniversary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so long as we remain an emerging growth company, we are permitted and intend to rely on exemptions from certain disclosure requirements that are applicable to other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shareholder approval of any golden parachute payments not previously approved. We may choose to take advantage of some, but not all, of these reduced reporting burdens. Accordingly, the information we provide to our shareholders may be different than the information you receive from other public companies in which you hold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Rezolve is a “foreign private issuer” and, as a result, we are permitted to rely on exemptions from certain stock exchange corporate governance standards applicable to U.S. issuers. This may afford less protection to holders of Ordinary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foreign private issuer whose ordinary shares are listed on the Nasdaq, we are permitted to follow certain home country corporate governance practices in lieu of requirements under U.S. securities laws that apply to U.S. domestic public companies, provided that we disclose the requirements we are not following and describe the home country practices we are following. Certain of the requirements that we are permitted to not comply with as a foreign private issuer include: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rules under the Exchange Act requiring the filing with the SEC of quarterly reports on Form 10-Q or current reports on Form 8-K;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sections of the Exchange Act regulating the solicitation of proxies, consents, or authorizations in respect of a security registered under the Exchange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sections of the Exchange Act requiring insiders to file public reports of their stock ownership and trading activities and liability for insiders who profit from trades made in a short period of time;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Nasdaq Rule 5635 requiring that a listed company obtain shareholder approval prior to an issuance of securities, including for acquisitions, equity-based compensation, changes of control, and private placements.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be required to file an annual report on Form 20-F within four months of the end of each fiscal year. In addition, we intend to publish our results on a semi-yearly basis as press releases, distributed pursuant to the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pStyle w:val="TextBody"/>
        <w:bidi w:val="0"/>
        <w:spacing w:before="240" w:after="283"/>
        <w:jc w:val="left"/>
        <w:rPr>
          <w:rFonts w:ascii="Times New Roman" w:hAnsi="Times New Roman"/>
          <w:sz w:val="20"/>
        </w:rPr>
      </w:pPr>
      <w:r>
        <w:rPr>
          <w:rFonts w:ascii="Times New Roman" w:hAnsi="Times New Roman"/>
          <w:color w:val="000000"/>
          <w:sz w:val="20"/>
        </w:rPr>
        <w:t>In addition, as a foreign private issuer we will be exempt from the provisions of Regulation Fair Disclosure (“</w:t>
      </w:r>
      <w:r>
        <w:rPr>
          <w:rFonts w:ascii="Times New Roman" w:hAnsi="Times New Roman"/>
          <w:b/>
          <w:i/>
          <w:color w:val="000000"/>
          <w:sz w:val="20"/>
        </w:rPr>
        <w:t>Regulation FD</w:t>
      </w:r>
      <w:r>
        <w:rPr>
          <w:rFonts w:ascii="Times New Roman" w:hAnsi="Times New Roman"/>
          <w:color w:val="000000"/>
          <w:sz w:val="20"/>
        </w:rPr>
        <w:t>”), which prohibits issuers from making selective disclosure of material nonpublic information. Even though we intend to comply voluntarily with Regulation FD, these exemptions and leniencies will reduce the frequency and scope of information and protections to which our shareholders are entitled as investors.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Rezolve shares are not listed, and we do not currently intend to list Rezolve shares on any market in the United Kingdom, Rezolve’s country of incorporation. As a result, we are not subject to the reporting and other requirements of companies listed in the United Kingdom.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lose our foreign private issuer status in the future, which could result in significant additional cost and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maintain our current status as a foreign private issuer, either (a) more than 50% of our outstanding voting securities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 of Section 16 of the Exchange Act. In addition, we may also be required to make changes in our corporate governance practices in accordance with various SEC and Nasdaq rules. The additional requirements that we would become subject to if we were to lose our foreign private issuer status could lead us to incur significant additional legal, accounting and other expenses.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issuance of additional Ordinary Shares in connection with financings, acquisitions, investments, our stock incentive plans, or otherwise will dilute all other shareholders.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issue additional capital stock in the future that will result in dilution to all other shareholders. We expect to grant equity awards to employees, directors, consultants and contractors under our stock incentive plans. We may issue shares in the future and pursuant to the Standby Purchase Agreement and other convertible securities. We may also raise capital through equity financings in the future. As part of our business strategy, we may acquire or make investments in complementary companies, offerings or technologies and issue equity securities to pay for any such acquisition or investment. Any such issuances of additional capital stock may cause shareholders to experience significant dilution of their ownership interests and the per share value of our Ordinary Shares to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incur increased costs as a result of operating as a public company, and our management is required to devote substantial time to compliance with our public company responsibilities and corporate governance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incur significant legal, accounting and other expenses that we did not incur as a private company, which we expect to further increase after we are no longer an “emerging growth company” and/or a foreign private issuer. The Sarbanes-Oxley Act, the Dodd-Frank Wall Street Reform and Consumer Protection Act, the Nasdaq listing requirements, and other applicable securities rules and regulations impose various requirements on public companies. Our management and other personnel are not experienced in managing a public company and are required to devote a substantial amount of time to compliance with these requirements. Moreover, these rules and regulations increase our legal and financial compliance costs and will make some activities more time-consuming and costly. We cannot predict or estimate the amount of additional costs we will incur as a public company or the specific timing of such costs.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 holders that directly or indirectly own 10% or more of our equity interests may be subject to adverse U.S. federal income tax consequences under rules applicable to U.S. shareholders of controlled foreign corporations.</w:t>
      </w:r>
    </w:p>
    <w:p>
      <w:pPr>
        <w:pStyle w:val="TextBody"/>
        <w:bidi w:val="0"/>
        <w:spacing w:before="120" w:after="283"/>
        <w:jc w:val="left"/>
        <w:rPr>
          <w:rFonts w:ascii="Times New Roman" w:hAnsi="Times New Roman"/>
          <w:sz w:val="20"/>
        </w:rPr>
      </w:pPr>
      <w:r>
        <w:rPr>
          <w:rFonts w:ascii="Times New Roman" w:hAnsi="Times New Roman"/>
          <w:color w:val="000000"/>
          <w:sz w:val="20"/>
        </w:rPr>
        <w:t>A non-U.S. corporation generally will be classified as a controlled foreign corporation for U.S. federal income tax purposes (a “</w:t>
      </w:r>
      <w:r>
        <w:rPr>
          <w:rFonts w:ascii="Times New Roman" w:hAnsi="Times New Roman"/>
          <w:b/>
          <w:i/>
          <w:color w:val="000000"/>
          <w:sz w:val="20"/>
        </w:rPr>
        <w:t>CFC</w:t>
      </w:r>
      <w:r>
        <w:rPr>
          <w:rFonts w:ascii="Times New Roman" w:hAnsi="Times New Roman"/>
          <w:color w:val="000000"/>
          <w:sz w:val="20"/>
        </w:rPr>
        <w:t xml:space="preserve">”), if “10% U.S. equityholders” (as defined below) own, directly, indirectly or constructively, more than 50% of either (i) the total combined voting power of all classes of stock of such corporation entitled to vote or (ii) the total value of the stock of such corporation. We do not currently expect that Rezolve will be classified as a CFC, but CFC status is determined after taking into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 complex constructive ownership rules, the application of which may depend on circumstances we are not aware of, and, accordingly, there can be no assurance in this regard. However, certain of Rezolve’s non-U.S. subsidiaries may be classified as CFCs (as a result of the application of certain constructive ownership rules which treat Rezolve’s U.S. subsidiaries as owning the equity of those non-U.S. subsidiaries), and it is possible that we may be classified as a CFC either now or in the future. The U.S. federal income tax consequences for U.S. holders who at all times are not 10% U.S. equityholders of any applicable CFC would not be affected by the CFC rules. However, a U.S. holder that owns (or is treated as owning, directly, indirectly or constructively, including by applying certain attribution rules) 10% or more of the combined voting power of all classes of our stock entitled to vote or the total value of our equity interests (including equity interests attributable to a deemed exercise of options and convertible debt instruments), or a “10% U.S. equityholder”, of us or an applicable subsidiary, if we or an applicable subsidiary were classified as a CFC, would generally be subject to current U.S. federal income taxation on a portion of our or our applicable subsidiaries’ earnings and profits (as determined for U.S. federal income tax purposes), regardless of whether such 10% U.S. equityholder receives any actual distributions. In addition, if we or an applicable subsidiary were classified as a CFC, a portion of any gains realized on the sale of our common shares by a 10% U.S. equityholder may be treated as ordinary income. A 10% U.S. equityholder will also be subject to additional U.S. federal income tax information reporting requirements with respect to our subsidiaries that are classified as CFCs and with respect to us (if we or any of our subsidiaries were classified as a CFC) and substantial penalties may be imposed for noncompliance. We cannot provide any assurances that Rezolve will assist U.S. holders in determining whether Rezolve or any of its subsidiaries are treated as a controlled foreign corporation for U.S. federal income tax purposes or whether any U.S. holder is treated as a 10% U.S. equityholder with respect to any of such controlled foreign corporations or furnish to any holder information that may be necessary to comply with reporting and tax paying obligations if Rezolve, or any of its subsidiaries, is treated as a controlled foreign corporation for U.S. federal income tax purposes. Each U.S. holder should consult its own tax advisor regarding the CFC rules and whether such U.S. holder may be a 10% U.S. equityholder for purposes of these rules.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U.S. shareholders may suffer adverse tax consequences if we are classified as a “passive foreign investment company.”</w:t>
      </w:r>
    </w:p>
    <w:p>
      <w:pPr>
        <w:pStyle w:val="TextBody"/>
        <w:bidi w:val="0"/>
        <w:spacing w:before="120" w:after="283"/>
        <w:jc w:val="left"/>
        <w:rPr>
          <w:rFonts w:ascii="Times New Roman" w:hAnsi="Times New Roman"/>
          <w:sz w:val="20"/>
        </w:rPr>
      </w:pPr>
      <w:r>
        <w:rPr>
          <w:rFonts w:ascii="Times New Roman" w:hAnsi="Times New Roman"/>
          <w:color w:val="000000"/>
          <w:sz w:val="20"/>
        </w:rPr>
        <w:t>A non-U.S. corporation generally will be treated as a “passive foreign investment company” (“</w:t>
      </w:r>
      <w:r>
        <w:rPr>
          <w:rFonts w:ascii="Times New Roman" w:hAnsi="Times New Roman"/>
          <w:b/>
          <w:i/>
          <w:color w:val="000000"/>
          <w:sz w:val="20"/>
        </w:rPr>
        <w:t>PFIC</w:t>
      </w:r>
      <w:r>
        <w:rPr>
          <w:rFonts w:ascii="Times New Roman" w:hAnsi="Times New Roman"/>
          <w:color w:val="000000"/>
          <w:sz w:val="20"/>
        </w:rPr>
        <w:t>”),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Rezolve and its subsidiaries and certain factual assumptions, Rezolve does not currently expect to be treated as a PFIC for the taxable year ending December 31, 2024. However, there can be no assurances in this regard, because PFIC status is determined annually and requires a factual determination that depends on, among other things, the composition of a company’s income, assets and activities in each taxable year, and can only be made annually after the close of each taxable year, and is thus subject to significant uncertainty. Furthermore, because the value of our gross assets is likely to be determined in part by reference to our market capitalization, a decline in the value of our ordinary shares may result in Rezolve becoming a PFIC. Accordingly, there can be no assurance that we will not be considered a PFIC for any taxable year. If we are a PFIC for any taxable year during which a U.S. Holder holds our ordinary shares, certain adverse U.S. federal income tax consequences could apply to such U.S. Holder (as defined in “</w:t>
      </w:r>
      <w:r>
        <w:rPr>
          <w:rFonts w:ascii="Times New Roman" w:hAnsi="Times New Roman"/>
          <w:i/>
          <w:color w:val="000000"/>
          <w:sz w:val="20"/>
        </w:rPr>
        <w:t>Material Tax Considerations</w:t>
      </w:r>
      <w:r>
        <w:rPr>
          <w:rFonts w:ascii="Times New Roman" w:hAnsi="Times New Roman"/>
          <w:color w:val="000000"/>
          <w:sz w:val="20"/>
        </w:rPr>
        <w:t xml:space="preserve">”). Prospective U.S. Holders should consult their tax advisors regarding the potential application of the PFIC rules to them.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Internal Revenue Service may not agree that Rezolve should be treated as a non-U.S. corporation for U.S. federal income tax purposes.</w:t>
      </w:r>
    </w:p>
    <w:p>
      <w:pPr>
        <w:pStyle w:val="TextBody"/>
        <w:bidi w:val="0"/>
        <w:spacing w:before="120" w:after="283"/>
        <w:jc w:val="left"/>
        <w:rPr>
          <w:rFonts w:ascii="Times New Roman" w:hAnsi="Times New Roman"/>
          <w:sz w:val="20"/>
        </w:rPr>
      </w:pPr>
      <w:r>
        <w:rPr>
          <w:rFonts w:ascii="Times New Roman" w:hAnsi="Times New Roman"/>
          <w:color w:val="000000"/>
          <w:sz w:val="20"/>
        </w:rPr>
        <w:t>Although Rezolve is incorporated in England and Wales, the Internal Revenue Service (“</w:t>
      </w:r>
      <w:r>
        <w:rPr>
          <w:rFonts w:ascii="Times New Roman" w:hAnsi="Times New Roman"/>
          <w:b/>
          <w:i/>
          <w:color w:val="000000"/>
          <w:sz w:val="20"/>
        </w:rPr>
        <w:t>IRS</w:t>
      </w:r>
      <w:r>
        <w:rPr>
          <w:rFonts w:ascii="Times New Roman" w:hAnsi="Times New Roman"/>
          <w:color w:val="000000"/>
          <w:sz w:val="20"/>
        </w:rPr>
        <w:t>”) may assert that it should be treated as a U.S. corporation (and therefore a U.S. tax resident) for U.S. federal income tax purposes pursuant to Section 7874 of the Code. For U.S. federal income tax purposes, a corporation is generally considered a U.S. “domestic” corporation (or U.S. tax resident) if it is organized in the United States, and a corporation is generally considered a “foreign” corporation (or non-U.S. tax resident) if it is not a U.S. corporation. Because Rezolve is an entity incorporated in England and Wales, it would generally be classified as a foreign corporation (or non-U.S. tax resident) under these rules. Section 7874 of the Code provides an exception under which a foreign incorporated and foreign tax resident entity may, in certain circumstances, be treated as a U.S. corporation for U.S. federal income tax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 does not currently expect to be treated as a U.S. corporation for U.S. federal income tax purposes under Section 7874 of the Code.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 that Rezolve will not be treated as a U.S. corporation for U.S. federal income tax purposes under Section 7874 of the Code.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Rezolve were treated as a U.S. corporation for U.S. federal income tax purposes under Section 7874 of the Code, Rezolve and certain Rezolve shareholders would be subject to significant adverse tax consequences, including a higher effective corporate income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tax rate on Rezolve and future withholding taxes on certain Rezolve shareholders, depending on the application of any income tax treaty that might apply to reduce such withholding taxes.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9" w:name="transactions_related_to_offering_under"/>
      <w:bookmarkEnd w:id="9"/>
      <w:r>
        <w:rPr>
          <w:rFonts w:ascii="Times New Roman" w:hAnsi="Times New Roman"/>
          <w:b/>
          <w:color w:val="000000"/>
          <w:sz w:val="20"/>
        </w:rPr>
        <w:t>TRANSACTIONS RELATED TO OFFERING UNDER THIS PROSPECTUS</w:t>
      </w:r>
    </w:p>
    <w:p>
      <w:pPr>
        <w:pStyle w:val="TextBody"/>
        <w:bidi w:val="0"/>
        <w:jc w:val="left"/>
        <w:rPr>
          <w:rFonts w:ascii="Times New Roman" w:hAnsi="Times New Roman"/>
          <w:color w:val="000000"/>
          <w:sz w:val="20"/>
        </w:rPr>
      </w:pPr>
      <w:r>
        <w:rPr>
          <w:rFonts w:ascii="Times New Roman" w:hAnsi="Times New Roman"/>
          <w:color w:val="000000"/>
          <w:sz w:val="20"/>
        </w:rPr>
        <w:t>The transactions involving Rezolve securities covered by this prospectus consist of the exercise of 5,000,000 Offering Warrants to purchase 5,000,000 Ordinary Shares underlying the Offering Warrants and the accompanying issuance of those underlying shares. The foregoing warrants were issued pursuant to the Offering, which took place on December 19, 2024 and was completed on December 23, 2024. We describe that transaction below:</w:t>
      </w:r>
    </w:p>
    <w:p>
      <w:pPr>
        <w:pStyle w:val="TextBody"/>
        <w:bidi w:val="0"/>
        <w:jc w:val="left"/>
        <w:rPr>
          <w:rFonts w:ascii="Times New Roman" w:hAnsi="Times New Roman"/>
          <w:b/>
          <w:i/>
          <w:color w:val="000000"/>
          <w:sz w:val="20"/>
        </w:rPr>
      </w:pPr>
      <w:r>
        <w:rPr>
          <w:rFonts w:ascii="Times New Roman" w:hAnsi="Times New Roman"/>
          <w:b/>
          <w:i/>
          <w:color w:val="000000"/>
          <w:sz w:val="20"/>
        </w:rPr>
        <w:t>The Offering</w:t>
      </w:r>
    </w:p>
    <w:p>
      <w:pPr>
        <w:pStyle w:val="TextBody"/>
        <w:bidi w:val="0"/>
        <w:jc w:val="left"/>
        <w:rPr>
          <w:rFonts w:ascii="Times New Roman" w:hAnsi="Times New Roman"/>
          <w:color w:val="000000"/>
          <w:sz w:val="20"/>
        </w:rPr>
      </w:pPr>
      <w:r>
        <w:rPr>
          <w:rFonts w:ascii="Times New Roman" w:hAnsi="Times New Roman"/>
          <w:color w:val="000000"/>
          <w:sz w:val="20"/>
        </w:rPr>
        <w:t>On December 19, 2024 and December 23, 2024, we offered and sold 5,000,000 Ordinary Shares and 5,000,000 Offering Warrants to purchase up to 5,000,000 Ordinary Shares, at a purchase price of $3.00 per share and accompanying Offering Warrant. The aggregate gross proceeds to our company from the Offering were approximately $13.8 million, after deducting Offering expenses payable by the Company, including the Placement Agent’s commissions and fees.</w:t>
      </w:r>
    </w:p>
    <w:p>
      <w:pPr>
        <w:pStyle w:val="TextBody"/>
        <w:bidi w:val="0"/>
        <w:jc w:val="left"/>
        <w:rPr>
          <w:rFonts w:ascii="Times New Roman" w:hAnsi="Times New Roman"/>
          <w:color w:val="000000"/>
          <w:sz w:val="20"/>
        </w:rPr>
      </w:pPr>
      <w:r>
        <w:rPr>
          <w:rFonts w:ascii="Times New Roman" w:hAnsi="Times New Roman"/>
          <w:color w:val="000000"/>
          <w:sz w:val="20"/>
        </w:rPr>
        <w:t>The Offering Warrants have an exercise price of $3.00 per ordinary share, were immediately exercisable, and could be exercised for five years from issuance.</w:t>
      </w:r>
    </w:p>
    <w:p>
      <w:pPr>
        <w:pStyle w:val="TextBody"/>
        <w:bidi w:val="0"/>
        <w:jc w:val="left"/>
        <w:rPr>
          <w:rFonts w:ascii="Times New Roman" w:hAnsi="Times New Roman"/>
          <w:color w:val="000000"/>
          <w:sz w:val="20"/>
        </w:rPr>
      </w:pPr>
      <w:r>
        <w:rPr>
          <w:rFonts w:ascii="Times New Roman" w:hAnsi="Times New Roman"/>
          <w:color w:val="000000"/>
          <w:sz w:val="20"/>
        </w:rPr>
        <w:t>Certain investors in the Offering entered into a definitive securities purchase agreement with the Company (the “Securities Purchase Agreement”). That Securities Purchase Agreement contained representations, warranties, indemnification and other provisions customary for transactions of that nature. Pursuant to the agreement, we agreed to abide by certain customary standstill restrictions for a period of forty-five (45) days following the closing of the offering. In addition, subject to limited exceptions, the Agreement provided that for a period of six months following the closing of the Offering, we would not effect or enter into an agreement to effect a “variable rate transaction,” as defined in the Securities Purchase Agreement.</w:t>
      </w:r>
    </w:p>
    <w:p>
      <w:pPr>
        <w:pStyle w:val="TextBody"/>
        <w:bidi w:val="0"/>
        <w:jc w:val="left"/>
        <w:rPr>
          <w:rFonts w:ascii="Times New Roman" w:hAnsi="Times New Roman"/>
          <w:color w:val="000000"/>
          <w:sz w:val="20"/>
        </w:rPr>
      </w:pPr>
      <w:r>
        <w:rPr>
          <w:rFonts w:ascii="Times New Roman" w:hAnsi="Times New Roman"/>
          <w:color w:val="000000"/>
          <w:sz w:val="20"/>
        </w:rPr>
        <w:t>As of the date of this prospectus, no Offering Warrants issued in the Offering have been exercised.</w:t>
      </w:r>
    </w:p>
    <w:p>
      <w:pPr>
        <w:pStyle w:val="TextBody"/>
        <w:bidi w:val="0"/>
        <w:jc w:val="left"/>
        <w:rPr>
          <w:rFonts w:ascii="Times New Roman" w:hAnsi="Times New Roman"/>
          <w:color w:val="000000"/>
          <w:sz w:val="20"/>
        </w:rPr>
      </w:pPr>
      <w:r>
        <w:rPr>
          <w:rFonts w:ascii="Times New Roman" w:hAnsi="Times New Roman"/>
          <w:color w:val="000000"/>
          <w:sz w:val="20"/>
        </w:rPr>
        <w:t>The registration statement of which this prospectus forms a part registered the various transactions effected pursuant to the Offering, including the exercise (and related issuance of underlying ordinary shares) of all 5,000,000 outstanding Offering Warrants, as covered by this prospectus.</w:t>
      </w:r>
    </w:p>
    <w:p>
      <w:pPr>
        <w:pStyle w:val="TextBody"/>
        <w:bidi w:val="0"/>
        <w:jc w:val="left"/>
        <w:rPr>
          <w:rFonts w:ascii="Times New Roman" w:hAnsi="Times New Roman"/>
          <w:color w:val="000000"/>
          <w:sz w:val="20"/>
        </w:rPr>
      </w:pPr>
      <w:r>
        <w:rPr>
          <w:rFonts w:ascii="Times New Roman" w:hAnsi="Times New Roman"/>
          <w:color w:val="000000"/>
          <w:sz w:val="20"/>
        </w:rPr>
        <w:t>The foregoing summary provides only a brief description of the Public Offering and does not purport to be complete. The summary is qualified in its entirety by the full text of the Securities Purchase Agreement, and the form of ordinary warrant sold in the Offering, which serve as Exhibits 10.15 and 4.3, respectively, to the registration statement of which this prospectus forms a part, and which are incorporated herein by reference.</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center"/>
        <w:rPr>
          <w:rFonts w:ascii="Times New Roman" w:hAnsi="Times New Roman"/>
          <w:b/>
          <w:caps/>
          <w:color w:val="000000"/>
          <w:sz w:val="20"/>
        </w:rPr>
      </w:pPr>
      <w:bookmarkStart w:id="10" w:name="use_of_proceeds"/>
      <w:bookmarkEnd w:id="10"/>
      <w:r>
        <w:rPr>
          <w:rFonts w:ascii="Times New Roman" w:hAnsi="Times New Roman"/>
          <w:b/>
          <w:caps/>
          <w:color w:val="000000"/>
          <w:sz w:val="20"/>
        </w:rPr>
        <w:t>USE OF PROCEEDS</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estimate that the net proceeds we will receive from the exercise of the 5,000,000 Offerings Warrants will be approximately $15 million. There is no assurance that the holders of any of the foregoing warrants will elect to exercise any or all of them. We believe that the likelihood that warrant holders determine to exercise their warrants, and therefore the amount of cash proceeds that we would receive, is dependent upon the market price of our ordinary shares. If the market price for our ordinary shares is less than the exercise price of the warrants (on a per share basis), we believe that warrant holders will be very unlikely to exercise any of their warrants, and accordingly, we will not receive any such proceeds. There is no assurance that the warrants will be “in the money” prior to their expiration or that the warrant holders will exercise their warrants. As of April 24, 2025, the closing price of our ordinary shares was $1.49 per share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expect to use the net proceeds from this offering for working capital, repayment of convertible debt and for general corporate purposes. This represents our best estimate of the manner in which we will use the net proceeds we receive from this offering based upon the current status of our business, but we have not reserved or allocated amounts for specific purposes and we cannot specify with certainty how or when we will use any of the net proceeds. The amounts and timing of our actual use of the net proceeds from this offering will vary depending on numerous factors, including the factors described under “Risk Factors” located elsewhere in this prospectus or in the information incorporated by reference herein or therein. As a result, our management will have broad discretion in the application of the net proceeds, and investors will be relying on our judgment regarding the application of the net proceeds from this offering.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11" w:name="dilution"/>
      <w:bookmarkEnd w:id="11"/>
      <w:r>
        <w:rPr>
          <w:rFonts w:ascii="Times New Roman" w:hAnsi="Times New Roman"/>
          <w:b/>
          <w:color w:val="000000"/>
          <w:sz w:val="20"/>
        </w:rPr>
        <w:t>DILUTION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you exercise your Offering Warrants in this offering, your ownership interest may be diluted immediately depending on the difference between the exercise price per ordinary share underlying the Offering Warrants and the as adjusted net tangible book value per share of our Ordinary Shares immediately after this offering.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pro forma net tangible book value as of December 31, 2024, was approximately negative $37.9 million, or approximately $0.18 per share. Net tangible book value is determined by subtracting our total liabilities from our total tangible assets, and net tangible book value per share is determined by dividing our net tangible book value by the number of outstanding Ordinary Shares.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After giving further effect to exercise of the 5,000,000 Offering Warrants in this offering, at an exercise price of $3.00 per share, our pro forma as adjusted net tangible book value as of December 31, 2024, would have been approximately negative $23.9 million, or $(0.11) per Ordinary Share. This represents an immediate increase in net tangible book value of approximately $0.7 per share to our existing stockholders and an immediate dilution in net tangible book value of approximately $3.11 per share to investors participating in this offering.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effect per share to investors participating in this offering is determined by subtracting the pro forma as adjusted net tangible book value per share after this offering from the offering price per share paid by investors participating in this offering. The following table illustrates this result on a per share basis: </w:t>
      </w:r>
    </w:p>
    <w:tbl>
      <w:tblPr>
        <w:tblW w:w="7327" w:type="dxa"/>
        <w:jc w:val="left"/>
        <w:tblInd w:w="0" w:type="dxa"/>
        <w:tblLayout w:type="fixed"/>
        <w:tblCellMar>
          <w:top w:w="28" w:type="dxa"/>
          <w:left w:w="28" w:type="dxa"/>
          <w:bottom w:w="28" w:type="dxa"/>
          <w:right w:w="28" w:type="dxa"/>
        </w:tblCellMar>
      </w:tblPr>
      <w:tblGrid>
        <w:gridCol w:w="6331"/>
        <w:gridCol w:w="109"/>
        <w:gridCol w:w="211"/>
        <w:gridCol w:w="676"/>
      </w:tblGrid>
      <w:tr>
        <w:trPr/>
        <w:tc>
          <w:tcPr>
            <w:tcW w:w="6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6331" w:type="dxa"/>
            <w:tcBorders>
              <w:top w:val="single" w:sz="2" w:space="0" w:color="000000"/>
              <w:left w:val="single" w:sz="2" w:space="0" w:color="000000"/>
              <w:bottom w:val="single" w:sz="2" w:space="0" w:color="000000"/>
              <w:right w:val="single" w:sz="2" w:space="0" w:color="000000"/>
            </w:tcBorders>
            <w:shd w:fill="CCEEFF" w:val="clear"/>
            <w:tcMar>
              <w:left w:w="187" w:type="dxa"/>
            </w:tcMar>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Offering price per exercise of Offering Warrant</w:t>
            </w:r>
          </w:p>
        </w:tc>
        <w:tc>
          <w:tcPr>
            <w:tcW w:w="109" w:type="dxa"/>
            <w:tcBorders>
              <w:top w:val="single" w:sz="2" w:space="0" w:color="000000"/>
              <w:bottom w:val="single" w:sz="2" w:space="0" w:color="000000"/>
              <w:right w:val="single" w:sz="2" w:space="0" w:color="000000"/>
            </w:tcBorders>
            <w:shd w:fill="CCEEFF" w:val="clear"/>
            <w:tcMar>
              <w:lef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single" w:sz="2" w:space="0" w:color="000000"/>
              <w:right w:val="single" w:sz="2" w:space="0" w:color="000000"/>
            </w:tcBorders>
            <w:shd w:fill="CCEEFF" w:val="clear"/>
            <w:tcMar>
              <w:left w:w="0" w:type="dxa"/>
            </w:tcMar>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w:t>
            </w:r>
          </w:p>
        </w:tc>
        <w:tc>
          <w:tcPr>
            <w:tcW w:w="676" w:type="dxa"/>
            <w:tcBorders>
              <w:top w:val="single" w:sz="2" w:space="0" w:color="000000"/>
              <w:bottom w:val="single" w:sz="2" w:space="0" w:color="000000"/>
              <w:right w:val="single" w:sz="2" w:space="0" w:color="000000"/>
            </w:tcBorders>
            <w:shd w:fill="CCEEFF" w:val="clear"/>
            <w:tcMar>
              <w:left w:w="0" w:type="dxa"/>
            </w:tcMar>
            <w:vAlign w:val="center"/>
          </w:tcPr>
          <w:p>
            <w:pPr>
              <w:pStyle w:val="TableContents"/>
              <w:bidi w:val="0"/>
              <w:spacing w:before="0" w:after="283"/>
              <w:jc w:val="right"/>
              <w:rPr>
                <w:rFonts w:ascii="Times New Roman" w:hAnsi="Times New Roman"/>
                <w:color w:val="212529"/>
                <w:sz w:val="20"/>
              </w:rPr>
            </w:pPr>
            <w:r>
              <w:rPr>
                <w:rFonts w:ascii="Times New Roman" w:hAnsi="Times New Roman"/>
                <w:color w:val="212529"/>
                <w:sz w:val="20"/>
              </w:rPr>
              <w:t xml:space="preserve">3.00 </w:t>
            </w:r>
          </w:p>
        </w:tc>
      </w:tr>
      <w:tr>
        <w:trPr/>
        <w:tc>
          <w:tcPr>
            <w:tcW w:w="6331" w:type="dxa"/>
            <w:tcBorders>
              <w:left w:val="single" w:sz="2" w:space="0" w:color="000000"/>
              <w:bottom w:val="single" w:sz="2" w:space="0" w:color="000000"/>
              <w:right w:val="single" w:sz="2" w:space="0" w:color="000000"/>
            </w:tcBorders>
            <w:shd w:fill="FFFFFF" w:val="clear"/>
            <w:tcMar>
              <w:top w:w="0" w:type="dxa"/>
              <w:left w:w="202" w:type="dxa"/>
            </w:tcMar>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Pro Forma Net tangible book value per share as of December 31, 2024</w:t>
            </w:r>
          </w:p>
        </w:tc>
        <w:tc>
          <w:tcPr>
            <w:tcW w:w="109"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w:t>
            </w:r>
          </w:p>
        </w:tc>
        <w:tc>
          <w:tcPr>
            <w:tcW w:w="676"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right"/>
              <w:rPr>
                <w:rFonts w:ascii="Times New Roman" w:hAnsi="Times New Roman"/>
                <w:color w:val="212529"/>
                <w:sz w:val="20"/>
              </w:rPr>
            </w:pPr>
            <w:r>
              <w:rPr>
                <w:rFonts w:ascii="Times New Roman" w:hAnsi="Times New Roman"/>
                <w:color w:val="212529"/>
                <w:sz w:val="20"/>
              </w:rPr>
              <w:t xml:space="preserve">(0.18) </w:t>
            </w:r>
          </w:p>
        </w:tc>
      </w:tr>
      <w:tr>
        <w:trPr/>
        <w:tc>
          <w:tcPr>
            <w:tcW w:w="6331" w:type="dxa"/>
            <w:tcBorders>
              <w:left w:val="single" w:sz="2" w:space="0" w:color="000000"/>
              <w:bottom w:val="single" w:sz="2" w:space="0" w:color="000000"/>
              <w:right w:val="single" w:sz="2" w:space="0" w:color="000000"/>
            </w:tcBorders>
            <w:shd w:fill="CCEEFF" w:val="clear"/>
            <w:tcMar>
              <w:top w:w="0" w:type="dxa"/>
              <w:left w:w="202" w:type="dxa"/>
            </w:tcMar>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Increase per share attributable to investors participating in this offering</w:t>
            </w:r>
          </w:p>
        </w:tc>
        <w:tc>
          <w:tcPr>
            <w:tcW w:w="109"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w:t>
            </w:r>
          </w:p>
        </w:tc>
        <w:tc>
          <w:tcPr>
            <w:tcW w:w="676"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right"/>
              <w:rPr>
                <w:rFonts w:ascii="Times New Roman" w:hAnsi="Times New Roman"/>
                <w:color w:val="212529"/>
                <w:sz w:val="20"/>
              </w:rPr>
            </w:pPr>
            <w:r>
              <w:rPr>
                <w:rFonts w:ascii="Times New Roman" w:hAnsi="Times New Roman"/>
                <w:color w:val="212529"/>
                <w:sz w:val="20"/>
              </w:rPr>
              <w:t xml:space="preserve">0.07 </w:t>
            </w:r>
          </w:p>
        </w:tc>
      </w:tr>
      <w:tr>
        <w:trPr/>
        <w:tc>
          <w:tcPr>
            <w:tcW w:w="6331"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Adjusted net tangible book value per share after giving effect to this offering</w:t>
            </w:r>
          </w:p>
        </w:tc>
        <w:tc>
          <w:tcPr>
            <w:tcW w:w="109"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w:t>
            </w:r>
          </w:p>
        </w:tc>
        <w:tc>
          <w:tcPr>
            <w:tcW w:w="676"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right"/>
              <w:rPr>
                <w:rFonts w:ascii="Times New Roman" w:hAnsi="Times New Roman"/>
                <w:color w:val="212529"/>
                <w:sz w:val="20"/>
              </w:rPr>
            </w:pPr>
            <w:r>
              <w:rPr>
                <w:rFonts w:ascii="Times New Roman" w:hAnsi="Times New Roman"/>
                <w:color w:val="212529"/>
                <w:sz w:val="20"/>
              </w:rPr>
              <w:t xml:space="preserve">(0.11) </w:t>
            </w:r>
          </w:p>
        </w:tc>
      </w:tr>
      <w:tr>
        <w:trPr/>
        <w:tc>
          <w:tcPr>
            <w:tcW w:w="6331"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Dilution per share to investors participating in this offering</w:t>
            </w:r>
          </w:p>
        </w:tc>
        <w:tc>
          <w:tcPr>
            <w:tcW w:w="109"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w:t>
            </w:r>
          </w:p>
        </w:tc>
        <w:tc>
          <w:tcPr>
            <w:tcW w:w="676"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right"/>
              <w:rPr>
                <w:rFonts w:ascii="Times New Roman" w:hAnsi="Times New Roman"/>
                <w:color w:val="212529"/>
                <w:sz w:val="20"/>
              </w:rPr>
            </w:pPr>
            <w:r>
              <w:rPr>
                <w:rFonts w:ascii="Times New Roman" w:hAnsi="Times New Roman"/>
                <w:color w:val="212529"/>
                <w:sz w:val="20"/>
              </w:rPr>
              <w:t xml:space="preserve">3.11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number of shares of to be outstanding after this offering is based on the number of Ordinary shares outstanding as of May 9, 2025, and excludes the following:</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8,069,976 Ordinary Shares issuable upon the exercise of outstanding Warrants;</w:t>
      </w:r>
    </w:p>
    <w:p>
      <w:pPr>
        <w:pStyle w:val="TextBody"/>
        <w:bidi w:val="0"/>
        <w:jc w:val="left"/>
        <w:rPr>
          <w:rFonts w:ascii="Times New Roman" w:hAnsi="Times New Roman"/>
          <w:color w:val="000000"/>
          <w:sz w:val="20"/>
        </w:rPr>
      </w:pPr>
      <w:r>
        <w:rPr>
          <w:rFonts w:ascii="Times New Roman" w:hAnsi="Times New Roman"/>
          <w:color w:val="000000"/>
          <w:sz w:val="20"/>
        </w:rPr>
        <w:t>To the extent that outstanding options or warrants are exercised, or shares are issued under our equity incentive plans, you may experience dilution. In addition, we may choose to raise additional capital due to market conditions or strategic considerations even if we believe we have sufficient funds for our current or future operating plans. To the extent that, in the future, additional capital is raised through the sale of equity, convertible debt securities, or securities with equity components, those issuances may result in dilution to our stockholders.</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not paid any cash dividends on the Ordinary Shares to date and do not intend to pay cash dividends in the foreseeable future. The payment of cash dividends in the future will be dependent upon our revenues and earnings, if any, capital requirements and general financial condition. The payment of any cash dividends is within the discretion of our Board. Further, our ability to declare dividends may be limited by the terms of financing or other agreements we or our subsidiaries enter into from time to time.</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MARKET PRICE OF OUR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Ordinary Shares began trading on Nasdaq under the symbol “RZLV” on August 15, 2024. The Public Warrants began trading on Nasdaq under the symbol “RZLVW” on August 15, 2024. The Armada Ordinary Shares, Armada Warrants and Armada Units were previously listed on Nasdaq under the symbols “AACI,” “AACIW,” and “AACIU,” respectively. The Armada Units began trading on Nasdaq on August 13, 2021 and the Armada Ordinary Shares and Armada Warrants began trading on Nasdaq on November 16, 2021. The Armada Units automatically separated into the component securities upon consummation of the Business Combination.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Prior to the Closing Date, each Armada Unit consisted of one Armada Ordinary Share and one half of one Armada Warrant, whereby each whole Armada Warrant entitled the holder to purchase one Armada Ordinary Share at an exercise price of $11.50 per share. Upon the closing of the Business Combination, the Armada Ordinary Shares were converted into Ordinary Shares. As of May 9, 2025, there were approximately 2 shareholders of record of Ordinary Shares and one shareholder of record of Warrants. Such numbers do not include beneficial owners holding our securities through nominee names. On May 8, 2025, the last reported closing sale prices of our Ordinary Shares and Public Warrants were $2.30 and $0.62,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pPr>
      <w:r>
        <w:rPr/>
        <w:t> </w:t>
      </w:r>
    </w:p>
    <w:p>
      <w:pPr>
        <w:pStyle w:val="TextBody"/>
        <w:bidi w:val="0"/>
        <w:spacing w:before="200" w:after="283"/>
        <w:jc w:val="center"/>
        <w:rPr>
          <w:rFonts w:ascii="Times New Roman" w:hAnsi="Times New Roman"/>
          <w:b/>
          <w:color w:val="000000"/>
          <w:sz w:val="20"/>
        </w:rPr>
      </w:pPr>
      <w:bookmarkStart w:id="12" w:name="unaudited_pro_forma_condensed_combined"/>
      <w:bookmarkEnd w:id="12"/>
      <w:r>
        <w:rPr>
          <w:rFonts w:ascii="Times New Roman" w:hAnsi="Times New Roman"/>
          <w:b/>
          <w:color w:val="000000"/>
          <w:sz w:val="20"/>
        </w:rPr>
        <w:t>UNAUDITED PRO FORMA CONDENSED COMBINED FINANCIAL INFORMATION</w:t>
      </w:r>
    </w:p>
    <w:p>
      <w:pPr>
        <w:pStyle w:val="TextBody"/>
        <w:bidi w:val="0"/>
        <w:spacing w:before="240" w:after="283"/>
        <w:jc w:val="center"/>
        <w:rPr>
          <w:rFonts w:ascii="Times New Roman" w:hAnsi="Times New Roman"/>
          <w:i/>
          <w:color w:val="000000"/>
          <w:sz w:val="20"/>
        </w:rPr>
      </w:pPr>
      <w:r>
        <w:rPr>
          <w:rFonts w:ascii="Times New Roman" w:hAnsi="Times New Roman"/>
          <w:i/>
          <w:color w:val="000000"/>
          <w:sz w:val="20"/>
        </w:rPr>
        <w:t>Defined terms included below have the same meaning as terms defined and included elsewhere in this prospectus.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Introduction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previously disclosed in its Current Reports on Form 6-K furnished with the Securities and Exchange Commission (“SEC”) on March 31, 2025, March 6, 2025, February 21, 2025 and February 7, 2025, Rezolve AI plc (“Rezolve” or “the Company”) completed two acquisitions after December 31, 2024 but before the consolidated financial statements of the Company as of and for the year ended December 31, 2024 were issued.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Bluedot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4, 2025, the Company entered into a purchase agreement with DBLP Sea Cow Ltd (“DBLP”), to acquire the entire issued and to be issued share capital of each of Bluedot Industries, Inc. and Bluedot Industries Pty. Ltd. As consideration for this acquisition, the Company issued 819,737 ordinary shares of the Company in a private placement to DBLP.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DBLP is a related party and is wholly legally owned by Daniel Wagner and beneficially owned by John Wagner. Both Daniel Wagner and John Wagner are directors of DBLP.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17, 2025, the Company entered into a share purchase agreement with Tanist Group Limited (“Tanist Group”) pursuant to which the Company acquired 100% of the issued and outstanding shares of Bluedot Innovation Pty. Ltd. As consideration for this acquisition, the Company issued 1,941,111 ordinary shares of the Company to the Tanist Group.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Bluedot Industries, Inc., Bluedot Industries Pty. Ltd. and Bluedot Innovation Pty. Ltd, together “Bluedot”, is a developer of mobile location technology to enhance customer experiences.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20, 2025 and March 17, 2025, the Company closed the acquisition of Bluedot and issued the above mentioned ordinary shares as consideration to DBLP and the Tanist Group,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acquisition of Bluedot was not deemed significant under Rule 3-05 of Regulation S-X (“Rule 3-05”).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GroupBy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11, 2025, the Company entered into a purchase agreement with GroupBy Inc., GroupBy International Ltd., and Fortis Advisors LLC, as the representative of the sellers party thereto (“the Sellers”), to acquire the entire issued and to be issued share capital of each of GroupBy Inc., GroupBy International Ltd., GroupBy USA Inc., and GroupBy UK Ltd (together “GroupBy”).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GroupBy is an eCommerce Search and Product Discovery SaaS technology provider that powers some of the largest B2B and B2C brands.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25, 2025, Rezolve closed the GroupBy acquisition. As consideration for the GroupBy acquisition, the Company issued an aggregate of 3,999,902 of its ordinary shares of the Company in a private placement to the Sellers.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acquisition of GroupBy was deemed significant under Rule 3-05 and separate financial statements for GroupBy are included elsewhere in this prospectus.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Unaudited Pro Forma Condensed Combined Financial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Unaudited Pro Forma Condensed Combined Balance Sheet as of December 31, 2024 gives effect to the Bluedot acquisition and the GroupBy acquisition as if both acquisitions had been completed on December 31, 2024. The Unaudited Pro Forma Condensed Combined Statement of Operations for the year ended December 31, 2024 gives effect to the Bluedot acquisition and the GroupBy acquisition as if both acquisitions had been completed on January 1, 2024. As such the adjustments reflected in the Unaudited Pro Forma Condensed Combined Balance Sheet will not necessarily reconcile with the adjustments in the Unaudited Pro Forma Condensed Combined Statements of Operations. Assumptions and estimates underlying the pro forma adjustments are described in the accompanying notes, which should be read in conjunction with the unaudited pro forma condensed combined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unaudited pro forma condensed combined financial information is provided for illustrative purposes only and does not purport to represent what the actual consolidated results of operations of Rezolve would have been had the Bluedot acquisition and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GroupBy acquisition occurred on the dates noted above, nor are they necessarily indicative of future consolidated results of operations. Future results may vary significantly from the results reflected because of various factors. In Rezolve’s opinion, all adjustments that are necessary to present fairly the unaudited pro forma condensed combined financial information have been made.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unaudited pro forma condensed combined financial information does not reflect the benefits of potential cost savings or the costs that may be necessary to achieve such savings, opportunities to increase revenue generation or other factors that may result from the Bluedot acquisition and the GroupBy acquisition and does not attempt to predict or suggest future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unaudited pro forma financial statements have been developed from and should be read in conjunction with: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historical audited consolidated financial statements of Rezolve as of, and for the years ended, December 31, 2024 and 2023, included elsewhere in this prospectus;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historical audited combined consolidated financial statements for GroupBy as of, and for the years ended, December 31, 2024 and 2023, included elsewhere in this prospectus;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section entitled “</w:t>
      </w:r>
      <w:r>
        <w:rPr>
          <w:rFonts w:ascii="Times New Roman" w:hAnsi="Times New Roman"/>
          <w:i/>
          <w:color w:val="000000"/>
          <w:sz w:val="20"/>
        </w:rPr>
        <w:t>Management’s Discussion and Analysis of Financial Condition and Results of Operation</w:t>
      </w:r>
      <w:r>
        <w:rPr>
          <w:rFonts w:ascii="Times New Roman" w:hAnsi="Times New Roman"/>
          <w:color w:val="000000"/>
          <w:sz w:val="20"/>
        </w:rPr>
        <w:t xml:space="preserve">s.” included elsewhere in this prospectus.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17"/>
        </w:rPr>
      </w:pPr>
      <w:r>
        <w:rPr>
          <w:rFonts w:ascii="Times New Roman" w:hAnsi="Times New Roman"/>
          <w:b/>
          <w:color w:val="000000"/>
          <w:sz w:val="17"/>
        </w:rPr>
        <w:t>REZOLVE AI plc AND SUBSIDIARIES</w:t>
      </w:r>
    </w:p>
    <w:p>
      <w:pPr>
        <w:pStyle w:val="TextBody"/>
        <w:bidi w:val="0"/>
        <w:jc w:val="center"/>
        <w:rPr>
          <w:rFonts w:ascii="Times New Roman" w:hAnsi="Times New Roman"/>
          <w:b/>
          <w:color w:val="000000"/>
          <w:sz w:val="17"/>
        </w:rPr>
      </w:pPr>
      <w:r>
        <w:rPr>
          <w:rFonts w:ascii="Times New Roman" w:hAnsi="Times New Roman"/>
          <w:b/>
          <w:color w:val="000000"/>
          <w:sz w:val="17"/>
        </w:rPr>
        <w:t>UNAUDITED PRO FORMA CONDENSED COMBINED BALANCE SHEET</w:t>
      </w:r>
    </w:p>
    <w:tbl>
      <w:tblPr>
        <w:tblW w:w="10440" w:type="dxa"/>
        <w:jc w:val="left"/>
        <w:tblInd w:w="0" w:type="dxa"/>
        <w:tblLayout w:type="fixed"/>
        <w:tblCellMar>
          <w:top w:w="28" w:type="dxa"/>
          <w:left w:w="28" w:type="dxa"/>
          <w:bottom w:w="28" w:type="dxa"/>
          <w:right w:w="28" w:type="dxa"/>
        </w:tblCellMar>
      </w:tblPr>
      <w:tblGrid>
        <w:gridCol w:w="991"/>
        <w:gridCol w:w="146"/>
        <w:gridCol w:w="181"/>
        <w:gridCol w:w="886"/>
        <w:gridCol w:w="151"/>
        <w:gridCol w:w="146"/>
        <w:gridCol w:w="181"/>
        <w:gridCol w:w="811"/>
        <w:gridCol w:w="151"/>
        <w:gridCol w:w="146"/>
        <w:gridCol w:w="181"/>
        <w:gridCol w:w="811"/>
        <w:gridCol w:w="151"/>
        <w:gridCol w:w="146"/>
        <w:gridCol w:w="181"/>
        <w:gridCol w:w="736"/>
        <w:gridCol w:w="151"/>
        <w:gridCol w:w="146"/>
        <w:gridCol w:w="181"/>
        <w:gridCol w:w="811"/>
        <w:gridCol w:w="151"/>
        <w:gridCol w:w="211"/>
        <w:gridCol w:w="181"/>
        <w:gridCol w:w="811"/>
        <w:gridCol w:w="151"/>
        <w:gridCol w:w="241"/>
        <w:gridCol w:w="181"/>
        <w:gridCol w:w="886"/>
        <w:gridCol w:w="151"/>
        <w:gridCol w:w="191"/>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4" w:type="dxa"/>
            <w:gridSpan w:val="4"/>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05" w:type="dxa"/>
            <w:gridSpan w:val="10"/>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Proforma Combined</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Rezolve AI plc and Subsidiaries </w:t>
              <w:br/>
              <w:t>(Historical as of 12/31/2024)</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GroupBy </w:t>
              <w:br/>
              <w:t>(Historical as of 12/31/2024)</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Bluedot Industries </w:t>
              <w:br/>
              <w:t>(Historical as of 12/31/2024)</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Bluedot Innovation </w:t>
              <w:br/>
              <w:t>(Historical as of 12/31/2024)</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GroupBy</w:t>
              <w:br/>
              <w:t>Transaction Accounting Adjustments</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Bluedot</w:t>
              <w:br/>
              <w:t>Transaction Accounting Adjustments</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Pro Forma Combined</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 =</w:t>
              <w:br/>
              <w:t>A+B+C+D+E+F</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9,450,944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6,482,298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278,603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16,211,876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1,148,861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682,432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1,852,567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960,848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1,146,327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2,117,175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Derivative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2,587,581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2,587,581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Income taxes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222,222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222,222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13,020,647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8,999,708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961,035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10,000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22,991,421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6,750,178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68,304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34,400,000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6,276,731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c,d</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47,495,213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4,580,673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1,093,939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5,674,612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174,568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184,339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Deferred tax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384,408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384,408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41,269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41,269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6,767,510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174,568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430,664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72,386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38,990,444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7,370,670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53,806,242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19,788,157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9,174,276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1,391,699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72,417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39,000,444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7,370,670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76,797,663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7,303,060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21,598,041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1,493,082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1,371,844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a,i</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295,846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32,065,839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Due to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1,054,429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1,054,429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Accrued expenses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9,513,932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1,089,012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10,602,944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Short term debt to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5,102,211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589,940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5,692,151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Short term convertible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10,288,123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10,288,123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Short term convertible debt to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95,309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95,309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Convertible promissory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6,428,825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6,428,825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1,206,609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1,206,609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payment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Advisors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12,812,366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12,812,366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2,579,875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2,579,875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Bank indebtedness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12,000,000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(12,000,000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h</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8,584,886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1,161,723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9,746,609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k</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Current portion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43,069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43,069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57,784,739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42,246,145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4,333,757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3,966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(10,648,305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295,846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94,016,148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10,335,000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1,228,051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11,563,051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108,238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108,238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148,945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148,945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148,945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108,238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10,335,000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1,228,051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11,820,234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57,784,739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42,395,090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4,333,757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112,204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(313,305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1,523,897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105,836,382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£0.0001 nominal value 208,260,754 shares issued and outstanding as of December 31, 2024; 152,262,295 shares issued and outstanding as of December 31, 2023; 256,365,817 and 161,710,480 shares authorized as of December 31, 2024 and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28,795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A shares, £0.0001 nominal value 4,575,983 shares issued, authorized and outstanding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14,005,728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(14,005,728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194,062,767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6,291,080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21,626,882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3,324,360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11,767,156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n,p</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(20,562,772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216,509,473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 subscription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(79,003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79,003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(232,075,815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(58,196,350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(24,831,035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(3,285,194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46,229,426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g,h,i</w:t>
              <w:br/>
              <w:t>k,l,p</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26,592,332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j,m,p</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(245,566,636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261,095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(261,095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4,678,728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(4,678,728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q</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shareholders'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(37,996,582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(33,220,814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(2,942,058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(39,787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39,313,749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5,846,773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(29,038,719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liabilities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19,788,157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9,174,276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1,391,699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72,417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39,000,444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7,370,670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76,797,663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15"/>
        </w:rPr>
      </w:pPr>
      <w:r>
        <w:rPr>
          <w:rFonts w:ascii="Times New Roman" w:hAnsi="Times New Roman"/>
          <w:i/>
          <w:color w:val="000000"/>
          <w:sz w:val="15"/>
        </w:rPr>
        <w:t>See accompanying notes to the unaudited pro forma condensed combined financial information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UNAUDITED PRO FORMA CONDENSED COMBINED STATEMENT OF OPERATIONS</w:t>
      </w:r>
    </w:p>
    <w:p>
      <w:pPr>
        <w:pStyle w:val="TextBody"/>
        <w:bidi w:val="0"/>
        <w:jc w:val="center"/>
        <w:rPr/>
      </w:pPr>
      <w:r>
        <w:rPr/>
        <w:t> </w:t>
      </w:r>
    </w:p>
    <w:tbl>
      <w:tblPr>
        <w:tblW w:w="10213" w:type="dxa"/>
        <w:jc w:val="left"/>
        <w:tblInd w:w="0" w:type="dxa"/>
        <w:tblLayout w:type="fixed"/>
        <w:tblCellMar>
          <w:top w:w="28" w:type="dxa"/>
          <w:left w:w="28" w:type="dxa"/>
          <w:bottom w:w="28" w:type="dxa"/>
          <w:right w:w="28" w:type="dxa"/>
        </w:tblCellMar>
      </w:tblPr>
      <w:tblGrid>
        <w:gridCol w:w="1036"/>
        <w:gridCol w:w="181"/>
        <w:gridCol w:w="886"/>
        <w:gridCol w:w="151"/>
        <w:gridCol w:w="146"/>
        <w:gridCol w:w="181"/>
        <w:gridCol w:w="766"/>
        <w:gridCol w:w="151"/>
        <w:gridCol w:w="146"/>
        <w:gridCol w:w="181"/>
        <w:gridCol w:w="691"/>
        <w:gridCol w:w="151"/>
        <w:gridCol w:w="146"/>
        <w:gridCol w:w="184"/>
        <w:gridCol w:w="597"/>
        <w:gridCol w:w="151"/>
        <w:gridCol w:w="196"/>
        <w:gridCol w:w="181"/>
        <w:gridCol w:w="811"/>
        <w:gridCol w:w="151"/>
        <w:gridCol w:w="256"/>
        <w:gridCol w:w="181"/>
        <w:gridCol w:w="736"/>
        <w:gridCol w:w="151"/>
        <w:gridCol w:w="226"/>
        <w:gridCol w:w="181"/>
        <w:gridCol w:w="886"/>
        <w:gridCol w:w="151"/>
        <w:gridCol w:w="361"/>
      </w:tblGrid>
      <w:tr>
        <w:trPr/>
        <w:tc>
          <w:tcPr>
            <w:tcW w:w="10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4" w:type="dxa"/>
            <w:gridSpan w:val="4"/>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0" w:type="dxa"/>
            <w:gridSpan w:val="10"/>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Proforma Combined</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Rezolve AI plc and Subsidiaries</w:t>
              <w:br/>
              <w:t>(Historical Year ended December 31, 2024)</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GroupBy </w:t>
              <w:br/>
              <w:t>(Historical Year ended December 31, 2024)</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Bluedot Industries</w:t>
              <w:br/>
              <w:t>(Historical Year ended December 31, 2024)</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Bluedot Innovation</w:t>
              <w:br/>
              <w:t>(Historical Year ended December 31, 2024)</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GroupBy</w:t>
              <w:br/>
              <w:t>Transaction Accounting Adjustments</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Bluedot</w:t>
              <w:br/>
              <w:t>Transaction Accounting Adjustments</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Pro Forma Combined</w:t>
            </w:r>
          </w:p>
        </w:tc>
        <w:tc>
          <w:tcPr>
            <w:tcW w:w="1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 =</w:t>
              <w:br/>
              <w:t>A+B+C+D+E+F</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Revenue</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187,788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18,890,934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2,092,315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485,860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21,656,897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Operating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Cost of revenue</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34,053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11,874,137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158,776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12,066,966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Sales and marketing expense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6,285,446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4,906,824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402,441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11,594,711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General and administrative expenses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131,430,412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2,789,811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721,269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23,979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112,554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135,078,025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operating expenses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255,412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255,412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Depreciation and amortization expenses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225,251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200,370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38,022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5,652,966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s,z</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1,053,673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t,u</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7,170,282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Research and development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6,835,367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1,152,807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7,988,174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operating expenses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138,230,574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26,606,509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2,435,293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62,001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5,765,520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1,053,673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174,153,570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Operating loss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(138,042,786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(7,715,575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(342,978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423,859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(5,765,520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(1,053,673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(152,496,673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Other (expense) income</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Interest (expense)/income</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(10,557,714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(1,152,396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(203,053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1,173,596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v,z</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(10,741,557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Gain/(loss) on derivatives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19,001,681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19,001,681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Gain/(loss) on extinguishment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(44,332,819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(279,851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w:t>
              <w:br/>
              <w:t>aa</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(44,612,670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non-operating income (expense), net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1,329,781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(31,362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11,193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(1,361,844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x</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(295,847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(348,079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other (expenses) / income, net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(34,559,071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(1,183,758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(191,860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(1,990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(468,099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(295,847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Income (loss) before taxes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(172,601,857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(8,899,333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(534,838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421,869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(6,233,619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(1,349,520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(189,197,298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Income tax expense</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(44,933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(33,524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(10,335,000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bb</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(1,228,051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cc</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(11,712,061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 income</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(172,646,790</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(8,932,857</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(555,324</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371,802</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(16,568,619</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(2,577,571</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(200,909,358</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Earnings Per Share</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3"/>
              </w:rPr>
              <w:t>dd</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Basic and diluted weighted average shares outstanding</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162,855,146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178,157,563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3"/>
              </w:rPr>
              <w:t>dd</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i/>
          <w:color w:val="000000"/>
          <w:sz w:val="17"/>
        </w:rPr>
      </w:pPr>
      <w:r>
        <w:rPr>
          <w:rFonts w:ascii="Times New Roman" w:hAnsi="Times New Roman"/>
          <w:i/>
          <w:color w:val="000000"/>
          <w:sz w:val="17"/>
        </w:rPr>
        <w:t>See accompanying notes to the unaudited pro forma condensed combined financial information.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PRO FORMA CONDENSED COMBINED FINANCIAL INFORMATION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1—Basis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unaudited pro forma condensed combined financial information has been prepared in accordance with Article 11 of Regulation S-X as amended by the final rule, Release No. 33-10786 “Amendments to Financial Disclosures about Acquired and Disposed Businesses.”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GroupBy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accounted for the GroupBy acquisition using the acquisition method of accounting under ASC 805. The acquisition method of accounting requires that purchase price of the acquisition be allocated to the assets acquired and liabilities assumed using the fair values determined by management as of the acquisition date, with any excess of the purchase price over the estimated fair value of the identifiable net assets acquired recorded to goodwill.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preliminary estimates of fair values of the net assets acquired are based on the information that was available at the date of the GroupBy acquisition, and the Company is continuing to evaluate the underlying inputs and assumptions used in its valuations. Accordingly, these preliminary estimates are subject to change during the measurement period, which is up to one year from the date of the acquisition. A decrease in the fair value of assets acquired or an increase in the fair value of liabilities assumed in the acquisition from those valuations would result in a corresponding increase in the amount of goodwill from the acquisition. The acquisition-related transaction costs incurred by the Company were accounted for as expenses in the periods in which the costs were incurred and the services were received.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Bluedot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accounted for the acquisition of Bluedot Industries, Inc. and Bluedot Industries Pty. Ltd using the acquisition method of accounting under ASC 805. The acquisition method of accounting requires that purchase price of the acquisition be allocated to the assets acquired and liabilities assumed using the fair values determined by management as of the acquisition date, with any excess of the purchase price over the estimated fair value of the identifiable net assets acquired recorded to goodwill. The Company's preliminary estimates of fair values of the net assets acquired are based on the information that was available at the date of the acquisition of Bluedot Industries, Inc. and Bluedot Industries Pty. Ltd, and the Company is continuing to evaluate the underlying inputs and assumptions used in its valuations. Accordingly, these preliminary estimates are subject to change during the measurement period, which is up to one year from the date of the acquisition. A decrease in the fair value of assets acquired or an increase in the fair value of liabilities assumed in the acquisition from those valuations would result in a corresponding increase in the amount of goodwill from the acquisition. The acquisition-related transaction costs incurred by the Company were accounted for as expenses in the periods in which the costs were incurred and the services were received.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accounted for the acquisition of Bluedot Innovation Pty. Ltd as an asset acquisition under ASC 805. The Company evaluates acquisitions of assets and other similar transactions to assess whether or not the transaction should be accounted for as a business combination or asset acquisition by first applying a screen test to determine if substantially all of the fair value of the gross assets acquired is concentrated in a single identifiable asset or group of similar identifiable assets. If the screen is met, the transaction is accounted for as an asset acquisition. The Company used a cost accumulation model to determine the cost of the asset acquisition. The Ordinary Shares issued as consideration in this asset acquisition were measured based on the acquisition date fair value of the equity interests issued. Direct transaction costs were recognized as part of the cost of an asset acquisition. The cost of an asset acquisition, including transaction costs, were allocated to identifiable assets acquired and liabilities assumed based on a relative fair value basis. Goodwill is not recognized in an asset acquisition. If applicable, any difference between the cost of an asset acquisition and the fair value of the net assets acquired is allocated to the non-monetary identifiable assets based on their relative fair values. However, as of the date of acquisition, if certain assets are carried at fair value under other applicable GAAP the consideration is first allocated to those assets with the remainder allocated to the non-monetary identifiable assets based on relative fair value basis.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Unaudited Pro Forma financial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Unaudited Pro Forma Condensed Combined Balance Sheet as of December 31, 2024 gives effect to the Bluedot acquisition and the GroupBy acquisition as if both acquisitions had been completed on December 31, 2024. The Unaudited Pro Forma Condensed Combined Statement of Operations for the year ended December 31, 2024 gives effect to the Bluedot acquisition and the GroupBy acquisition as if both acquisitions had been completed on January 1, 2024.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utilized the services of an independent valuation consultant, along with estimates and assumptions determined by management, to estimate the fair value of the assets acquired and liabilities assumed. Given the timing of the Bluedot acquisition and the GroupBy acquisition, the assets acquired is still in process of being valued by an independent valuation consultant. The preliminary allocation of the purchase price was based on an evaluation of the appropriate fair values and represents management’s best estimate based on available data. The purchase price allocation of the assets acquired and liabilities assumed is preliminary until the contractual post-closing adjustments are finalized, the final independent valuation consultant report is issued, and the measurement period allowed for under ASC 805 has closed. The final determination of the fair value of assets acquired and liabilities assumed will be completed within the one-year measurement period as allowed by ASC 805. Changes during the measurement period could be material.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unaudited pro forma condensed combined financial information reflects transaction related adjustments management believes are necessary to present fairly Rezolve’s pro forma results of operations and financial position following the closing of the Bluedot acquisition and the GroupBy acquisition and related transactions as of and for the periods indicated above.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Bluedot acquisition and the GroupBy acquisition was completed on the dates mentioned above. Therefore, the unaudited pro forma condensed combined financial information and related notes are presented for illustrative purposes only. If the Bluedot acquisition and the GroupBy acquisition and other transactions contemplated herein had occurred in the past, Rezolve's operating results might have been materially different from those presented in this unaudited pro forma condensed combined financial information.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unaudited pro forma condensed combined financial information should not be relied upon as an indication of operating results that Rezolve would have achieved if the Bluedot acquisition and the GroupBy acquisition had taken place on the specified date. In addition, future results may vary significantly from the results reflected in the unaudited pro forma condensed combined financial statement of operations and should not be relied upon as an indication of the future results Rezolve will have after the contemplation of the Bluedot acquisition and the GroupBy acquisition.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unaudited pro forma condensed combined financial information does not give effect to any anticipated synergies, operating efficiencies, tax savings, or cost savings that may be associated with the Bluedot acquisition and the GroupBy acquisition.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unaudited condensed pro forma adjustments, which are described in the accompanying notes, may be revised as additional information becomes available and is evaluated. The unaudited pro forma condensed combined financial information should be read in conjunction with the audited financial statements and notes thereto of each of GroupBy and Rezolve included elsewhere in this prospectus.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historical audited combined consolidated financial statements for GroupBy as of, and for the years ended, December 31, 2024 and 2023 have been prepared in accordance with International Financial Reporting Standards (“IFRS”) and interpretations adopted by the International Accounting Standards Board (“IASB”). See note 2 and note 3 for more information on adjustments resulting from material differences between IFRS and US GAAP.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2—Unaudited pro forma condensed combined balance sheet adjustments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the pro forma adjustments listed below, the unaudited pro forma condensed combined balance sheet as of December 31, 2024 presented also include adjustments to conform Bluedot’s and GroupBy's historical presentation of certain line items to the presentation of those line items by Rezolve.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pro forma adjustments to the unaudited pro forma condensed combined balance sheet as of December 31, 2024 are as follows: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adjustment to reflect the purchase of a prepaid insurance tail policy by GroupBy (as required in the purchase agreement) for (i) directors’ and officers’ liability (including fiduciary and employment practices liability) insurance policy and (ii) cyber liability insurance policy, in each case providing coverage for a 6-year period commencing on the closing date of the GroupBy acquisition with respect to claims arising from acts, events or omissions that occurred at or prior to the closing of the GroupBy acquisition.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adjustments to intangible assets of GroupBy based on the fair values assigned in the preliminary purchase price allocation to: (1) Technology intellectual property and (2) Customer contract and related relationships.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adjustments to intangible assets of acquisition of Bluedot Industries, Inc. and Bluedot Industries Pty. Ltd based on the fair values assigned in the preliminary purchase price allocation to: Customer contract and related relationships.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Reflects adjustments to intangible assets of Bluedot Innovation Pty. Ltd based on the preliminary allocation of costs for the asset acquisition.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the recognition of goodwill for GroupBy based on the preliminary purchase price allocation.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the recognition of goodwill for Bluedot Industries, Inc. and Bluedot Industries Pty. Ltd based on the preliminary purchase price allocation.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Reflects the adjustment to the right-of use asset and lease liability resulting from (1) the application of the guidance in ASC 805-20-30-24 which requires Rezolve to measure the lease liability at the present value of the remaining lease payments, as if the acquired lease were a new lease of the acquirer at the acquisition date and (2) differences between IFRS and US GAAP. There is only a single accounting model for leases under IFRS, i.e., all leases are effectively equivalent to finance leases under ASC 842, therefore lease classification is unnecessary under IFRS. The leases of GroupBy were classified as operating leases under ASC 842 which resulted in the recognition of a straight-line rent expense in the income statement under ASC 842 rather than the recognition of an amortization expense and interest expense under IFRS 16.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closing of the GroupBy acquisition, the Company entered into a subscription letter with Western Alliance Bank (“WAB”) pursuant to which the Company agreed to issue to WAB a number of Ordinary Shares which is equal to $12,300,000. In consideration for the allotment of these Ordinary Shares, WAB will irrevocably and unconditionally release and discharge the Company from the obligations owed by the Company to WAB. The pro forma adjustment assumes a price of $1.44 per share which is the closing price per share on March 25, 2025, the date on which Rezolve closed the GroupBy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adjustment to recognize the transactions costs directly associated with the acquisition of GroupBy, including, but not limited to advisory fees and legal fees.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adjustment to recognize the transactions costs directly associated with the acquisition of Bluedot Industries, Inc. and Bluedot Industries Pty. Ltd , including, but not limited to advisory fees and legal fees.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an adjustment for the cancellation all warrant liabilities to which GroupBy is a party as one of the conditions for the closing of the GroupBy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Reflects the issuance of ordinary shares as consideration for the acquisitions of Bluedot: the Company issued 819,737 ordinary shares of the Company to DBLP and 1,941,111 ordinary shares of the Company to the Tanist Group.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Reflects the issuance of ordinary shares as consideration for the acquisition of GroupBy: the Company issued 3,999,902 of its ordinary shares to the Sellers (as defined above). The pro forma adjustment assumes a price of $1.44 per share which is the closing price per share on March 25, 2025, the date on which the Company closed the GroupBy acquisition.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the elimination of accumulated deficit and other consolidation adjustments as a result of acquisition accounting.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an adjustment for the cancellation all warrants recognized in equity to which GroupBy is a party as one of the conditions for the closing of the GroupBy acquisition.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3—Unaudited pro forma condensed combined statements of operations adjustments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the pro forma adjustments listed below, the unaudited pro forma condensed combined statement of operations for the year ended December 31, 2024 also include adjustments to conform Bluedot’s and GroupBy's historical presentation of certain line items to the presentation of those line items by Rezolve.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revenue for Bluedot Innovation Pty. Ltd for the year ended December 31, 2024 represents revenue from a government grant.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Adjustment to add incremental depreciation expense for GroupBy based on the fair values assigned in the preliminary purchase price allocation to technology intellectual property and customer contract and related relationships.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Adjustment to add incremental depreciation expense for Bluedot Industries, Inc. and Bluedot Industries Pty. Ltd based on the fair values assigned in the preliminary purchase price allocation to customer contract and related relationships.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Adjustment to add incremental depreciation expense for Bluedot Innovation Pty. Ltd based on the values assigned to technology intellectual property based on the preliminary allocation of costs for the asset acquisition.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Adjustment to remove GroupBy's historical interest expense for the year ended December 31, 2024, as a result of the settlement of $12 million of outstanding debt due to Western Alliance Bank. Refer to the unaudited pro forma condensed combined balance sheet adjustments above for more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closing of the GroupBy acquisition, the Company entered into a subscription letter with Western Alliance Bank ("WAB") pursuant to which the Company agreed to issue to WAB a number of Ordinary Shares which is equal to $12,300,000. In consideration for the allotment of these Ordinary Shares, WAB will irrevocably and unconditionally release and discharge the Company from the obligations owed by the Company to WAB. The pro forma adjustment uses the share price of Rezolve Ordinary shares of $1.44 on March 25, 2025, the date on which Rezolve closed the GroupBy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adjustment to recognize the transactions costs directly associated with the acquisition of GroupBy including, but not limited to advisory fees and legal fees.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adjustment to recognize the transactions costs directly associated with the acquisition of Bluedot Industries, Inc. and Bluedot Industries Pty. Ltd including, but not limited to advisory fees and legal fees.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(z)</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adjustment to lease expense for the difference between IFRS and US GAAP. There is only a single accounting model for leases under IFRS, i.e., all leases are effectively equivalent to finance leases under ASC 842, therefore lease classification is unnecessary under IFRS. The leases of GroupBy were classified as operating leases under ASC 842 which resulted in the recognition of a straight-line rent expense in the income statement under ASC 842 rather than the recognition of an amortization expense and interest expense under IFRS 16, for the year ended December 31,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an adjustment for the cancellation all warrant liabilities to which GroupBy is a party as one of the conditions for the closing of the GroupBy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Represents the net loss per share calculated using the historical weighted average shares outstanding, and the issuance of additional shares in connection with the Bluedot and GroupBy acquisitions, assuming the shares were outstanding since January 1, 2024. As the Bluedot and GroupBy acquisitions are being reflected in the unaudited pro forma condensed combined statement of operations as if both acquisitions had occurred on January 1, 2024, the calculation of weighted average shares outstanding for basic and diluted net loss per share assumes that the shares issuable in connection with the Blue Dot and GroupBy acquisitions have been outstanding for the entire period presented.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pPr>
      <w:r>
        <w:rPr/>
        <w:t> </w:t>
      </w:r>
    </w:p>
    <w:p>
      <w:pPr>
        <w:pStyle w:val="TextBody"/>
        <w:bidi w:val="0"/>
        <w:jc w:val="center"/>
        <w:rPr>
          <w:rFonts w:ascii="Times New Roman" w:hAnsi="Times New Roman"/>
          <w:b/>
          <w:caps/>
          <w:color w:val="000000"/>
          <w:sz w:val="20"/>
        </w:rPr>
      </w:pPr>
      <w:bookmarkStart w:id="13" w:name="managements_discussion_and_analysis_of"/>
      <w:bookmarkEnd w:id="13"/>
      <w:r>
        <w:rPr>
          <w:rFonts w:ascii="Times New Roman" w:hAnsi="Times New Roman"/>
          <w:b/>
          <w:caps/>
          <w:color w:val="000000"/>
          <w:sz w:val="20"/>
        </w:rPr>
        <w:t>MANAGEMENT’S DISCUSSION AND ANALYSIS OF</w:t>
      </w:r>
    </w:p>
    <w:p>
      <w:pPr>
        <w:pStyle w:val="TextBody"/>
        <w:bidi w:val="0"/>
        <w:jc w:val="center"/>
        <w:rPr>
          <w:rFonts w:ascii="Times New Roman" w:hAnsi="Times New Roman"/>
          <w:b/>
          <w:caps/>
          <w:color w:val="000000"/>
          <w:sz w:val="20"/>
        </w:rPr>
      </w:pPr>
      <w:r>
        <w:rPr>
          <w:rFonts w:ascii="Times New Roman" w:hAnsi="Times New Roman"/>
          <w:b/>
          <w:caps/>
          <w:color w:val="000000"/>
          <w:sz w:val="20"/>
        </w:rPr>
        <w:t>FINANCIAL CONDITION AND RESULTS OF OPERATIONS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 this section, the "Company", “we,” “us,” “our” and “Rezolve” refer to Rezolve Limited and its subsidiaries prior to the consummation of the Pre-Closing Demerger and to Rezolve AI PLC (formerly Rezolve AI Limited) and its subsidiaries following the consummation of the Pre-Closing Demerger.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sz w:val="20"/>
        </w:rPr>
      </w:pPr>
      <w:r>
        <w:rPr>
          <w:rFonts w:ascii="Times New Roman" w:hAnsi="Times New Roman"/>
          <w:color w:val="000000"/>
          <w:sz w:val="20"/>
        </w:rPr>
        <w:t>We are recognized</w:t>
      </w:r>
      <w:r>
        <w:rPr>
          <w:rFonts w:ascii="Times New Roman" w:hAnsi="Times New Roman"/>
          <w:color w:val="000000"/>
          <w:sz w:val="13"/>
        </w:rPr>
        <w:t>2</w:t>
      </w:r>
      <w:r>
        <w:rPr>
          <w:rFonts w:ascii="Times New Roman" w:hAnsi="Times New Roman"/>
          <w:color w:val="000000"/>
          <w:sz w:val="20"/>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pStyle w:val="TextBody"/>
        <w:bidi w:val="0"/>
        <w:spacing w:before="240" w:after="283"/>
        <w:jc w:val="left"/>
        <w:rPr>
          <w:rFonts w:ascii="Times New Roman" w:hAnsi="Times New Roman"/>
          <w:sz w:val="20"/>
        </w:rPr>
      </w:pPr>
      <w:r>
        <w:rPr>
          <w:rFonts w:ascii="Times New Roman" w:hAnsi="Times New Roman"/>
          <w:color w:val="000000"/>
          <w:sz w:val="20"/>
        </w:rPr>
        <w:t>We expect to commercialize the Rezolve platform in quarter 2 of 2025, initially in Europe and the USA. Revenues from braincommerce are also forecast to begin in Q2 2025, increasing significantly in Q3 and Q4 2025. We also expect to generate revenues in Q4 2025 in South America and the Asia. We expect revenues to increase in 2026 through our signed partner agreements with Microsoft, Google and others. For additional information regarding the partner agreements, see “—</w:t>
      </w:r>
      <w:r>
        <w:rPr>
          <w:rFonts w:ascii="Times New Roman" w:hAnsi="Times New Roman"/>
          <w:i/>
          <w:color w:val="000000"/>
          <w:sz w:val="20"/>
        </w:rPr>
        <w:t>Partner Agreements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 On March 28, 2025, the Company altered its legal status under English law from a private limited company and re-registered as a public limited company. In connection with the re-registration as a public limited company, the Company changed its name from Rezolve AI Limited to Rezolve AI plc.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derive our revenue through the transaction fees based on sales of ticketing for La Liga football events in Spain.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has assessed whether they believe there are events or conditions that give rise to doubt the ability of the Company to continue as a going concern for a period of twelve months after the preparation of the consolidated financial statements. The assessment includes knowledge of the Company’s subsequent financial position, the estimated economic outlook and identified risks and uncertainties in relation there to.</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Please see Rezolve Press Release dated July 25, 2023, available at https://www.rezolve.com/investors/britainsbrain-heralds-new-era-of-commerce-enabled-ai/</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Seeking additional capital through the issuance of debtor equity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Generating revenue by execution of successful trials and long-term partner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Reducing expenses by taking restructuring actions and reducing the number of employees and consultants.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Limiting capital expenditures.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Factors Affecting Our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our future performance will depend on many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Growth from Transactions</w:t>
      </w:r>
      <w:r>
        <w:rPr>
          <w:rFonts w:ascii="Times New Roman" w:hAnsi="Times New Roman"/>
          <w:color w:val="000000"/>
          <w:sz w:val="20"/>
        </w:rPr>
        <w:t>: Our growth depends on SaaS subscription fees and commissions earned from merchant’s transactions with their customers.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New Merchant Acquisition</w:t>
      </w:r>
      <w:r>
        <w:rPr>
          <w:rFonts w:ascii="Times New Roman" w:hAnsi="Times New Roman"/>
          <w:color w:val="000000"/>
          <w:sz w:val="20"/>
        </w:rPr>
        <w:t>: Our growth depends in part on our ability to attract merchants to our platform. A key avenue of merchant 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Successful Expansion to Additional Geographies</w:t>
      </w:r>
      <w:r>
        <w:rPr>
          <w:rFonts w:ascii="Times New Roman" w:hAnsi="Times New Roman"/>
          <w:color w:val="000000"/>
          <w:sz w:val="20"/>
        </w:rPr>
        <w:t>: We believe our platform can compete successfully in various geographic regions. This 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Merchant Retention and Expansion</w:t>
      </w:r>
      <w:r>
        <w:rPr>
          <w:rFonts w:ascii="Times New Roman" w:hAnsi="Times New Roman"/>
          <w:color w:val="000000"/>
          <w:sz w:val="20"/>
        </w:rPr>
        <w:t>: We care deeply about merchants. Our commitment to their success, we believe, increases retention and likelihood of expanding their activity on our platform. Supporting merchants begins with enhancing both the shopper and the merchant experience. We 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Offering and service enhancement</w:t>
      </w:r>
      <w:r>
        <w:rPr>
          <w:rFonts w:ascii="Times New Roman" w:hAnsi="Times New Roman"/>
          <w:color w:val="000000"/>
          <w:sz w:val="20"/>
        </w:rPr>
        <w:t>: We intend to continue investing in the capabilities of our offerings and services to deliver better value for our users and merchants and address new market opportunities. Additionally, we will work to perfect our platform service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Growth through Mergers &amp; Acquisitions</w:t>
      </w:r>
      <w:r>
        <w:rPr>
          <w:rFonts w:ascii="Times New Roman" w:hAnsi="Times New Roman"/>
          <w:color w:val="000000"/>
          <w:sz w:val="20"/>
        </w:rPr>
        <w:t>: The growth of our business can be supported by a successful merger agreement with a SPAC and access to financing through capital markets. Additionally, our growth may be supported by acquisitions of businesses where management identifies synergistic growth opportunities.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transaction revenues through the sale of ticketing of football events using our technology with La Liga in Spain.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expenses consist of cost of revenues, employee benefit expenses, consultancy expense, sales and marketing expenses, business development expenses, general and administrative expenses, and depreciation and amortization.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Cost of revenues</w:t>
      </w:r>
      <w:r>
        <w:rPr>
          <w:rFonts w:ascii="Times New Roman" w:hAnsi="Times New Roman"/>
          <w:color w:val="000000"/>
          <w:sz w:val="20"/>
        </w:rPr>
        <w:t>: Our cost of revenues consists primarily of the materials and consumables.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Sales and marketing</w:t>
      </w:r>
      <w:r>
        <w:rPr>
          <w:rFonts w:ascii="Times New Roman" w:hAnsi="Times New Roman"/>
          <w:color w:val="000000"/>
          <w:sz w:val="20"/>
        </w:rPr>
        <w:t>: Costs primarily consist of consulting fees as well as salaries, pension contributions and share-based compensation for sales and marketing employees.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General and administrative</w:t>
      </w:r>
      <w:r>
        <w:rPr>
          <w:rFonts w:ascii="Times New Roman" w:hAnsi="Times New Roman"/>
          <w:color w:val="000000"/>
          <w:sz w:val="20"/>
        </w:rPr>
        <w:t xml:space="preserve">: Costs consist primarily of finance, legal, listing and other non-specific costs as well as salaries, pension contributions, share-based compensation for employees and nonrecurring share-based payments for non-employees. General and administrative also consists of payments made to developers who contract with Rezolve and fees and share-based compensation for directors.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Depreciation and amortization</w:t>
      </w:r>
      <w:r>
        <w:rPr>
          <w:rFonts w:ascii="Times New Roman" w:hAnsi="Times New Roman"/>
          <w:color w:val="000000"/>
          <w:sz w:val="20"/>
        </w:rPr>
        <w:t xml:space="preserve">: primarily consists of amortization of software and acquired information technology intangible assets as well as depreciation of fixed tangible assets.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Other operating expenses</w:t>
      </w:r>
      <w:r>
        <w:rPr>
          <w:rFonts w:ascii="Times New Roman" w:hAnsi="Times New Roman"/>
          <w:color w:val="000000"/>
          <w:sz w:val="20"/>
        </w:rPr>
        <w:t xml:space="preserve">: consists of an impairment charges on loan receivables.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Interest expense consists primarily of costs associated with short term debt and convertible debt.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Non-Operating Income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non-operating income/ (expense), net consists of foreign exchange loss and research and development credits. Foreign exchange loss primarily consists of the revaluation of local currency bank ledger balances not denominated in U.S. dollars. Research and development credits primarily consists of activities related to government tax incentives on technology spent on certain operational activities in UK.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 for years ended December 31,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set forth our consolidated statements of operations for the years ended December 31, 2024 and December 31, 2023:</w:t>
      </w:r>
    </w:p>
    <w:p>
      <w:pPr>
        <w:pStyle w:val="TextBody"/>
        <w:bidi w:val="0"/>
        <w:jc w:val="left"/>
        <w:rPr/>
      </w:pPr>
      <w:r>
        <w:rPr/>
        <w:t> </w:t>
      </w:r>
    </w:p>
    <w:tbl>
      <w:tblPr>
        <w:tblW w:w="7174" w:type="dxa"/>
        <w:jc w:val="left"/>
        <w:tblInd w:w="0" w:type="dxa"/>
        <w:tblLayout w:type="fixed"/>
        <w:tblCellMar>
          <w:top w:w="28" w:type="dxa"/>
          <w:left w:w="28" w:type="dxa"/>
          <w:bottom w:w="28" w:type="dxa"/>
          <w:right w:w="28" w:type="dxa"/>
        </w:tblCellMar>
      </w:tblPr>
      <w:tblGrid>
        <w:gridCol w:w="3686"/>
        <w:gridCol w:w="211"/>
        <w:gridCol w:w="146"/>
        <w:gridCol w:w="1201"/>
        <w:gridCol w:w="166"/>
        <w:gridCol w:w="211"/>
        <w:gridCol w:w="146"/>
        <w:gridCol w:w="1096"/>
        <w:gridCol w:w="311"/>
      </w:tblGrid>
      <w:tr>
        <w:trPr/>
        <w:tc>
          <w:tcPr>
            <w:tcW w:w="3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187,788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145,051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6,731,254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131,430,412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17,986,528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1,156,316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242,436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138,230,574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26,151,325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(138,042,786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(26,006,274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(10,557,714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(4,791,782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Gain/(loss) on derivatives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19,001,681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Gain/(loss) on extinguishment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(44,332,819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non-operating income (expense),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125,366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expenses,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(34,559,071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(4,666,416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(172,601,857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(30,672,690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(63,408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for the year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(172,646,790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(30,736,098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Comparison of the years ended December 31, 2024 and 2023</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shows total revenues from ticketing transactions for the year ended December 31, 2024, as compared to the year ended December 31, 2023:</w:t>
      </w:r>
    </w:p>
    <w:p>
      <w:pPr>
        <w:pStyle w:val="TextBody"/>
        <w:bidi w:val="0"/>
        <w:jc w:val="left"/>
        <w:rPr/>
      </w:pPr>
      <w:r>
        <w:rPr/>
        <w:t> </w:t>
      </w:r>
    </w:p>
    <w:tbl>
      <w:tblPr>
        <w:tblW w:w="5804" w:type="dxa"/>
        <w:jc w:val="left"/>
        <w:tblInd w:w="0" w:type="dxa"/>
        <w:tblLayout w:type="fixed"/>
        <w:tblCellMar>
          <w:top w:w="28" w:type="dxa"/>
          <w:left w:w="28" w:type="dxa"/>
          <w:bottom w:w="28" w:type="dxa"/>
          <w:right w:w="28" w:type="dxa"/>
        </w:tblCellMar>
      </w:tblPr>
      <w:tblGrid>
        <w:gridCol w:w="841"/>
        <w:gridCol w:w="211"/>
        <w:gridCol w:w="146"/>
        <w:gridCol w:w="781"/>
        <w:gridCol w:w="146"/>
        <w:gridCol w:w="146"/>
        <w:gridCol w:w="211"/>
        <w:gridCol w:w="146"/>
        <w:gridCol w:w="781"/>
        <w:gridCol w:w="146"/>
        <w:gridCol w:w="146"/>
        <w:gridCol w:w="211"/>
        <w:gridCol w:w="146"/>
        <w:gridCol w:w="676"/>
        <w:gridCol w:w="146"/>
        <w:gridCol w:w="146"/>
        <w:gridCol w:w="146"/>
        <w:gridCol w:w="316"/>
        <w:gridCol w:w="316"/>
      </w:tblGrid>
      <w:tr>
        <w:trPr/>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increase in revenue from $145,051 for the year ended December 31, 2023 as compared to $187,788 for the year ended December 31, 2024 is attributable to increased transaction revenues through the sale of ticketing of football events using our technology with La Liga in Spain.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shows operating expenses for the year ended December 31, 2024, as compared to the year ended December 31, 2023:</w:t>
      </w:r>
    </w:p>
    <w:p>
      <w:pPr>
        <w:pStyle w:val="TextBody"/>
        <w:bidi w:val="0"/>
        <w:jc w:val="left"/>
        <w:rPr/>
      </w:pPr>
      <w:r>
        <w:rPr/>
        <w:t> </w:t>
      </w:r>
    </w:p>
    <w:tbl>
      <w:tblPr>
        <w:tblW w:w="9604" w:type="dxa"/>
        <w:jc w:val="left"/>
        <w:tblInd w:w="0" w:type="dxa"/>
        <w:tblLayout w:type="fixed"/>
        <w:tblCellMar>
          <w:top w:w="28" w:type="dxa"/>
          <w:left w:w="28" w:type="dxa"/>
          <w:bottom w:w="28" w:type="dxa"/>
          <w:right w:w="28" w:type="dxa"/>
        </w:tblCellMar>
      </w:tblPr>
      <w:tblGrid>
        <w:gridCol w:w="3376"/>
        <w:gridCol w:w="211"/>
        <w:gridCol w:w="146"/>
        <w:gridCol w:w="1141"/>
        <w:gridCol w:w="146"/>
        <w:gridCol w:w="146"/>
        <w:gridCol w:w="211"/>
        <w:gridCol w:w="146"/>
        <w:gridCol w:w="1036"/>
        <w:gridCol w:w="146"/>
        <w:gridCol w:w="146"/>
        <w:gridCol w:w="211"/>
        <w:gridCol w:w="146"/>
        <w:gridCol w:w="1141"/>
        <w:gridCol w:w="166"/>
        <w:gridCol w:w="146"/>
        <w:gridCol w:w="146"/>
        <w:gridCol w:w="421"/>
        <w:gridCol w:w="376"/>
      </w:tblGrid>
      <w:tr>
        <w:trPr/>
        <w:tc>
          <w:tcPr>
            <w:tcW w:w="3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6,731,254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131,430,412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17,986,528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113,443,884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138,230,574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26,151,325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112,079,249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Percentages have been rounded for presentation purposes and may differ from unrounded results.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Cost of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revenues have remained unchanged at $34,053, for the year ended December 31, 2024 compared to $34,791 for the year ended December 31, 2023.</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Sales and Marketing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and marketing expenses decreased by $0.45 million, for the year ended December 31, 2024 compared to the year ended December 31, 2023. This was primarily due lower share-based payments expense related to a decrease in the number of stock options granted to employees within sales and marketing during the year ended December 31, 2024 as compared to the year ended December 31, 2023.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increased by $113.44 million, for the year ended December 31, 2024 compared to the year ended December 31, 2023. This was primarily due to an increase in share-based payments expenses of $60.5 million from 2023 to 2024 related to stock options granted to DBLP Sea Cow Ltd during the year ended December 31, 2024. DBLP Sea Cow Ltd is wholly legally owned by Dan Wagner, Chief Executive Officer of Rezolve. An increase of $34.2 million in legal and professional fees incurred as a result of the Pre-Closing Demerger transaction and the Business Combination transaction with Armada Acquisition Corp. I. also contributed to the increase in general and administrative expenses during the year ended December 31, 2024 as compared to the year ended December 31, 2023.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operating expenses decreased by $0.90 million for the year ended December 31, 2024 compared to the year ended December 31, 2023 . The higher operating expenses during the year ended December 31, 2023 as compared to the year ended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December 31, 2024 was driven by higher impairment charges related to loan receivables from Swipeby and Moneymatic recognized in 2023 as compared to 2024.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Depreciation and Amortization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expenses remained materially unchanged at $225,251, for the year ended December 31, 2024 compared to $242,436 for the year ended December 31, 2023.</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Income and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shows interest expense and other non-operating income and expenses for the year ended December 31, 2024, as compared to the year ended December 31, 2023:</w:t>
      </w:r>
    </w:p>
    <w:p>
      <w:pPr>
        <w:pStyle w:val="TextBody"/>
        <w:bidi w:val="0"/>
        <w:jc w:val="left"/>
        <w:rPr/>
      </w:pPr>
      <w:r>
        <w:rPr/>
        <w:t> </w:t>
      </w:r>
    </w:p>
    <w:tbl>
      <w:tblPr>
        <w:tblW w:w="9859" w:type="dxa"/>
        <w:jc w:val="left"/>
        <w:tblInd w:w="0" w:type="dxa"/>
        <w:tblLayout w:type="fixed"/>
        <w:tblCellMar>
          <w:top w:w="28" w:type="dxa"/>
          <w:left w:w="28" w:type="dxa"/>
          <w:bottom w:w="28" w:type="dxa"/>
          <w:right w:w="28" w:type="dxa"/>
        </w:tblCellMar>
      </w:tblPr>
      <w:tblGrid>
        <w:gridCol w:w="3686"/>
        <w:gridCol w:w="211"/>
        <w:gridCol w:w="146"/>
        <w:gridCol w:w="1096"/>
        <w:gridCol w:w="166"/>
        <w:gridCol w:w="146"/>
        <w:gridCol w:w="211"/>
        <w:gridCol w:w="146"/>
        <w:gridCol w:w="991"/>
        <w:gridCol w:w="166"/>
        <w:gridCol w:w="146"/>
        <w:gridCol w:w="211"/>
        <w:gridCol w:w="146"/>
        <w:gridCol w:w="1096"/>
        <w:gridCol w:w="166"/>
        <w:gridCol w:w="146"/>
        <w:gridCol w:w="146"/>
        <w:gridCol w:w="421"/>
        <w:gridCol w:w="416"/>
      </w:tblGrid>
      <w:tr>
        <w:trPr/>
        <w:tc>
          <w:tcPr>
            <w:tcW w:w="3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(10,557,714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(5,765,932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Gain/(loss) on derivatives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19,001,681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19,001,681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Gain/(loss) on extinguishment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(44,332,819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(44,332,819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non-operating income (expense),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1,204,415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expenses, net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(34,559,071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(4,666,416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(29,892,655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Interest expense increased by $5.77 million for the year ended December 31, 2024, as compared to the year ended December 31, 2023. This was primarily due to interest expense of $6.99 million on the senior secured convertible notes and unsecured convertible loans. Refer to the Liquidity and Resources section below for more information.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net gain on derivatives of $19.00 million is primarily due to the remeasurement of a derivative asset and derivative liabilities at fair value through profit and loss. The derivative asset pertains to an option held by the Company to convert a promissory note payable to Northland Securities. The Company had The outstanding derivative liabilities as at December 31, 2024 were triggered by conversion features embedded in promissory notes held by investors Cohen &amp; Company Financial Management LLC, J.V.B. Financial Group and Northlands Securities. The Company previously did not bifurcate the embedded conversion features as derivatives due to the lack of an underlying share price prior to the Company's acquisition of Armada and listing of its Ordinary Shares on the NASDAQ. Refer to the Liquidity and Resources section below for more information.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loss on extinguishment of $44.33 million is primarily due to an agreement entered into by the Company, Apeiron Investment Group Ltd. and Bradley Wickens, the beneficial holders of the majority of senior secured convertible notes to amend </w:t>
      </w:r>
    </w:p>
    <w:p>
      <w:pPr>
        <w:pStyle w:val="TextBody"/>
        <w:bidi w:val="0"/>
        <w:jc w:val="left"/>
        <w:rPr>
          <w:rFonts w:ascii="Times New Roman" w:hAnsi="Times New Roman"/>
          <w:color w:val="000000"/>
          <w:sz w:val="20"/>
        </w:rPr>
      </w:pPr>
      <w:r>
        <w:rPr>
          <w:rFonts w:ascii="Times New Roman" w:hAnsi="Times New Roman"/>
          <w:color w:val="000000"/>
          <w:sz w:val="20"/>
        </w:rPr>
        <w:t xml:space="preserve">the conversion price of approximately $41,892,080 of their outstanding senior secured convertible notes to $2 per ordinary share. Apeiron Investment Group Ltd. and Bradley Wickens exercised their option to convert all their outstanding senior secured convertible notes which resulted in the recognition of a debt conversion expense of $39,658,290, equal to the fair value of the ordinary shares given up less the carrying value of the debt including accrued interest. Refer to the Liquidity and Resources section below for more information.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non-operating (income) expense increased to $1.33 million for the year ended December 31, 2024, as compared to $0.13 million year ended December 31, 2023. This was primarily due a foreign exchange gain of $1.33 million during year ended December 31, 2024 as compared to a foreign exchange loss of $0.38 million during the year ended December 31, 2023. The Company's exposure to currencies other than its functional currency of the US Dollar, changed during the year ended December 31, 2024 as compared to the year ended December 31, 2023 due to events such as the board of directors decision to abandon operations in China completely and the Business Combination transaction with Armada Acquisition Corp. I.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losses increased to $138.04 million for the year ended December 31, 2024, as compared to $26.01 million for the year ended December 31, 2023. This was primarily due to the increase in general and administrative expenses as detailed above. </w:t>
      </w:r>
    </w:p>
    <w:p>
      <w:pPr>
        <w:pStyle w:val="TextBody"/>
        <w:bidi w:val="0"/>
        <w:spacing w:before="36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Key Business Metrics</w:t>
      </w:r>
    </w:p>
    <w:p>
      <w:pPr>
        <w:pStyle w:val="TextBody"/>
        <w:bidi w:val="0"/>
        <w:spacing w:before="120" w:after="283"/>
        <w:jc w:val="left"/>
        <w:rPr>
          <w:rFonts w:ascii="Times New Roman" w:hAnsi="Times New Roman"/>
          <w:sz w:val="20"/>
        </w:rPr>
      </w:pPr>
      <w:r>
        <w:rPr>
          <w:rFonts w:ascii="Times New Roman" w:hAnsi="Times New Roman"/>
          <w:color w:val="000000"/>
          <w:sz w:val="20"/>
        </w:rPr>
        <w:t>In addition to information related to our financial performance, we regularly review the following key metrics to evaluate our business, measure our performance, identify trends in our business, prepare financial projections and make strategic decisions. We discuss revenues below under “—</w:t>
      </w:r>
      <w:r>
        <w:rPr>
          <w:rFonts w:ascii="Times New Roman" w:hAnsi="Times New Roman"/>
          <w:i/>
          <w:color w:val="000000"/>
          <w:sz w:val="20"/>
        </w:rPr>
        <w:t>Components of Results of Operations</w:t>
      </w:r>
      <w:r>
        <w:rPr>
          <w:rFonts w:ascii="Times New Roman" w:hAnsi="Times New Roman"/>
          <w:color w:val="000000"/>
          <w:sz w:val="20"/>
        </w:rPr>
        <w:t xml:space="preserve">.” Period-on-period revenues growth, EBITDA and total number of merchants are discussed immediately below the following table.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financial metrics are used by management to monitor and analyze the operational performance of our business.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Ticketing: </w:t>
      </w:r>
      <w:r>
        <w:rPr>
          <w:rFonts w:ascii="Times New Roman" w:hAnsi="Times New Roman"/>
          <w:color w:val="000000"/>
          <w:sz w:val="20"/>
        </w:rPr>
        <w:t>Total Ticketing revenue transactions reflect the number of loyalty card transactions in a calendar year, loyalty is linked to the consumers football ticket. We track ticketing transactions as an indicator of customer transactions and as a key driver of revenues.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EBITDA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is a non-GAAP financial measure. 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does not reflect changes in, or cash requirements for, our working capital needs or contractual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does not reflect our interest expense, or the cash requirements to service interest or principal payments on, our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does not reflect our tax expense or the cash requirements to pay our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does not reflect the impact on earnings or changes resulting from matters that we consider not to be indicative of our future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depreciation and amortization are non-cash charges, the assets being depreciated or amortized will often need to be replaced in the future, and EBITDA does not reflect any cash requirements for these replacements;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companies may calculate EBITDA differently than we do.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provides a reconciliation of our net income (loss) to EBITDA (non GAAP):</w:t>
      </w:r>
    </w:p>
    <w:p>
      <w:pPr>
        <w:pStyle w:val="TextBody"/>
        <w:bidi w:val="0"/>
        <w:jc w:val="left"/>
        <w:rPr/>
      </w:pPr>
      <w:r>
        <w:rPr/>
        <w:t> </w:t>
      </w:r>
    </w:p>
    <w:tbl>
      <w:tblPr>
        <w:tblW w:w="6355" w:type="dxa"/>
        <w:jc w:val="left"/>
        <w:tblInd w:w="0" w:type="dxa"/>
        <w:tblLayout w:type="fixed"/>
        <w:tblCellMar>
          <w:top w:w="28" w:type="dxa"/>
          <w:left w:w="28" w:type="dxa"/>
          <w:bottom w:w="28" w:type="dxa"/>
          <w:right w:w="28" w:type="dxa"/>
        </w:tblCellMar>
      </w:tblPr>
      <w:tblGrid>
        <w:gridCol w:w="2821"/>
        <w:gridCol w:w="211"/>
        <w:gridCol w:w="146"/>
        <w:gridCol w:w="1201"/>
        <w:gridCol w:w="166"/>
        <w:gridCol w:w="146"/>
        <w:gridCol w:w="211"/>
        <w:gridCol w:w="146"/>
        <w:gridCol w:w="1096"/>
        <w:gridCol w:w="211"/>
      </w:tblGrid>
      <w:tr>
        <w:trPr/>
        <w:tc>
          <w:tcPr>
            <w:tcW w:w="2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(172,646,790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(30,736,098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(subtract)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10,557,714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4,791,782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 (non-GAAP)</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(161,818,892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(25,638,472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have booked transaction-related costs in each of the years ended December 31, 2024 and 2023. PCAOB audit and U.S. legal counsel costs for the periods under review have been accrued as incurred in the year ended December 31,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Adjusted EBITDA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is a non-GAAP financial measure. We define Adjusted EBITDA as EBITDA adjusted for unrealized foreign exchange gains (losses), impairment of goodwill and other assets, business development expenses, warrants issued and share-based compensation. Although it is frequently used by investors and securities analysts in their evaluations of companies, Adjusted EBITDA has limitations as an analytical tool, including: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changes in, or cash requirements for, our working capital needs or contractual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our interest expense, or the cash requirements to service interest or principal payments on, our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our tax expense or the cash requirements to pay our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the impact on earnings or changes resulting from matters that we consider not to be indicative of our future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depreciation and amortization are non-cash charges, the assets being depreciated or amortized will often need to be replaced in the future, and Adjusted EBITDA does not reflect any cash requirements for these replacements;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companies may calculate Adjusted EBITDA differently than we do.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Adjusted EBITDA is used by management to understand and track underlying earnings performance by excluding one-time and non-recurring costs. The Company believe it is appropriate to exclude these costs from Adjusted EBITDA as they relate 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Investments made in the China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Impairments of loans and 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 based compensation related only to initial employees, consultants and related parties;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Unrealized foreign exchange (gain)/loss are one-time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Loss/(gain) resulting from the remeasurement of derivative assets and derivative liabilities at fair value at the end of each reporting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Loss/(gain) resulting from extinguishment of debt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Share-based payment expense of $18,836,099 related to restricted employee shares. The articles of incorporation of the Company were amended to remove these restrictions prior to the completion of the Pre-Closing Demerger transaction.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Internally adjusted EBITDA and contribution margin by reportable segment are significant measures used by management for purposes 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Supplementing the financial results and forecasts reported to the Company’s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Evaluating the operating performance of which includes direct and incrementally controllable revenue and costs of operations but excludes items considered by management to be non-cash or non-operating;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internal operating budgets and target.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development expenses reflect the costs incurred by Rezolve Limited in funding our platform activities in China in 2024, prior to the Pre-Closing Demerger, and 2023 and are recorded within 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provides a reconciliation of our net income (loss) to Adjusted EBITDA (non-GAAP):</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654" w:type="dxa"/>
        <w:jc w:val="left"/>
        <w:tblInd w:w="0" w:type="dxa"/>
        <w:tblLayout w:type="fixed"/>
        <w:tblCellMar>
          <w:top w:w="28" w:type="dxa"/>
          <w:left w:w="28" w:type="dxa"/>
          <w:bottom w:w="28" w:type="dxa"/>
          <w:right w:w="28" w:type="dxa"/>
        </w:tblCellMar>
      </w:tblPr>
      <w:tblGrid>
        <w:gridCol w:w="5266"/>
        <w:gridCol w:w="211"/>
        <w:gridCol w:w="146"/>
        <w:gridCol w:w="1201"/>
        <w:gridCol w:w="166"/>
        <w:gridCol w:w="211"/>
        <w:gridCol w:w="146"/>
        <w:gridCol w:w="1096"/>
        <w:gridCol w:w="211"/>
      </w:tblGrid>
      <w:tr>
        <w:trPr/>
        <w:tc>
          <w:tcPr>
            <w:tcW w:w="5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(172,646,790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(30,736,098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(subtract)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10,557,714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4,791,782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 (non-GAAP)</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(161,818,892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(25,638,472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(subtract)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foreign exchange (gain)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loan and accounts receivable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1,156,316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development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777,161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based compensation issued to related parties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63,001,392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3,270,040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based compensation for consultancy services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for employees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4,314,649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5,238,117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derivatives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(19,001,681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44,332,819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 employees shares restrictions lifted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18,836,099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(non-GAAP)</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(43,782,632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(15,087,056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Total Number of Merchants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Employee share 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9,513,181 restricted employee shares were outstanding due to an unofficial and unapproved equity incentive plan. These shares par value of £0.0001 per share were unpaid by the employees. The employee shares had significant restrictions including management’s and or the board’s rights to cancel the shares any time, restrictions on right to transfer, to vote and cumulative dividends. There were no vesting conditions including service conditions in relation to the shares issued. Considering the restrictions imposed on these shares, these shares were considered to be ungranted to the employees. The amount receivable for these employee shares and such employee shares issued were adjusted from the share subscription receivable and number of ordinary shares, respectively in the Company’s consolidated statement of changes in shareholder’s deficit as of and for the year ended December 31, 2023. The articles of incorporation of the Company were amended to remove these restrictions prior to the completion of the Pre-Closing Demerger transaction. The removal of these restrictions triggered a “grant date” as defined in ASC 718. As there were no vesting conditions, the shares were fully vested at grant date. The Company recognized a share-based payment expense of $18,836,099 during the year ended December 31, 2024 using a fair value of ordinary shares of $1.98. The fair value of the ordinary shares was estimated using a recent funding of the Company, historical discounts to share prices following an initial public offering through a Special Purpose Acquisition Corp ("SPAC"), while also considering the risk that the Company may not successfully close its Business Combination with Armada or complete the Demerger. The valuation used an estimated discount for lack of marketability using an average from the results of a Black-Scholes Protective Put Option Analysis, Asian Put Option Analysis and the Finnerty Put Option Analysis.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has assessed whether they believe there are events or conditions that give rise to doubt the ability of the Company to continue as a going concern for a period of twelve months after the preparation of the consolidated financial statements. The assessment includes knowledge of the Company’s subsequent financial position, the estimated economic outlook and identified risks and uncertainties in relation.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Seeking additional capital through the issuance of debt or equity securities.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Generating revenue by execution of successful trials and long-term partner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generate revenue from our technology.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Furthermore, the review of the strategic plan and budget, including expected developments in liquidity and capital from definitive agreements entered into, were considered. As of the date of issuance of these consolidated financial statements, the Company has a further $234.4 million remaining on the Standby Equity Purchase Agreement ("SEPA") capital commitment facility with YA II PN, LTD ("YA"), a Cayman Island exempt limited company. The SEPA is a share subscription facility which was signed and executed on February 23, 2023 and amended and restated on February 2, 2024 to provide for, inter alia, Rezolve AI Limited joining as a party to the agreement and the subscription by YA of a promissory convertible note (“YA Agreement”, note 7.6). The Company may continue to seek capital through the issuance of equity securities using the remaining undrawn capital commitment facility. Consequently, it has been concluded that adequate resources and liquidity to meet the cash flow requirements for the next twelve months are present, and it is reasonable to apply the going concern basis as the underlying assumption for the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2024, we financed our operations in large part with cash flows from financing activities through cash proceeds from issuance of convertible debt, short term-debt and a rights issue.</w:t>
      </w:r>
    </w:p>
    <w:p>
      <w:pPr>
        <w:pStyle w:val="TextBody"/>
        <w:bidi w:val="0"/>
        <w:spacing w:before="240" w:after="283"/>
        <w:jc w:val="left"/>
        <w:rPr/>
      </w:pPr>
      <w:r>
        <w:rPr/>
        <w:t> </w:t>
      </w:r>
    </w:p>
    <w:tbl>
      <w:tblPr>
        <w:tblW w:w="7375" w:type="dxa"/>
        <w:jc w:val="left"/>
        <w:tblInd w:w="0" w:type="dxa"/>
        <w:tblLayout w:type="fixed"/>
        <w:tblCellMar>
          <w:top w:w="28" w:type="dxa"/>
          <w:left w:w="28" w:type="dxa"/>
          <w:bottom w:w="28" w:type="dxa"/>
          <w:right w:w="28" w:type="dxa"/>
        </w:tblCellMar>
      </w:tblPr>
      <w:tblGrid>
        <w:gridCol w:w="3616"/>
        <w:gridCol w:w="211"/>
        <w:gridCol w:w="185"/>
        <w:gridCol w:w="1315"/>
        <w:gridCol w:w="146"/>
        <w:gridCol w:w="211"/>
        <w:gridCol w:w="185"/>
        <w:gridCol w:w="1315"/>
        <w:gridCol w:w="191"/>
      </w:tblGrid>
      <w:tr>
        <w:trPr/>
        <w:tc>
          <w:tcPr>
            <w:tcW w:w="36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Short-term debt and other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debt to related parties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5,102,211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6,225,815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Ordinary shares payable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1,206,609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8,223,928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debt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10,288,123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31,088,259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 term convertible debt to related party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 liability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1,311,028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promissory notes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6,428,825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Advisors loans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12,812,366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37,333,443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46,981,299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Short-term debt to related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Unsecured interest free loans taken from related parties DBLP Sea Cow Ltd of $447,067 and Daniel Wagner of $4,655,144 are repayable on demand.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were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8.3). The loan principal and accrued borrowing fees were rounded to a sum of $8,000,000. The key terms of the loan amendment include that of the senior secured convertible notes, as noted below: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maturity date was extended to three years from the date of an IPO or Business Combination, or December 31, 2024 if an IPO or Business Combination with a publicly listed company has not yet occurred by December 31, 2024.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interest rate was reduced to 7.5% per annum from the date that the amendment was executed.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Conversion into ordinary shares of the Company is at the option of the investor from any date of an IPO or Business Combination with a publicly listed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 As a result of the loan amendment and addition to the Company’s senior secured convertible notes, the default was remediated.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On December 5, 2024, all $8,000,000 of the senior secured convertible notes in favor of Igor Lychagov were converted into ordinary shares of the Company at a conversion price of $7 per ordinary share.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Ordinary shares payable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25, 2023, the Company offered to all existing investors and employees of the Company an advanced subscription agreement for ordinary shares of the Company at a discount from the pre-close equity value of the Company per share (“the Rights Issue”) in connection with its business combination with Armada Acquisition Corp I. The Company issued 11,052,716 ordinary shares in December 2024 to subscribers of the rights issue. On January 24, 2025, the Company issued a further 171,429 ordinary shares to a subscriber of the rights issue to whom they were owed ordinary shares payable as at December 31,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Convertible debt</w:t>
      </w:r>
    </w:p>
    <w:p>
      <w:pPr>
        <w:pStyle w:val="TextBody"/>
        <w:bidi w:val="0"/>
        <w:spacing w:before="240" w:after="283"/>
        <w:jc w:val="left"/>
        <w:rPr>
          <w:rFonts w:ascii="Times New Roman" w:hAnsi="Times New Roman"/>
          <w:sz w:val="20"/>
        </w:rPr>
      </w:pPr>
      <w:r>
        <w:rPr>
          <w:rFonts w:ascii="Times New Roman" w:hAnsi="Times New Roman"/>
          <w:color w:val="000000"/>
          <w:sz w:val="20"/>
        </w:rPr>
        <w:t>In connection with the Business Combination Agreement, on December 16, 2021, Rezolve Limited entered into a secured convertible loan note instrument, as amended and restated on November 21, 2022 and May 23, 2023 and as further amended on December 18, 2023, December 29, 2023 and January 26, 2024 (the “</w:t>
      </w:r>
      <w:r>
        <w:rPr>
          <w:rFonts w:ascii="Times New Roman" w:hAnsi="Times New Roman"/>
          <w:b/>
          <w:i/>
          <w:color w:val="000000"/>
          <w:sz w:val="20"/>
        </w:rPr>
        <w:t>Loan Note Instrument</w:t>
      </w:r>
      <w:r>
        <w:rPr>
          <w:rFonts w:ascii="Times New Roman" w:hAnsi="Times New Roman"/>
          <w:color w:val="000000"/>
          <w:sz w:val="20"/>
        </w:rPr>
        <w:t>”). Upon the closing of the Pre-Closing Demerger, the Loan Note Instrument was novated to Rezolve and was secured by a debenture over the assets of Rezolve. As of December 5, 2024, there was outstanding an aggregate amount of approximately $49 million of convertible notes (the "Convertible Notes") outstanding under the Loan Note Instrument.</w:t>
      </w:r>
    </w:p>
    <w:p>
      <w:pPr>
        <w:pStyle w:val="TextBody"/>
        <w:bidi w:val="0"/>
        <w:jc w:val="left"/>
        <w:rPr>
          <w:rFonts w:ascii="Times New Roman" w:hAnsi="Times New Roman"/>
          <w:color w:val="000000"/>
          <w:sz w:val="20"/>
        </w:rPr>
      </w:pPr>
      <w:r>
        <w:rPr>
          <w:rFonts w:ascii="Times New Roman" w:hAnsi="Times New Roman"/>
          <w:color w:val="000000"/>
          <w:sz w:val="20"/>
        </w:rPr>
        <w:t>On December 5, 2024, pursuant to the terms of the Loan Note Instrument, one of the holders of the Convertible Notes converted all of his approximately $8 million of outstanding Convertible Notes at a conversion price of $7 per ordinary share.</w:t>
      </w:r>
    </w:p>
    <w:p>
      <w:pPr>
        <w:pStyle w:val="TextBody"/>
        <w:bidi w:val="0"/>
        <w:jc w:val="left"/>
        <w:rPr>
          <w:rFonts w:ascii="Times New Roman" w:hAnsi="Times New Roman"/>
          <w:sz w:val="20"/>
        </w:rPr>
      </w:pPr>
      <w:r>
        <w:rPr>
          <w:rFonts w:ascii="Times New Roman" w:hAnsi="Times New Roman"/>
          <w:color w:val="000000"/>
          <w:sz w:val="20"/>
        </w:rPr>
        <w:t>On December 17, 2024, the Company, Apeiron Investment Group Ltd. and Bradley Wickens, the beneficial holders of the majority of Convertible Notes entered into an agreement (the “</w:t>
      </w:r>
      <w:r>
        <w:rPr>
          <w:rFonts w:ascii="Times New Roman" w:hAnsi="Times New Roman"/>
          <w:b/>
          <w:i/>
          <w:color w:val="000000"/>
          <w:sz w:val="20"/>
        </w:rPr>
        <w:t>Agreement</w:t>
      </w:r>
      <w:r>
        <w:rPr>
          <w:rFonts w:ascii="Times New Roman" w:hAnsi="Times New Roman"/>
          <w:color w:val="000000"/>
          <w:sz w:val="20"/>
        </w:rPr>
        <w:t>”) to amend the Loan Note Instrument (the “</w:t>
      </w:r>
      <w:r>
        <w:rPr>
          <w:rFonts w:ascii="Times New Roman" w:hAnsi="Times New Roman"/>
          <w:b/>
          <w:i/>
          <w:color w:val="000000"/>
          <w:sz w:val="20"/>
        </w:rPr>
        <w:t>Amendment</w:t>
      </w:r>
      <w:r>
        <w:rPr>
          <w:rFonts w:ascii="Times New Roman" w:hAnsi="Times New Roman"/>
          <w:color w:val="000000"/>
          <w:sz w:val="20"/>
        </w:rPr>
        <w:t xml:space="preserve">”) and that the beneficial holders shall procure that the registered nominees holding their Convertible Notes provide the necessary consents to the Amendment. Pursuant to the Amendment, the conversion price with respect to approximately $41 million of outstanding Convertible Notes was revised to equal $2 per ordinary share. </w:t>
      </w:r>
    </w:p>
    <w:p>
      <w:pPr>
        <w:pStyle w:val="TextBody"/>
        <w:bidi w:val="0"/>
        <w:jc w:val="left"/>
        <w:rPr>
          <w:rFonts w:ascii="Times New Roman" w:hAnsi="Times New Roman"/>
          <w:color w:val="000000"/>
          <w:sz w:val="20"/>
        </w:rPr>
      </w:pPr>
      <w:r>
        <w:rPr>
          <w:rFonts w:ascii="Times New Roman" w:hAnsi="Times New Roman"/>
          <w:color w:val="000000"/>
          <w:sz w:val="20"/>
        </w:rPr>
        <w:t xml:space="preserve">In December 2024, all of the remaining Convertible Note holders elected to convert. As of December 31, 2024, $0.4 million of the Convertible Notes remained outstanding under the Loan Note Instrument.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Short term convertible debt to a related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Short term convertible debt to a related party of $132,269 was also added to the Company’s senior secured convertible note including $125,000 of convertible debt and $7,269 of interest.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Share-based payment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7, 2021, the Group acquired Jaymax International Service Inc. (“Jaymax”) (later renamed to “Rezolve Taiwan Limited”). As part of the acquisition of Jaymax, the Company agreed to issue $1,400,000 in Rezolve ordinary share to Jaymax’s former owner for completion of a 3-year noncompete period which began on the October 7, 2021. The cost of the share-based payment is considered to have vested immediately upon commencement of the non-compete period as the Company’s assumption is that it is more likely than not that the former owner will not breach the non-compete agreement. The share-based payment liability is to be settled by a fixed dollar amount of shares and therefore represents a liability in accordance with ASC 480. As at December 31, 2023, the liability has been measured at fair value using a discounted cash-flow model and a market participant borrowing rate of 10.8%. At December 31, 2024 the liability is equal its present value of $1,400,000 as the term of the non-compete agreement ended on October 7, 2024. The Company has yet to settle it in ordinary shares as at December 31, 2024.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Convertible Promissory notes</w:t>
      </w:r>
    </w:p>
    <w:p>
      <w:pPr>
        <w:pStyle w:val="TextBody"/>
        <w:bidi w:val="0"/>
        <w:spacing w:before="240" w:after="283"/>
        <w:jc w:val="left"/>
        <w:rPr/>
      </w:pPr>
      <w:r>
        <w:rPr/>
        <w:t> </w:t>
      </w:r>
    </w:p>
    <w:tbl>
      <w:tblPr>
        <w:tblW w:w="5961" w:type="dxa"/>
        <w:jc w:val="left"/>
        <w:tblInd w:w="0" w:type="dxa"/>
        <w:tblLayout w:type="fixed"/>
        <w:tblCellMar>
          <w:top w:w="28" w:type="dxa"/>
          <w:left w:w="28" w:type="dxa"/>
          <w:bottom w:w="28" w:type="dxa"/>
          <w:right w:w="28" w:type="dxa"/>
        </w:tblCellMar>
      </w:tblPr>
      <w:tblGrid>
        <w:gridCol w:w="2626"/>
        <w:gridCol w:w="245"/>
        <w:gridCol w:w="170"/>
        <w:gridCol w:w="1084"/>
        <w:gridCol w:w="146"/>
        <w:gridCol w:w="448"/>
        <w:gridCol w:w="310"/>
        <w:gridCol w:w="741"/>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Convertible promissory notes</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 notes</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promissory notes</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Promissory note from sponsor</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3,031,614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6,428,825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color w:val="000000"/>
          <w:sz w:val="20"/>
          <w:u w:val="single"/>
        </w:rPr>
        <w:t>Yorkville Standby Equity Purchase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212529"/>
          <w:sz w:val="20"/>
        </w:rPr>
        <w:t>On February 23, 2023, Rezolve Limited entered into a $250 million standby equity purchase agreement with YA II PN, LTD (“</w:t>
      </w:r>
      <w:r>
        <w:rPr>
          <w:rFonts w:ascii="Times New Roman" w:hAnsi="Times New Roman"/>
          <w:b/>
          <w:i/>
          <w:color w:val="212529"/>
          <w:sz w:val="20"/>
        </w:rPr>
        <w:t>YA</w:t>
      </w:r>
      <w:r>
        <w:rPr>
          <w:rFonts w:ascii="Times New Roman" w:hAnsi="Times New Roman"/>
          <w:color w:val="212529"/>
          <w:sz w:val="20"/>
        </w:rPr>
        <w:t>”), a Cayman Islands exempt limited company, which was amended and restated on February 2, 2024 to provide for, inter alia, Rezolve AI Limited joining as a party to the agreement (“</w:t>
      </w:r>
      <w:r>
        <w:rPr>
          <w:rFonts w:ascii="Times New Roman" w:hAnsi="Times New Roman"/>
          <w:b/>
          <w:i/>
          <w:color w:val="212529"/>
          <w:sz w:val="20"/>
        </w:rPr>
        <w:t>YA Agreement</w:t>
      </w:r>
      <w:r>
        <w:rPr>
          <w:rFonts w:ascii="Times New Roman" w:hAnsi="Times New Roman"/>
          <w:color w:val="212529"/>
          <w:sz w:val="20"/>
        </w:rPr>
        <w:t xml:space="preserve">”). Pursuant to the YA Agreement, Rezolve has the right to sell to YA up to $250,000,000 Ordinary Shares, subject to certain limitations and conditions set forth in the YA Agreement, from time to time during the term of the YA Agreement. </w:t>
      </w:r>
    </w:p>
    <w:p>
      <w:pPr>
        <w:pStyle w:val="TextBody"/>
        <w:bidi w:val="0"/>
        <w:spacing w:before="120" w:after="283"/>
        <w:jc w:val="left"/>
        <w:rPr>
          <w:rFonts w:ascii="Times New Roman" w:hAnsi="Times New Roman"/>
          <w:sz w:val="20"/>
        </w:rPr>
      </w:pPr>
      <w:r>
        <w:rPr>
          <w:rFonts w:ascii="Times New Roman" w:hAnsi="Times New Roman"/>
          <w:color w:val="212529"/>
          <w:sz w:val="20"/>
        </w:rPr>
        <w:t>In connection with the amendment and restatement of the YA Agreement, on February 2, 2024, Rezolve Limited and Rezolve issued a convertible note with a total principal amount of $2.5 million (the “</w:t>
      </w:r>
      <w:r>
        <w:rPr>
          <w:rFonts w:ascii="Times New Roman" w:hAnsi="Times New Roman"/>
          <w:b/>
          <w:i/>
          <w:color w:val="212529"/>
          <w:sz w:val="20"/>
        </w:rPr>
        <w:t>YA Note</w:t>
      </w:r>
      <w:r>
        <w:rPr>
          <w:rFonts w:ascii="Times New Roman" w:hAnsi="Times New Roman"/>
          <w:color w:val="212529"/>
          <w:sz w:val="20"/>
        </w:rPr>
        <w:t>”) to YA, pursuant to the terms of a convertible promissory note instrument entered into by Rezolve Limited and Rezolve (“</w:t>
      </w:r>
      <w:r>
        <w:rPr>
          <w:rFonts w:ascii="Times New Roman" w:hAnsi="Times New Roman"/>
          <w:b/>
          <w:i/>
          <w:color w:val="212529"/>
          <w:sz w:val="20"/>
        </w:rPr>
        <w:t>YA Note Instrument</w:t>
      </w:r>
      <w:r>
        <w:rPr>
          <w:rFonts w:ascii="Times New Roman" w:hAnsi="Times New Roman"/>
          <w:color w:val="212529"/>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On September 6, 2024, YA and Rezolve amended and restated the YA Agreement (the “</w:t>
      </w:r>
      <w:r>
        <w:rPr>
          <w:rFonts w:ascii="Times New Roman" w:hAnsi="Times New Roman"/>
          <w:b/>
          <w:i/>
          <w:color w:val="000000"/>
          <w:sz w:val="20"/>
        </w:rPr>
        <w:t>Second A&amp;R YA Agreement</w:t>
      </w:r>
      <w:r>
        <w:rPr>
          <w:rFonts w:ascii="Times New Roman" w:hAnsi="Times New Roman"/>
          <w:color w:val="000000"/>
          <w:sz w:val="20"/>
        </w:rPr>
        <w:t xml:space="preserve">”) to incorporate an additional prepaid advance arrangement pursuant to which YA committed to provide Rezolve with prepaid advances in an aggregate original principal amount of an additional Seven Million Five Hundred Thousand Dollars ($7,500,000), payable in three tranches, with the first tranche in an original principal amount of Two Million Five Hundred Thousand Dollars ($2,500,000) that was funded as part of the Second YA Note (as defined below), the second tranche in an original principal amount of Two Million Five Hundred Thousand Dollars ($2,500,000) that was funded as part of the Second YA Note and the third tranche in an original principal amount of Two Million Five Hundred Thousand Dollars ($2,500,000) that was funded as part of the Third YA Note (as defined below). The Second A&amp;R YA Agreement superseded the original agreement. </w:t>
      </w:r>
    </w:p>
    <w:p>
      <w:pPr>
        <w:pStyle w:val="TextBody"/>
        <w:bidi w:val="0"/>
        <w:spacing w:before="120" w:after="283"/>
        <w:jc w:val="left"/>
        <w:rPr>
          <w:rFonts w:ascii="Times New Roman" w:hAnsi="Times New Roman"/>
          <w:sz w:val="20"/>
        </w:rPr>
      </w:pPr>
      <w:r>
        <w:rPr>
          <w:rFonts w:ascii="Times New Roman" w:hAnsi="Times New Roman"/>
          <w:color w:val="000000"/>
          <w:sz w:val="20"/>
        </w:rPr>
        <w:t>In connection with the execution of the Second A&amp;R YA Agreement, YA and Rezolve also entered into a second amendment to convertible promissory note and acknowledgement (the “</w:t>
      </w:r>
      <w:r>
        <w:rPr>
          <w:rFonts w:ascii="Times New Roman" w:hAnsi="Times New Roman"/>
          <w:b/>
          <w:i/>
          <w:color w:val="000000"/>
          <w:sz w:val="20"/>
        </w:rPr>
        <w:t>YA Note Amendment</w:t>
      </w:r>
      <w:r>
        <w:rPr>
          <w:rFonts w:ascii="Times New Roman" w:hAnsi="Times New Roman"/>
          <w:color w:val="000000"/>
          <w:sz w:val="20"/>
        </w:rPr>
        <w:t>” and the YA Note, as amended by the YA Note Amendment, the “</w:t>
      </w:r>
      <w:r>
        <w:rPr>
          <w:rFonts w:ascii="Times New Roman" w:hAnsi="Times New Roman"/>
          <w:b/>
          <w:i/>
          <w:color w:val="000000"/>
          <w:sz w:val="20"/>
        </w:rPr>
        <w:t>Amended YA Note</w:t>
      </w:r>
      <w:r>
        <w:rPr>
          <w:rFonts w:ascii="Times New Roman" w:hAnsi="Times New Roman"/>
          <w:color w:val="000000"/>
          <w:sz w:val="20"/>
        </w:rPr>
        <w:t>”)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pStyle w:val="TextBody"/>
        <w:bidi w:val="0"/>
        <w:spacing w:before="120" w:after="283"/>
        <w:jc w:val="left"/>
        <w:rPr>
          <w:rFonts w:ascii="Times New Roman" w:hAnsi="Times New Roman"/>
          <w:sz w:val="20"/>
        </w:rPr>
      </w:pPr>
      <w:r>
        <w:rPr>
          <w:rFonts w:ascii="Times New Roman" w:hAnsi="Times New Roman"/>
          <w:color w:val="000000"/>
          <w:sz w:val="20"/>
        </w:rPr>
        <w:t>Also in connection with the Second A&amp;R YA Agreement, on September 9, 2024, Rezolve issued YA a promissory note in the principal amount of $5,000,000 (the “</w:t>
      </w:r>
      <w:r>
        <w:rPr>
          <w:rFonts w:ascii="Times New Roman" w:hAnsi="Times New Roman"/>
          <w:b/>
          <w:i/>
          <w:color w:val="000000"/>
          <w:sz w:val="20"/>
        </w:rPr>
        <w:t>Second YA Note</w:t>
      </w:r>
      <w:r>
        <w:rPr>
          <w:rFonts w:ascii="Times New Roman" w:hAnsi="Times New Roman"/>
          <w:color w:val="000000"/>
          <w:sz w:val="20"/>
        </w:rPr>
        <w:t>”), reflecting the first and second tranche of the prepaid advances, and on November 29, 2024, upon effectiveness of the F-1 Registration Statement originally filed with the U.S. Securities and Exchange Commission on September 6, 2024, and declared effective on November 27, 2024, Rezolve issued YA a promissory note in the principal amount of $2,500,000 (the "</w:t>
      </w:r>
      <w:r>
        <w:rPr>
          <w:rFonts w:ascii="Times New Roman" w:hAnsi="Times New Roman"/>
          <w:b/>
          <w:i/>
          <w:color w:val="000000"/>
          <w:sz w:val="20"/>
        </w:rPr>
        <w:t>Third YA Note</w:t>
      </w:r>
      <w:r>
        <w:rPr>
          <w:rFonts w:ascii="Times New Roman" w:hAnsi="Times New Roman"/>
          <w:color w:val="000000"/>
          <w:sz w:val="20"/>
        </w:rPr>
        <w:t>", and together with the Amended YA Note and Second YA Note, the "</w:t>
      </w:r>
      <w:r>
        <w:rPr>
          <w:rFonts w:ascii="Times New Roman" w:hAnsi="Times New Roman"/>
          <w:b/>
          <w:i/>
          <w:color w:val="000000"/>
          <w:sz w:val="20"/>
        </w:rPr>
        <w:t>YA Notes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2024, the Company received the Noteholder's request to convert of all of the principal and interest outstanding under the YA Notes. In connection therewith, the Company issued an aggregate of 4,310,208 Ordinary Shares (including in payment of a fee to YA) in December 2024. A loss on extinguishment of $4,175,791 was recognized. As of December 31, 2024, $2,705,929 in principal and interest was outstanding, which was subsequently settled in 1,413,946 Ordinary Shares on February 5, 2025, and no further amounts remain outstanding.</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Promissory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certain persons (including Apeiron Investment Group Ltd and certain related parties of Rezolve) entered into Subscription Agreements to subscribe for the Promissory Notes with a total principal amount of $2,877,319 in consideration for an advance by each subscriber to Rezolve Limited the “Net Investment Amount”.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Promissory Notes were issued during the course of February, 2024, pursuant to the terms of the Promissory Note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effect from the completion of the Pre-Closing Demerger, the rights and obligations of Rezolve Limited under the Subscription Agreements and the Promissory Note Instruments were novated to Rezolve AI plc.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(except if an event of default has occurred and is continuing, an 18% interest rate will apply). The Promissory Notes are freely transferable in whole or in part, subject to the terms of the Promissory Notes Instrument.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Promissory Notes are convertible into ordinary shares in Rezolve AI plc.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has the right to redeem early a portion or all amounts outstanding under the Promissory Notes pursuant to a Redemption Notice, provided that on the date of the Redemption Notice the VWAP of the ordinary shares in Rezolve AI plc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the public listing of the ordinary shares in Rezolve AI plc, if a “Promissory Note Trigger Event” occurs (being where (i) the daily VWAP is less than the Floor Price for five (5) trading days during a period of seven (7) consecutive trading days (the “Promissory Note Floor Price Trigger”), or (ii) Rezolve AI plc has issued in excess of 99% of the ordinary shares available under the Exchange Cap unless Rezolve AI plc shareholders have approved such issuances, or if Rezolve AI plc is permitted to follow (and has elected to do so) its home country practices instead of the stockholder approval requirements of Nasdaq Rule 5635) (the “Promissory Note Exchange Cap Trigger”)), then Rezolve AI plc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plc reduces the Floor Price (in accordance with its rights to do so under the Promissory Note Instruments), or (ii) in the event of an Exchange Cap Trigger, the date Rezolve AI plc has obtained stockholder approval to increase the number of ordinary shares under the Exchange Cap (or if the Exchange Cap no longer applies), unless a subsequent Promissory Note Trigger Event occurs.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30, 2024, the Company repaid $1,472,231 of principal and interest to noteholders and related persons. As at December 31, 2024, certain noteholders and related parties have agreed to convert an aggregate of $1,189,096 of principal and interest into 425,288 Ordinary Shares. The outstanding balance at December 31, 2024 is $406,238, which the Company intends to settle by conversion into Ordinary Shares. </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Cohen &amp; Company Financial Management LLC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14, 2024 Rezolve AI issued a promissory note to pay to Cohen &amp; Company Financial Management LLC (“Cohen”) as an agent for Armada, in the principal sum of $3,144,883 (the “Original Amount”), with the Original Amount, the accrued interest thereon and other amounts due and payable (unless prepaid earlier or converted into shares of common stock) on August 14, 2027 (the “Maturity Date’). The note bears interest at 4.95% per annum. Starting from January 31, 2025, upon Cohen’s request, Rezolve AI shall pay Cohen the principal amount plus all of the accrued interest in increments of 1/18 of the outstanding principal amount (the “Amortization Payment”) on a date determined by Cohen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Cohen shall have the right, at Cohen’s sole option, on any business day, to convert at the conversion price described in the note all or any portion of the outstanding principal amount of the note up to an amount described in the note. The promissory note was settled on February 10, 2025 by issuing ordinary shares, and no further amounts remain outstanding.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Advisors loans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issued the following promissory notes to financial advisors which were contingently on the close of the Business Combination with Armada:</w:t>
      </w:r>
    </w:p>
    <w:p>
      <w:pPr>
        <w:pStyle w:val="TextBody"/>
        <w:bidi w:val="0"/>
        <w:spacing w:before="240" w:after="283"/>
        <w:jc w:val="left"/>
        <w:rPr/>
      </w:pPr>
      <w:r>
        <w:rPr/>
        <w:t> </w:t>
      </w:r>
    </w:p>
    <w:tbl>
      <w:tblPr>
        <w:tblW w:w="5257" w:type="dxa"/>
        <w:jc w:val="left"/>
        <w:tblInd w:w="0" w:type="dxa"/>
        <w:tblLayout w:type="fixed"/>
        <w:tblCellMar>
          <w:top w:w="28" w:type="dxa"/>
          <w:left w:w="28" w:type="dxa"/>
          <w:bottom w:w="28" w:type="dxa"/>
          <w:right w:w="28" w:type="dxa"/>
        </w:tblCellMar>
      </w:tblPr>
      <w:tblGrid>
        <w:gridCol w:w="1921"/>
        <w:gridCol w:w="227"/>
        <w:gridCol w:w="157"/>
        <w:gridCol w:w="1116"/>
        <w:gridCol w:w="146"/>
        <w:gridCol w:w="448"/>
        <w:gridCol w:w="310"/>
        <w:gridCol w:w="741"/>
        <w:gridCol w:w="191"/>
      </w:tblGrid>
      <w:tr>
        <w:trPr/>
        <w:tc>
          <w:tcPr>
            <w:tcW w:w="192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Advisors loans</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Northland Securities</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5,491,806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J.V.B Financial Group</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7,320,560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12,812,366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Northland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30, 2024 the Company issued a promissory note to Northland Securities, Inc. (“Northland”) for an amount of $5,141,250 and agreed to pay interest on the principal amount outstanding from time to time from July 30, 2024 until the note is fully paid, at the rate of 10% per annum, compounded annually. The timing and repayment amounts under the note will depend on the amounts of financing raised by the Company and its direct and indirect parent companies after completion of the Business Combination. If more than (a) $25,000,000 in proceeds is raised while the note is outstanding, 50% of the outstanding principal and all accrued and unpaid interest on the note shall become immediately due and payable and (b) if more than $50,000,000 in gross proceeds is raised, all of the outstanding principal and all accrued and unpaid interest shall become immediately due and payable. In the event that the Company and its direct and indirect parent companies after completion of the Business Combination have less than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$20,000,000 in cash, cash equivalents and marketable securities as of December 31, 2024, the Company may, at its option, on or before March 31, 2025, convert all but $1,135,000 into shares of the Company’s common stock at a price of $10.00 per share. In the event the Company and its direct and indirect parent companies after completion of the Business Combination have $20,000,000 or more in cash, cash equivalents and marketable securities as of any time on or prior to December 31, 2025, Northland may, at its option on or prior to June 30, 2026, sell any or all of the shares of the Company’s common stock received pursuant to the prior sentence to the Company at a price of $10.00 per share. The note was entered into in full satisfaction of the cash payments otherwise due to Northland by the Company at the time of closing and which are described above. All of the Company’s obligations under the Note were guaranteed by Rezolve AI plc. The Company settled the promissory note with Northland on January 30, 2025 by issuing 391,681 ordinary shares and paying $3,500,000 in cash. No further amounts remain outstanding.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J.V.B. Financial Group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14, 2024 the Company issued a promissory note to J.V.B. Financial Group, LLC (“JVB”) ) for an amount of $7,500,000 and agreed to pay interest on the principal amount outstanding from time to time from August 14, 2024 until the note is 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volume weighted average share price (“VWP”) for the 5 days ending on the day immediately preceding the due date of the Amortization Payment. The note was entered into in full satisfaction of the cash payments otherwise due to JVB by the Company at the time of closing and which are described above. All of the Company’s obligations under the Note were guaranteed by Rezolve AI plc. On February 26, 2025, the Company issued 778,165 ordinary shares to settle $2,000,000 of principle outstanding to the JVB promissory note.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Cantor Fitzgerald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20, 2023, the Company engaged Cantor Fitzgerald (“Cantor”) to act as its financial and capital markets advisor in connection with any transactions, placement agent and arranger in connection with any financing. A fee of $16,000,000 (“the Armada fee”) contingent on the close of the Business Combination with Armada payable in ordinary shares. The number of shares issuable in connection with the Armada fee was to be calculated using the greater of 1) 1.6 million and 2) the quotient obtained by dividing (x) $16,000,000 by (y) the daily VWAP of the ordinary shares over five trading days immediately preceding the date of the initial filing of the F-1 registration statement.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5, 2024 the Company issued 17,354,231 ordinary shares to Cantor to settle the Armada fee. A loss on extinguishment of $1,804,814 was recognized. No further amounts remain outstanding.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Fair value measurement and concentration of credit risk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1—Inputs are quoted prices (unadjusted) in active markets for identical assets or liabilities that the Company has the ability to access at the measurement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3—Inputs are unobservable inputs for the asset or liability.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level in the fair value hierarchy within which a fair value measurement in its entirety falls is based on the lowest-level input that is significant to the fair value measurement in its entirety.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Fair value measurement at reporting date:</w:t>
      </w:r>
    </w:p>
    <w:p>
      <w:pPr>
        <w:pStyle w:val="TextBody"/>
        <w:bidi w:val="0"/>
        <w:jc w:val="left"/>
        <w:rPr/>
      </w:pPr>
      <w:r>
        <w:rPr/>
        <w:t> </w:t>
      </w:r>
    </w:p>
    <w:tbl>
      <w:tblPr>
        <w:tblW w:w="6576" w:type="dxa"/>
        <w:jc w:val="left"/>
        <w:tblInd w:w="0" w:type="dxa"/>
        <w:tblLayout w:type="fixed"/>
        <w:tblCellMar>
          <w:top w:w="28" w:type="dxa"/>
          <w:left w:w="28" w:type="dxa"/>
          <w:bottom w:w="28" w:type="dxa"/>
          <w:right w:w="28" w:type="dxa"/>
        </w:tblCellMar>
      </w:tblPr>
      <w:tblGrid>
        <w:gridCol w:w="2821"/>
        <w:gridCol w:w="211"/>
        <w:gridCol w:w="631"/>
        <w:gridCol w:w="211"/>
        <w:gridCol w:w="146"/>
        <w:gridCol w:w="931"/>
        <w:gridCol w:w="146"/>
        <w:gridCol w:w="211"/>
        <w:gridCol w:w="146"/>
        <w:gridCol w:w="931"/>
        <w:gridCol w:w="191"/>
      </w:tblGrid>
      <w:tr>
        <w:trPr/>
        <w:tc>
          <w:tcPr>
            <w:tcW w:w="2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Fair value on recurring basis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Share-based payment liability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Derivative liability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Derivative asset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Fair value on recurring basis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Share-based payment liability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1,311,028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fair value of the share-based payment liability was valued using a discounted cash flow method using a risk adjusted discount rate of 10.8%.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 xml:space="preserve">The derivative asset and the derivative liability were valued by a third party valuation expert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derivative asset pertains to an option held by the Company to convert a promissory note payable to Northland Securities.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derivative liabilities were triggered by conversion features embedded in promissory notes held by investors Cohen &amp; Company Financial Management LLC, J.V.B. Financial Group and Northlands. On August 15, 2024, the Company recognized derivative liabilities and an offsetting debt discount associated with the embedded conversion features in its senior secured convertible notes, convertible promissory notes and advisors loans. The Company previously did not bifurcate the embedded conversion features as derivatives due to the lack of an underlying share price prior to the Company's acquisition of Armada and listing of is ordinary shares on the NASDAQ. The Company no longer recognizes a derivative liability associated with the following debt liabilities due to the investors having exercised their conversion features by December 31,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Senior secured convertible notes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YA notes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Promissory notes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carrying amount of the Company’s cash, accounts receivable, accounts payable and accrued expenses approximated their fair values due to their short term to maturity.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Balance Sheet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our unrestricted cash and cash equivalents on our balance sheet and undrawn amounts under our revolving credit facility as of December 31, 2024 and December 31, 2023:</w:t>
      </w:r>
    </w:p>
    <w:p>
      <w:pPr>
        <w:pStyle w:val="TextBody"/>
        <w:bidi w:val="0"/>
        <w:jc w:val="left"/>
        <w:rPr/>
      </w:pPr>
      <w:r>
        <w:rPr/>
        <w:t> </w:t>
      </w:r>
    </w:p>
    <w:tbl>
      <w:tblPr>
        <w:tblW w:w="7015" w:type="dxa"/>
        <w:jc w:val="left"/>
        <w:tblInd w:w="0" w:type="dxa"/>
        <w:tblLayout w:type="fixed"/>
        <w:tblCellMar>
          <w:top w:w="28" w:type="dxa"/>
          <w:left w:w="28" w:type="dxa"/>
          <w:bottom w:w="28" w:type="dxa"/>
          <w:right w:w="28" w:type="dxa"/>
        </w:tblCellMar>
      </w:tblPr>
      <w:tblGrid>
        <w:gridCol w:w="3256"/>
        <w:gridCol w:w="211"/>
        <w:gridCol w:w="203"/>
        <w:gridCol w:w="1297"/>
        <w:gridCol w:w="146"/>
        <w:gridCol w:w="211"/>
        <w:gridCol w:w="265"/>
        <w:gridCol w:w="1235"/>
        <w:gridCol w:w="191"/>
      </w:tblGrid>
      <w:tr>
        <w:trPr/>
        <w:tc>
          <w:tcPr>
            <w:tcW w:w="3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Unrestricted cash and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9,450,944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 liquidity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9,450,944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flows for the periods presented:</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754" w:type="dxa"/>
        <w:jc w:val="left"/>
        <w:tblInd w:w="0" w:type="dxa"/>
        <w:tblLayout w:type="fixed"/>
        <w:tblCellMar>
          <w:top w:w="28" w:type="dxa"/>
          <w:left w:w="28" w:type="dxa"/>
          <w:bottom w:w="28" w:type="dxa"/>
          <w:right w:w="28" w:type="dxa"/>
        </w:tblCellMar>
      </w:tblPr>
      <w:tblGrid>
        <w:gridCol w:w="4471"/>
        <w:gridCol w:w="211"/>
        <w:gridCol w:w="146"/>
        <w:gridCol w:w="1096"/>
        <w:gridCol w:w="166"/>
        <w:gridCol w:w="211"/>
        <w:gridCol w:w="146"/>
        <w:gridCol w:w="1096"/>
        <w:gridCol w:w="211"/>
      </w:tblGrid>
      <w:tr>
        <w:trPr/>
        <w:tc>
          <w:tcPr>
            <w:tcW w:w="4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(21,642,715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(13,001,875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(1,781,524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34,585,896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14,712,061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w:t>
              <w:br/>
              <w:t>   cash equivalents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increase in cash and cash equivalents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9,440,503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(28,939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was $21.6 million for the year ended December 31, 2024, which resulted primarily from a net loss of $172.6 million from operating activities, adjusted for non-cash items such as share-based compensation expenses, advisor loans, interest expense, net gains on derivatives and net losses on extinguishments of debt.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investing activities was $3.5 million for the year ended December 31, 2024, which resulted primarily from costs incurred to continue the development of our Rezolve platform and related technology.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of $34.6 million for the year ended December 31, 2024 was primarily due to proceeds from convertible promissory notes, proceeds from the issuance ordinary shares and proceeds from short-term debt from related parties partially offset by repayments of debt obligations to related parties and repayments of promissory notes.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3, 2024, the Company announced that it entered into a commercial agreement with Microsoft Corporation. Through this collaboration, Rezolve’s Brain Suite, including Brain Commerce, Brain Checkout, and Brain Assistant, will be powered by Microsoft Azure and available globally via Microsoft’s Azure Marketplace and co-sell channels. The Company is committed to spend £117.98 million (approximately $147.66 million at December 31, 2024) under this agreement to purchase eligible services and offerings from Microsoft over the next 5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20, 2024, the Company announced that it entered into a commercial agreement with Google Cloud EMEA Ltd (“Google”). Through this collaboration, Google will resell Rezolve AI’s Brain Suite. The Company’s commitments to purchase eligible services and offerings from Google is summarized in the table below:</w:t>
      </w:r>
    </w:p>
    <w:p>
      <w:pPr>
        <w:pStyle w:val="TextBody"/>
        <w:bidi w:val="0"/>
        <w:spacing w:before="120" w:after="283"/>
        <w:jc w:val="left"/>
        <w:rPr/>
      </w:pPr>
      <w:r>
        <w:rPr/>
        <w:t> </w:t>
      </w:r>
    </w:p>
    <w:tbl>
      <w:tblPr>
        <w:tblW w:w="4163" w:type="dxa"/>
        <w:jc w:val="left"/>
        <w:tblInd w:w="0" w:type="dxa"/>
        <w:tblLayout w:type="fixed"/>
        <w:tblCellMar>
          <w:top w:w="28" w:type="dxa"/>
          <w:left w:w="28" w:type="dxa"/>
          <w:bottom w:w="28" w:type="dxa"/>
          <w:right w:w="28" w:type="dxa"/>
        </w:tblCellMar>
      </w:tblPr>
      <w:tblGrid>
        <w:gridCol w:w="2176"/>
        <w:gridCol w:w="146"/>
        <w:gridCol w:w="250"/>
        <w:gridCol w:w="173"/>
        <w:gridCol w:w="1227"/>
        <w:gridCol w:w="191"/>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Commitment 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 period 1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 period 2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 period 3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Commitment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10,000,000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The period starting on November 15, 2024 and continuing for 12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The period starting at the end of Commitment Period 1 and continuing for 12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The period starting at the end of Commitment Period 2 and continuing for 12 months.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we did not have any significant off-balance sheet arrangements, as defined in Item 303(a)(4)(ii) of Regulation S-K.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pPr>
      <w:r>
        <w:rPr>
          <w:rFonts w:ascii="Times New Roman" w:hAnsi="Times New Roman"/>
          <w:b/>
          <w:i/>
          <w:color w:val="000000"/>
          <w:sz w:val="20"/>
        </w:rPr>
        <w:t>Research and development, patents and licenses, etc</w:t>
      </w:r>
      <w:r>
        <w:rPr>
          <w:rFonts w:ascii="Times New Roman" w:hAnsi="Times New Roman"/>
          <w:b/>
          <w:color w:val="000000"/>
          <w:sz w:val="20"/>
        </w:rPr>
        <w:t>.</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Please refer to “</w:t>
      </w:r>
      <w:r>
        <w:rPr>
          <w:rFonts w:ascii="Times New Roman" w:hAnsi="Times New Roman"/>
          <w:i/>
          <w:color w:val="000000"/>
          <w:sz w:val="20"/>
        </w:rPr>
        <w:t>Item 4. Information on the Company-B. Business Overview</w:t>
      </w:r>
      <w:r>
        <w:rPr>
          <w:rFonts w:ascii="Times New Roman" w:hAnsi="Times New Roman"/>
          <w:color w:val="000000"/>
          <w:sz w:val="20"/>
        </w:rPr>
        <w:t>” and “</w:t>
      </w:r>
      <w:r>
        <w:rPr>
          <w:rFonts w:ascii="Times New Roman" w:hAnsi="Times New Roman"/>
          <w:i/>
          <w:color w:val="000000"/>
          <w:sz w:val="20"/>
        </w:rPr>
        <w:t>Item 4. Information on the Company-B. Business Overview-Intellectual Property</w:t>
      </w:r>
      <w:r>
        <w:rPr>
          <w:rFonts w:ascii="Times New Roman" w:hAnsi="Times New Roman"/>
          <w:color w:val="000000"/>
          <w:sz w:val="20"/>
        </w:rPr>
        <w: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pPr>
      <w:r>
        <w:rPr>
          <w:rFonts w:ascii="Times New Roman" w:hAnsi="Times New Roman"/>
          <w:b/>
          <w:i/>
          <w:color w:val="000000"/>
          <w:sz w:val="20"/>
        </w:rPr>
        <w:t>Trend information</w:t>
      </w:r>
      <w:r>
        <w:rPr>
          <w:rFonts w:ascii="Times New Roman" w:hAnsi="Times New Roman"/>
          <w:b/>
          <w:color w:val="000000"/>
          <w:sz w:val="20"/>
        </w:rPr>
        <w:t>.</w:t>
      </w:r>
      <w:r>
        <w:rPr>
          <w:color w:val="000000"/>
        </w:rPr>
        <w:t xml:space="preserve"> </w:t>
      </w:r>
      <w:bookmarkStart w:id="14" w:name="item_5e"/>
      <w:bookmarkEnd w:id="14"/>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Please refer to “</w:t>
      </w:r>
      <w:r>
        <w:rPr>
          <w:rFonts w:ascii="Times New Roman" w:hAnsi="Times New Roman"/>
          <w:i/>
          <w:color w:val="000000"/>
          <w:sz w:val="20"/>
        </w:rPr>
        <w:t>Item 4.B—Business Overview—Industry Overview and Trends.”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Rezolve AI plc and Subsidiaries Consolidated Financial Statements are prepared in conformity with U.S. generally accepted accounting principles. In preparing the Rezolve AI plc and Subsidiaries Consolidated Financial Statements, we make assumptions, judgments and estimates that can have a significant impact on amounts reported in the Rezolve AI plc and Subsidiaries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Critical accounting estimates are those estimates that involve a significant level of estimation uncertainty and could have a material impact on our financial condition or results of operations. We have critical accounting estimates in the areas of the valuation of acquisition-related assets and liabilities, deferred income taxes and related valuation allowances, fair value measurements, useful lives of long-lived assets, capitalized software and share-based compensation.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significant accounting policies are described in Note 2, “Basis of presentation and summary of significant accounting policies” in the notes to the Rezolve AI plc and Subsidiaries Consolidated Financial Statements included elsewhere in this prospectus.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Valuation of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Accounting for business combinations requires significant judgments when allocating the purchase price to the estimated fair values of assets acquired and liabilities assumed at the acquisition date. Determination of fair value involves estimates and assumptions which can be complex. The valuation of certain assets and liabilities require significant judgment and assumptions such as estimation of future cash flows, discount rates, market data of comparable assets and companies, useful lives among others. While management’s estimates of fair value are based on assumptions that are believed to be reasonable, these assumptions are inherently uncertain as they pertain to forward-looking views of our business and market conditions. The judgments made in this valuation process could materially impact our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Determining the useful life of intangible assets requires management judgment and is based on an evaluation of several factors including estimated design life, information from our research and development department and our overall strategy for the use of the assets. If the useful life of our significant assets changes, this change could impact our operating results.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Deferred income taxes and related valuation allowances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income taxes in the United Kingdom and numerous foreign jurisdictions. Significant judgment is required in determining our deferred tax assets and liabilities and any valuation allowance recorded against our net deferred tax assets that are not more likely than not to be realized.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Tax valuation allowances are established to reduce deferred tax assets, such as tax loss carryforwards, to net realizable value. Factors considered in estimating net realizable value include historical results by tax jurisdiction, carryforward periods, income tax strategies and forecasted taxable income.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Capitalized software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incurred internally in researching and developing internal-use software are charged to expense until technological feasibility has been established for the product. Once technological feasibility is established, software costs are capitalized until the product is ready for its intended use. Judgment is required in determining when technological feasibility of a product is established. The Company has not commenced amortizing the in-development software as it not yet ready for its intended use. The Company reviews internal-use software for impairment when an event or changes in business circumstances indicate that the carrying amount of the asset may not be fully recoverable.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Share-based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recognize the cost of employee services received in exchange for awards of equity instruments, such as share options (time-vested), based on the fair value of those awards at the date of grant. We use the Black-Scholes-Merton (“Black-Scholes”) option pricing model to estimate the fair value of stock option awards. The Black-Scholes model uses various assumptions to estimate the fair value of stock option awards. These assumptions include the expected term of stock option awards, expected volatility rate, risk-free interest rate and expected dividend yield. While these assumptions do not require significant judgment, as the significant inputs are determined from historical experience or independent third-party sources, changes in these inputs could result in significant changes in the fair value of stock option awards.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and Adopted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results of operations or cash flows is disclosed in Note 3 to the Rezolve AI plc and Subsidiaries Consolidated Financial Statements included elsewhere in this prospectus.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Quantitative and Qualitative Disclosures About Market Risk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interest rate risk. Our short-term debt from related parties consist of an unsecured, interest free loan and a unsecured convertible loan with a fixed interest rate. The convertible debt and the convertible promissory notes have fixed interest rates and the accrued interest converts into ordinary shares upon maturity. The short term convertible debt to a related party accrues interest at a fixed rate which converts into ordinary shares upon maturity. Interest accrues at a fixed rate on the advisor loans and is payable in cash according to the terms of the loans.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of the Company’s revenue is denominated in the Euro (“EUR”) since the sales of the Company are in Spain. Based upon the Company’s level of operations for the year ended December 31, 2024 and 2023, a sensitivity analysis shows that a 10% appreciation or depreciation in the EUR against the dollar would have increased or decreased, respectively, the Company’s revenue for the years ended December 31, 2024 and 2023 by approximately $18,779 and $14,505 respectively.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Inflation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5" w:name="business_of_rezolve"/>
      <w:bookmarkEnd w:id="15"/>
      <w:r>
        <w:rPr>
          <w:rFonts w:ascii="Times New Roman" w:hAnsi="Times New Roman"/>
          <w:b/>
          <w:color w:val="000000"/>
          <w:sz w:val="20"/>
        </w:rPr>
        <w:t>BUSINESS OF REZOLVE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i/>
          <w:color w:val="000000"/>
          <w:sz w:val="20"/>
        </w:rPr>
        <w:t>Shareholders should read this section in conjunction with the more detailed information about Rezolve contained in this prospectus, including the Financial Statements and the other information appearing in the section entitled “Management’s Discussion &amp; Analysis of Financial Condition and Results of Operations.” In this section, references to “we,” “us,” the “Company,” “Rezolve” and “our” are intended to refer to Rezolve Limited and its subsidiaries prior to the Pre-Closing Demerger, and to Rezolve AI plc (formerly Rezolve AI Limited) and its subsidiaries following the Pre-Closing Demerger, unless the context clearly indicates otherwise.</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Rezolve Ai: Redefining Conversational Commerce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 Ai is leading the Conversational Commerce revolution, delivering tailored Generative AI solutions for the retail and eCommerce sectors. Our mission is to drive sales, enhance customer satisfaction, and build loyalty through cutting-edge AI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flagship product, Brain Commerce, powered by our proprietary Large Language Model (LLM) brainpowa, transforms the online shopping experience. By surpassing traditional site search and product discovery tools, Brain Commerce improves conversion rates, increases average order value (AOV), and reduces cart abandonment. Its Conversational Commerce capabilities support both speech and text inputs, with instant translation across 96 languages, making it a truly global solution.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Comprehensive AI Solutions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 AI’s suite of solutions includes: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AI-Powered Site Search &amp; Discovery: Revolutionizing product discovery with advanced AI algorithms trained on vast datasets. Leveraging Google Vertex AI Search for Commerce, we deliver personalized, high-quality search experiences at scale, using shopping history and data insights to boost conversions while reducing IT costs.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Geolocation Campaign Activation: Engaging customers in real-time based on their location. From alerting consumers to nearby opportunities to enabling seamless order-ahead and collection interactions, our geolocation tools enhance mobile engagement across retail, QSR, grocery, travel, and hospitality.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AI-Powered Customer Support: Delivering intelligent, responsive, and personalized support to improve customer satisfaction and loyalty.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Frictionless Checkout Solutions: Simplifying the checkout process to reduce friction and enhance the overall shopping experience.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Bridging the Gap Between Physical and Online Retail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Conversational Commerce bridges the experiential and performance gap between high-end physical retail and its online counterpart. Traditional eCommerce relies on outdated methods like keyword searches and impersonal recommendations, resulting in a clunky experience. Rezolve Ai’s Brain Commerce is the only market-ready solution that delivers a superior, personal shopper experience for online customers, redefining how people shop online.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Strategic Partnerships and Global Reach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 Ai has forged strategic partnerships with industry leaders like Microsoft and Google, enabling global scalability and reach. By leveraging Google’s expertise in personalized content delivery (e.g., Google Search, Google Shopping, and YouTube), we provide retailers with unparalleled AI-driven solutions. Additionally, Rezolve Ai is collaborating with Tether, the leading stablecoin platform, to bring cryptocurrency into mainstream commerce.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Future of AI-First Commerce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 Ai is shaping the future of retail with cutting-edge innovation and best-in-class technology. Our solutions power seamless product discovery, conversational commerce, and frictionless checkout, turning every step of the customer journey into a revenue-driving experience.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Through deep collaboration with the world’s leading technology providers, Rezolve Ai empowers retailers to stay ahead in an ever-evolving market. With Rezolve Ai, businesses don’t just adapt to change—they lead it. We create shopping experiences so intuitive, engaging, and personalized that customers fall in love with retail all over again.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 Ai is the future of commerce—where innovation meets customer delight.</w:t>
      </w:r>
    </w:p>
    <w:p>
      <w:pPr>
        <w:pStyle w:val="TextBody"/>
        <w:bidi w:val="0"/>
        <w:spacing w:before="240" w:after="283"/>
        <w:jc w:val="both"/>
        <w:rPr/>
      </w:pPr>
      <w:r>
        <w:rPr/>
        <w:drawing>
          <wp:inline distT="0" distB="0" distL="0" distR="0">
            <wp:extent cx="6257925" cy="3543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257925" cy="3543300"/>
                    </a:xfrm>
                    <a:prstGeom prst="rect">
                      <a:avLst/>
                    </a:prstGeom>
                  </pic:spPr>
                </pic:pic>
              </a:graphicData>
            </a:graphic>
          </wp:inline>
        </w:drawing>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total revenues were $0.19 million and $0.15 million, for the years ended December 31, 2024 and 2023, respectively. We currently generate our revenue from Transaction fees based on sales of ticketing for La Liga football events in Spain.</w:t>
      </w:r>
    </w:p>
    <w:p>
      <w:pPr>
        <w:pStyle w:val="TextBody"/>
        <w:pBdr>
          <w:bottom w:val="single" w:sz="6" w:space="1" w:color="000000"/>
        </w:pBdr>
        <w:bidi w:val="0"/>
        <w:spacing w:before="0" w:after="40"/>
        <w:jc w:val="left"/>
        <w:rPr/>
      </w:pPr>
      <w:r>
        <w:rPr/>
        <w:t> </w:t>
      </w:r>
    </w:p>
    <w:p>
      <w:pPr>
        <w:pStyle w:val="TextBody"/>
        <w:bidi w:val="0"/>
        <w:spacing w:before="320" w:after="283"/>
        <w:jc w:val="left"/>
        <w:rPr>
          <w:rFonts w:ascii="Times New Roman" w:hAnsi="Times New Roman"/>
          <w:b/>
          <w:i/>
          <w:color w:val="000000"/>
          <w:sz w:val="20"/>
        </w:rPr>
      </w:pPr>
      <w:r>
        <w:rPr>
          <w:rFonts w:ascii="Times New Roman" w:hAnsi="Times New Roman"/>
          <w:b/>
          <w:i/>
          <w:color w:val="000000"/>
          <w:sz w:val="20"/>
        </w:rPr>
        <w:t>Recent Developments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Bluedot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4, 2025, Rezolve entered into a Purchase Agreement (the “Bluedot Purchase Agreement”), by and between the Company and DBLP Sea Cow Ltd, a limited company organized under the laws of the Seychelles (“DBLP”), pursuant to which the Company agreed to purchase, and DBLP agreed to sell, the entire issued and to be issued share capital of each of Bluedot Industries, Inc., a Delaware corporation, and Bluedot Industries Pty. Ltd. (together, “Bluedot”), an Australian proprietary limited company registered in Victoria on 7 December 2013 with Australian Company Number 165 206 566 (the “Blue Dot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20, 2025, Rezolve closed the Bluedot Acquisition. As consideration for the Bluedot Acquisition, Rezolve issued 819,737 ordinary shares of the Company in a private placement to DBLP.</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GroupBy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11, 2025, Rezolve entered into a Purchase Agreement (the “GroupBy Purchase Agreement”), by and among the Company, GroupBy Inc., an Ontario, Canada corporation (“GroupBy”), GroupBy International Ltd., an Ontario, Canada corporation (“GroupBy International” and together with GroupBy, the “Target Companies” and each a “Target Company”) and Fortis Advisors LLC, a Delaware limited liability company, as the representative of the sellers party thereto (the “Sellers”), pursuant to which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Company agreed to purchase, and the Sellers agreed to sell, the entire issued and to be issued share capital of each of GroupBy and GroupBy International (the “Acquisition”).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25, 2025, Rezolve closed the GroupBy Acquisition. As consideration for the GroupBy Acquisition, the Company issued an aggregate of 3,999,902 of its ordinary shares of the Company in a private placement to the Sellers.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Microsoft</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On October 3, 2024, Rezolve entered into a strategic partnership with Microsoft Corporation ( "MSFT") to empower retailers with advanced capabilities for digital engagement. Through this collaboration, Rezolve AI’s Brain Suite – including Brain Commerce, Brain Checkout, and Brain Assistant – will be available on Microsoft Azure and available globally via Microsoft’s Azure Marketplace and co-sell channels.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partnership aims to empower retailers to transform their customer engagement and operations with advanced AI solutions from Rezolve supported by the Microsoft Cloud. In addition, Microsoft is providing extensive Go-to-Market (GTM) and co-sell support, providing marketing, sales, and technical support to accelerate Rezolve AI's market penetration over the next five years.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Google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November 20, 2024, Rezolve entered into a strategic partnership with Google to accelerate the transformation of retail and consumer commerce through advanced artificial intelligence (AI) and cloud infrastructure. Through this collaboration, Google Cloud will resell Rezolve Ai’s groundbreaking Brain Suite, offering retailers a comprehensive set of AI-powered solutions designed to optimize digital commerce experiences, reduce cart abandonment, and enhance customer lifetime value.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this partnership, Google and Rezolve Ai expect that its sales channel will generate over 50% of Rezolve Ai’s forecasted revenues over the next several years. To support this ambitious goal, Google are incentivizing its customers to Google Cloud by enabling them to access Rezolve Ai’s solutions, with these commitments decrementing against their Google agreements.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Tether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2024, Rezolve announced a groundbreaking partnership with Tether, the world’s most widely used stablecoin platform, to integrate digital currency capabilities into Rezolve Ai’s Brain Checkout wallet. This collaboration introduces a non-custodial crypto wallet that enables consumers to make purchases using a variety of cryptocurrencies while maintaining full control over their assets. The partnership aims to revolutionize retail payments by eliminating traditional merchant fees - empowering retailers to accept digital currencies directly without incurring high transaction costs. By leveraging Tether’s globally trusted stablecoin infrastructure, Rezolve is enabling instant, secure, and borderless commerce, expanding financial access and improving margins for merchants worldwide.</w:t>
      </w:r>
    </w:p>
    <w:p>
      <w:pPr>
        <w:pStyle w:val="TextBody"/>
        <w:bidi w:val="0"/>
        <w:jc w:val="center"/>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Industry Overview and Trends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global proliferation of mobile devices has fundamentally altered the way in which consumers engage with brands and retailers. As of December 31, 2021, there were approximately 5.48 billion unique mobile phone users globally, representing approximately two-thirds of the entire worldwide population. Approximately 92% of these unique mobile users are estimated to have smart phones with internet connectivity. The number of unique mobile phone users with internet connectivity globally has tripled since December 2012.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massive shift towards a global, mobile economy caused important paradigm shifts with regard to merchant strategy and consumer decision making. In conjunction with the trend of mobile proliferation, consumers tended to interact with merchants primarily through expensive third-party facilitators resulting in both limited consumer engagement and eroded profit margins for merchants. Regardless of the interaction, consumers prioritize seamless buying interactions and omnichannel purchasing experiences. Merchants prefer direct interactions with consumers to build relationships and better understand consumer purchasing trends; historically, merchants have struggled with meeting consumer needs while managing costs and addressing technical challenges.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Consumers Are Increasingly Engaging Through Digital Channels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Globally, mobile commerce sales during the year ended December 31, 2021 were expected to exceed $3.5 trillion, representing 73% of all e-commerce sales. How consumers discover, learn about and ultimately purchase products has transformed and continues to evolve as technology improves. A consumer may discover a product on social media, learn more about the product through reviews and blogs, physically see the product at a nearby brick-and-mortar store, assess price comparisons of the product using a mobile phone, and ultimately purchase the product from a different merchant.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Given heightened access to information and data concern for rising inflation, consumers have become increasingly focused and educated on both products and pricing. For example, according to a March 2023 report by INMAR Intelligence, 52% of shoppers find grocery purchase inspiration on social media, almost matching in-store display inspiration at 54%. Consumers have more choices than ever before with regard to what they buy and who they buy from, which has set an extremely high bar for consumer expectations and merchant standards. We believe consumers want an experience and product that allows them to express their own unique personalities, styles and interests. Good consumer experiences drive consumer loyalty and attract new consumers through word of mouth and online reviews. A disappointing consumer experience may result in the permanent loss of customers and irreparable damage to the merchant’s reputation on social media.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the growth in digital consumption has increasingly become mainstream for shopping, it has not completely replaced traditional offline purchasing. Consumers have adopted an “Online to Offline,” or O2O model which lends itself to mobile applications. 38% of U.S shoppers start their journey on a smartphone and finish their purchase offline, according to an April 2019 report by RetailMeNot.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Merchants have Lost Connectivity to the End Consumer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it is imperative for merchants to have a dynamic and comprehensive view of their customers, product, merchandising &amp; marketing strategy and associated data. The proliferation of intermediaries has resulted in a fragmented view of customer wants and needs. For example, according to a January 2022 report, 40% of brands say offering experiential retail would be a top priority for them in the next year, but 57% of these brands say coordinating it will be a top challenge, while 55% of retailers report concerns with respect to driving in-store traffic. To help boost sales, retailers look to sell through online marketplaces such as Amazon, which as of February 2021, represented about 40% of total US retail eCommerce sales. This limited connectivity to the end-consumer puts pressure on profit margins and allows proprietary data to spread to competing platforms. At the same time, the lost interaction deprives a merchant of critical data and direct relationships that help them market to and engage with their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Merchants simultaneously try to interact with consumers at a local level. According to a September 2021 report, 47% of global consumers are likely to buy from brands with a local presence; however, retailers have experienced headwinds while seeking to increase consumer retention and generate repeat traffic to their local stores. Currently, geolocation services are limited given the complicated nature of engaging with local consumers daily. Marketing to multitudes of consumers while providing a frictionless platform from outreach to engagement to eventual purchase can be highly costly and difficult to execute. Merchants therefore seek to actively engage with consumers through omnichannel experiences to maximize connectivity in a cost-efficient manner.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Consumers Expect a Seamless Interaction Between Offline and Online Channels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Consumers expect to be able to seamlessly access a merchant’s online store from their mobile device, tablet and computer, and expect the same breadth of information from online channels as they would receive in a brick-and-mortar store. A merchant’s failure to deliver on any channel can frustrate consumers and lead them to shop elsewhere. The technical requirements to deliver seamless access are complex and ever evolving. As a result, according to a September 2021 report, approximately 53% of global brands are already investing in providing an omnichannel consumer experience, seeking to eliminate friction during the purchasing process and enhance sales. SMBs are also looking to adopt omnichannel strategies but face similar issues regarding complicated data integration and continuous investment. Improving marketing and consumer engagement is important for many brands irrespective of size.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Merchants Are Struggling to Differentiate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 world where consumers have more choices than ever, differentiating a merchant’s brand takes on increased importance. A merchant needs to stand out from the crowd. If a consumer searches a third-party marketplace or e-Commerce site and selects a merchant’s product from among thousands of search results, the consumer is more likely to remember the brand of the third-party site than the brand of the merchant. The average shopper is increasingly paying close attention to the values of consumer-goods brands. 82% of shoppers want a consumer brand’s values to align with their own, according to an April 2022 report, and 75% of shoppers reported parting ways with a brand over a conflict in values. Experiences that enable merchants to connect directly with consumers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allow merchants to make a memorable impression. Globally, 60% of consumers say they will make repeat purchase at a retailer after a personalized shopping experience, according to a June 2021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merchant’s brand and personality must shine through in every interaction to help build customer loyalty. Unfortunately, merchants have difficulty in getting consistent data due to fragmented interactions with consumers resulting in difficulties in creating personalized experiences.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Complicated Experiences Result in Lost Opportunities with Consumers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Consumers expect every interaction to be quick, problem-free, intuitive and secure. Consumers will abandon a website that is not loaded quickly and are reluctant to return to a website that has trouble with performance. Consumers tend to hold merchants responsible for the entire retail experience, regardless of whether a merchant or a third party provides the platform. Consumers value their time spent on making purchases and seek to find methods to reduce that time – 76% of consumers say they shop on mobile devices because it “saves them time,” according to a July 2020 report. However, even mobile apps can be time consuming if the sale process is not simple. Merchants that are able to offer one-click engagement, are far less likely to lose the attention of the consumer in the purchasing decision. If a consumer tries to purchase a product from a brick-and-mortar store but in-store inventory is unavailable, a merchant should be able to search its dynamic inventory count and ship the product to the consumer’s home before the consumer looks elsewhere. 46% of global online shoppers confirmed inventory online before shopping offline according to a February 2019 report. In fact, retailers that implemented personalized experiences on-site or through marketing efforts resulted in a 25% sales lift, according to a June 2019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Solution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provide an AI- and cloud-based advertising, engagement and commerce platform designed for merchants of all sizes. We are bringing conversational AI to digital retail. Our proprietary LLM has been built specifically with retail in mind, allowing authentic, human-level conversations for sales interactions in any of 95 languages.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platform provides the following key benefits to merchants: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left"/>
        <w:rPr/>
      </w:pPr>
      <w:r>
        <w:rPr>
          <w:rFonts w:ascii="Times New Roman" w:hAnsi="Times New Roman"/>
          <w:i/>
          <w:color w:val="000000"/>
          <w:sz w:val="20"/>
        </w:rPr>
        <w:t>eCommerce-Specific AI Platform and Suite—</w:t>
      </w:r>
      <w:r>
        <w:rPr>
          <w:rFonts w:ascii="Times New Roman" w:hAnsi="Times New Roman"/>
          <w:color w:val="000000"/>
          <w:sz w:val="20"/>
        </w:rPr>
        <w:t>Brain Commerce allows customers, either online or instore, to ask, via voice or text and in any of 96 languages,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left"/>
        <w:rPr/>
      </w:pPr>
      <w:r>
        <w:rPr>
          <w:rFonts w:ascii="Times New Roman" w:hAnsi="Times New Roman"/>
          <w:i/>
          <w:color w:val="000000"/>
          <w:sz w:val="20"/>
        </w:rPr>
        <w:t xml:space="preserve">Instant Checkout. </w:t>
      </w:r>
      <w:r>
        <w:rPr>
          <w:rFonts w:ascii="Times New Roman" w:hAnsi="Times New Roman"/>
          <w:color w:val="000000"/>
          <w:sz w:val="20"/>
        </w:rPr>
        <w:t>Rezolve’s Brain Checkout allows websites to convert passive browsers into actors or buyers with one click directly from the product detail pages on merchant websites. Our Brain Checkout offering includes Buy Now, our commerce solution, and Act Now, our engagement solution. This capability bypasses traditional web checkout portals, collapsing multiple clicks into one or two, allowing our merchants to enable prospective purchasers to immediately convert web and social media browsers without the need for software on consumers’ phones. For example, through Act Now, a consumer could be offered the opportunity to schedule an appointment to test drive a new car immediately upon seeing a broadcast advertisement of the car, or through Buy Now, be offered the opportunity to purchase tickets for a Broadway show that starts in 30 minutes while in close proximity to the theatre. Our solution enables merchants to exploit the moment of maximum attention at the time leading to transactions which otherwise may result in lost transactions.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left"/>
        <w:rPr/>
      </w:pPr>
      <w:r>
        <w:rPr>
          <w:rFonts w:ascii="Times New Roman" w:hAnsi="Times New Roman"/>
          <w:i/>
          <w:color w:val="000000"/>
          <w:sz w:val="20"/>
        </w:rPr>
        <w:t xml:space="preserve">Brain Assistant. </w:t>
      </w:r>
      <w:r>
        <w:rPr>
          <w:rFonts w:ascii="Times New Roman" w:hAnsi="Times New Roman"/>
          <w:color w:val="000000"/>
          <w:sz w:val="20"/>
        </w:rPr>
        <w:t xml:space="preserve">Rezolve's Brain Assistant's advanced training allows customers to accelerate onboarding and answer customer service questions directly. Customers can create knowledge bases via Brain Assistant which can be interrogated by staff members who can quickly become subject matter experts.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20" w:after="283"/>
        <w:jc w:val="left"/>
        <w:rPr/>
      </w:pPr>
      <w:r>
        <w:rPr>
          <w:rFonts w:ascii="Times New Roman" w:hAnsi="Times New Roman"/>
          <w:i/>
          <w:color w:val="000000"/>
          <w:sz w:val="20"/>
        </w:rPr>
        <w:t xml:space="preserve">Brainpowa LLM. </w:t>
      </w:r>
      <w:r>
        <w:rPr>
          <w:rFonts w:ascii="Times New Roman" w:hAnsi="Times New Roman"/>
          <w:color w:val="000000"/>
          <w:sz w:val="20"/>
        </w:rPr>
        <w:t xml:space="preserve">Rezolve's brainpowa LLM has been engineered for commerce. The propriety LLM harnesses over 300 billion tokens and 30 billion parameters to deliver unmatched specialized results. Rezolve's model is the first to ensure accurate LLM responses by eliminating hallucinations through patented validation, while real-time monitoring and feedback loops control model drift and enable continuous fine tuning. This results in unmatched extraction capabilities for our key information, delivering precise classification and content creation while enhancing product enrichment and taxonomy for optimized performance.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20" w:after="283"/>
        <w:jc w:val="left"/>
        <w:rPr/>
      </w:pPr>
      <w:r>
        <w:rPr>
          <w:rFonts w:ascii="Times New Roman" w:hAnsi="Times New Roman"/>
          <w:i/>
          <w:color w:val="000000"/>
          <w:sz w:val="20"/>
        </w:rPr>
        <w:t xml:space="preserve">Omnichannel Interactions. </w:t>
      </w:r>
      <w:r>
        <w:rPr>
          <w:rFonts w:ascii="Times New Roman" w:hAnsi="Times New Roman"/>
          <w:color w:val="000000"/>
          <w:sz w:val="20"/>
        </w:rPr>
        <w:t>The Rezolve platform provides multiple opportunities for interaction. For example, triggers can include a location or GeoZone, which is a location-based marketing tool, an audio cue “watermarked” in broadcast or streaming media, a visual image cue in posters, print ads or product labels, proximity beacons, direct touch links or QR-codes. The resulting trigger can drive instant transactions on a consumer’s mobile device ranging from a product purchase, a reservation at a restaurant, an electronic ticketing for an event, or other promotional offers.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20" w:after="283"/>
        <w:jc w:val="left"/>
        <w:rPr/>
      </w:pPr>
      <w:r>
        <w:rPr>
          <w:rFonts w:ascii="Times New Roman" w:hAnsi="Times New Roman"/>
          <w:i/>
          <w:color w:val="000000"/>
          <w:sz w:val="20"/>
        </w:rPr>
        <w:t>Direct Brand Engagement</w:t>
      </w:r>
      <w:r>
        <w:rPr>
          <w:rFonts w:ascii="Times New Roman" w:hAnsi="Times New Roman"/>
          <w:color w:val="000000"/>
          <w:sz w:val="20"/>
        </w:rPr>
        <w:t>. We deliver a comprehensive commerce and engagement platform that allows merchants to easily create direct engagements with consumers via their mobile phone. A merchant is able to manage user experience and encourage engagement with end-consumers based on personalized context. By incorporating Rezolve into a merchant’s application, a merchant can build brand awareness and loyalty within its customer base.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120" w:after="283"/>
        <w:jc w:val="left"/>
        <w:rPr/>
      </w:pPr>
      <w:r>
        <w:rPr>
          <w:rFonts w:ascii="Times New Roman" w:hAnsi="Times New Roman"/>
          <w:i/>
          <w:color w:val="000000"/>
          <w:sz w:val="20"/>
        </w:rPr>
        <w:t xml:space="preserve">Seamless Integration with Existing Applications. </w:t>
      </w:r>
      <w:r>
        <w:rPr>
          <w:rFonts w:ascii="Times New Roman" w:hAnsi="Times New Roman"/>
          <w:color w:val="000000"/>
          <w:sz w:val="20"/>
        </w:rPr>
        <w:t xml:space="preserve">We expect the Rezolve solution to be able to be integrated with a merchant’s application and expect it to require minimal time or training to implement and use. Once our solution is integrated, merchants can easily establish geographic triggers, called GeoZones, establish watermarks in an image or audio file, or activate another mobile trigger (such as a beacon) using our SaaS platform. Our consumer-friendly application </w:t>
      </w:r>
      <w:r>
        <w:rPr>
          <w:rFonts w:ascii="Times New Roman" w:hAnsi="Times New Roman"/>
          <w:i/>
          <w:color w:val="000000"/>
          <w:sz w:val="20"/>
        </w:rPr>
        <w:t xml:space="preserve">Shop Beautiful </w:t>
      </w:r>
      <w:r>
        <w:rPr>
          <w:rFonts w:ascii="Times New Roman" w:hAnsi="Times New Roman"/>
          <w:color w:val="000000"/>
          <w:sz w:val="20"/>
        </w:rPr>
        <w:t>integrates seamlessly with brands helping generate immediate consumer engagement. Additionally, Rezolve’s interface is already available on a number of platforms such as Apple iOS and Google Android and is integrated with certain mobile applications available on those platforms, including WeChat. We expect that this will make it easy for both merchants and consumers to use the Rezolve platform. We expect merchants will be able to add Rezolve technology to their platforms and gain access to a self-service portal where they can manage their campaigns all on one dashboard, and consumers with access to existing and widely used mobile applications have the benefit of the Rezolve platform without additional installation.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120" w:after="283"/>
        <w:jc w:val="left"/>
        <w:rPr/>
      </w:pPr>
      <w:r>
        <w:rPr>
          <w:rFonts w:ascii="Times New Roman" w:hAnsi="Times New Roman"/>
          <w:i/>
          <w:color w:val="000000"/>
          <w:sz w:val="20"/>
        </w:rPr>
        <w:t>Actionable Analytics and Insights</w:t>
      </w:r>
      <w:r>
        <w:rPr>
          <w:rFonts w:ascii="Times New Roman" w:hAnsi="Times New Roman"/>
          <w:color w:val="000000"/>
          <w:sz w:val="20"/>
        </w:rPr>
        <w:t>. With our platform, we expect merchants will be able to receive direct insights into consumer behavior that are often not shared by third-party intermediaries. For example, when consumers use a third-party service for food delivery, the third-party delivery service has access to information on the customers’ preferences on where to eat, what time they usually order food and the average amount spent per order. These are insights that merchants can use to improve their consumers’ experiences and to enhance their marketing targets. However, the third-party delivery service does not share all of this information with its merchants. Our platform aims to fix this gap in information access by equipping merchants with insights to make more informed decisions to drive further engagement and brand affinity.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20" w:after="283"/>
        <w:jc w:val="left"/>
        <w:rPr/>
      </w:pPr>
      <w:r>
        <w:rPr>
          <w:rFonts w:ascii="Times New Roman" w:hAnsi="Times New Roman"/>
          <w:i/>
          <w:color w:val="000000"/>
          <w:sz w:val="20"/>
        </w:rPr>
        <w:t>A Frictionless Consumer Experience</w:t>
      </w:r>
      <w:r>
        <w:rPr>
          <w:rFonts w:ascii="Times New Roman" w:hAnsi="Times New Roman"/>
          <w:color w:val="000000"/>
          <w:sz w:val="20"/>
        </w:rPr>
        <w:t>. We expect that our platform will provide consumers with an intuitive and immediate user experience. Consumers only need a mobile phone (for Rezolve Instant Checkout, SmartLinks and SmartCodes) or a device that has an application with our technology embedded to allow consumers to interact with a trigger such as location, audio, or a beacon to transact. The consumer can also be prompted with proximity-based notifications highlighting relevant advertisements or transactions. Consumers benefit from real time awareness and engagement with relevant transactions.</w:t>
      </w:r>
    </w:p>
    <w:p>
      <w:pPr>
        <w:pStyle w:val="TextBody"/>
        <w:bidi w:val="0"/>
        <w:jc w:val="both"/>
        <w:rPr/>
      </w:pPr>
      <w:r>
        <w:rPr/>
        <w:t> </w:t>
      </w:r>
    </w:p>
    <w:p>
      <w:pPr>
        <w:pStyle w:val="TextBody"/>
        <w:bidi w:val="0"/>
        <w:jc w:val="center"/>
        <w:rPr/>
      </w:pPr>
      <w:r>
        <w:rPr/>
        <w:drawing>
          <wp:inline distT="0" distB="0" distL="0" distR="0">
            <wp:extent cx="2981325" cy="418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81325" cy="4181475"/>
                    </a:xfrm>
                    <a:prstGeom prst="rect">
                      <a:avLst/>
                    </a:prstGeom>
                  </pic:spPr>
                </pic:pic>
              </a:graphicData>
            </a:graphic>
          </wp:inline>
        </w:drawing>
      </w:r>
      <w:r>
        <w:rPr/>
        <w:drawing>
          <wp:inline distT="0" distB="0" distL="0" distR="0">
            <wp:extent cx="2962275" cy="4191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62275" cy="4191000"/>
                    </a:xfrm>
                    <a:prstGeom prst="rect">
                      <a:avLst/>
                    </a:prstGeom>
                  </pic:spPr>
                </pic:pic>
              </a:graphicData>
            </a:graphic>
          </wp:inline>
        </w:drawing>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2962275" cy="41624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62275" cy="4162425"/>
                    </a:xfrm>
                    <a:prstGeom prst="rect">
                      <a:avLst/>
                    </a:prstGeom>
                  </pic:spPr>
                </pic:pic>
              </a:graphicData>
            </a:graphic>
          </wp:inline>
        </w:drawing>
      </w:r>
      <w:r>
        <w:rPr/>
        <w:drawing>
          <wp:inline distT="0" distB="0" distL="0" distR="0">
            <wp:extent cx="2962275" cy="418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62275" cy="4181475"/>
                    </a:xfrm>
                    <a:prstGeom prst="rect">
                      <a:avLst/>
                    </a:prstGeom>
                  </pic:spPr>
                </pic:pic>
              </a:graphicData>
            </a:graphic>
          </wp:inline>
        </w:drawing>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3162300" cy="4476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162300" cy="4476750"/>
                    </a:xfrm>
                    <a:prstGeom prst="rect">
                      <a:avLst/>
                    </a:prstGeom>
                  </pic:spPr>
                </pic:pic>
              </a:graphicData>
            </a:graphic>
          </wp:inline>
        </w:drawing>
      </w:r>
      <w:r>
        <w:rPr/>
        <w:drawing>
          <wp:inline distT="0" distB="0" distL="0" distR="0">
            <wp:extent cx="3190875" cy="44767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190875" cy="4476750"/>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agreements with distribution and consumer-facing networks, which we refer to as our Channels, to sign up merchants to the Rezolve platform. Our Channels also receive significant benefits from deploying our solutions to their merchant base.</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The Opportunity</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we have a significant opportunity to transform how retail customers discover, engage and shop online. Our mobile commerce provides a natural interactive experience for your customers where they may enjoy a conversational approach to shopping.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enterprise SaaS commerce platform has a global reach including in our key geographies: United States, Latin America, and Europe. We believe that there are significant geographies and distribution channels to expand to as we establish new strategic alliances in new geographies.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expect to commercialize the Rezolve platform in quarter 2 of 2025, initially in Europe and the USA. Revenues from Brain Commerce are also forecast to begin in Q2 2025, increasing significantly in Q3 and Q4 2025. We also expect to generate revenues in Q4 2025 in South America and the Asia. We expect revenues to increase in 2026 through our signed partner agreements with Microsoft, Google and others. For additional information regarding the partner agreements, see “—Partner Agreements”.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Following the completion of the Pre-Closing Demerger, we ceased operations in China and are currently focused on growing our footprint in other geographic markets, but at a future date, we will consider re-engaging with the Chinese market.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initially entered the Chinese market in 2016 in order to trial the Rezolve platform on a large scale. This was done with support from China Union Pay (“CUP”) and Allinpay (“AP”). Rezolve’s former subsidiary, Rezolve Information Technology (Shanghai) Limited (“Rezolve Shanghai”) is a Wholly owned Foreign Entity (“WoFE”), which limits its influence locally in China. 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WoFE in China must generally contract with a local third-party company if it wants to do business with a state-owned enterprise (“SOE”), such as CUP. This requirement is part of the foreign investment restrictions and regulations in China that aim to protect local interests and limit foreign control over certain sectors of the economy. Our board of directors’ decision to abandon operations in China completely and approve the Pre-Closing Demerger was based, in part, on our inability to complete an audit as a result of not having access to certain information from our local third-party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in the future, a new Rezolve entity can be accredited to operate directly with CUP and AP, the board will consider re-entering the China market. However, the current focus is on rolling out our technologies with partners in other markets around the world.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Rezolve’s Brain Commerce, Brain Checkout and Brain Assistant offerings will operate in large global market opportunities. We believe Rezolve’s Brain Commerce can supplement existing retailer site search platforms and that AI enabled search platforms, like Rezolve’s will replace all existing retailer site search platforms.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the global economy becomes more connected and transactions become increasingly digital, retail spend is expected to continue growing in the coming years. Buy Now participates in a $250 billion retail sales market (applying Rezolve’s 1.0% transaction fee to the $25 trillion in global retail sales in 2021). According to eMarketer’s 2021 Global Ecommerce Forecast, global retail sales are projected to grow at a 5% CAGR to $30 trillion by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that the market for our GeoZone offering can be measured as a proxy of global location based advertising, which is poised for rapid growth over the next few years as it is expected to become a widespread advertising practice. Global location based advertising spending was approximately $80.5 billion in 2022 and is expected to grow at a 13.3% CAGR to $219.4 billion in 2027 according to a Global Industry Analysts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Location-based advertising allows organizations to target consumers at a granular, consumer level with online or offline messaging based on their physical location. Location-based marketing has become an important and high ROI method of customer engagement as smartphone user penetration rates increase globally. Using location data through smartphone geolocators, marketing teams are able to reach consumers based on qualifiers like proximity to a store, events happening in their region, and more.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Location-based marketing has proven effective across customer lifecycles from discovery and purchase to engagement and retention. When used properly, location-based marketing allows marketers to focus on specific customer segments with targeted offers, while improving customer experience for a population that increasingly values instant gratification.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Search advertising, which is targeted marketing based on search terms, or keywords, entered on a search engine, allows advertisers to target consumers and tailor advertisements based on their search history and consumer profiles. Search advertising has expanded over the recent years as mobile search has started to outpace desktop searches in 2021 according to Statista’s Digital Market Outlook. Consumers continue to use search engines as a primary means of buying decisions and is a mainstay for most businesses.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Key web search statistics: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98% of consumers use the Internet to find a local business in 2022. (BrightLocal survey)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76% of consumers “always” or “regularly” read online reviews for local businesses. (BrightLocal survey)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29% of consumers search for local businesses at least every week. (BrightLocal survey)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Growth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Key elements of our strategy include: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pPr>
      <w:r>
        <w:rPr>
          <w:rFonts w:ascii="Times New Roman" w:hAnsi="Times New Roman"/>
          <w:i/>
          <w:color w:val="000000"/>
          <w:sz w:val="20"/>
        </w:rPr>
        <w:t xml:space="preserve">Scaling Existing Channels. </w:t>
      </w:r>
      <w:r>
        <w:rPr>
          <w:rFonts w:ascii="Times New Roman" w:hAnsi="Times New Roman"/>
          <w:color w:val="000000"/>
          <w:sz w:val="20"/>
        </w:rPr>
        <w:t>We believe that we have a significant opportunity to work with our existing Channels to grow their customer base. We intend to continue to strategically invest in marketing and strategic relationships. Our existing Channels deliver an opportunity for growth in the near term within our existing geographies and current platform.</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pPr>
      <w:r>
        <w:rPr>
          <w:rFonts w:ascii="Times New Roman" w:hAnsi="Times New Roman"/>
          <w:i/>
          <w:color w:val="000000"/>
          <w:sz w:val="20"/>
        </w:rPr>
        <w:t>Win New Channels</w:t>
      </w:r>
      <w:r>
        <w:rPr>
          <w:rFonts w:ascii="Times New Roman" w:hAnsi="Times New Roman"/>
          <w:color w:val="000000"/>
          <w:sz w:val="20"/>
        </w:rPr>
        <w:t>. We see significant potential in opening up new distribution channels in other markets, such as Telcos and banks, who we believe will be able to replicate the success we are experiencing in our current markets. Opening new distribution channels will allow us to accelerate our growth.</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w:t>
      </w:r>
    </w:p>
    <w:p>
      <w:pPr>
        <w:pStyle w:val="TextBody"/>
        <w:bidi w:val="0"/>
        <w:spacing w:before="120" w:after="283"/>
        <w:jc w:val="left"/>
        <w:rPr/>
      </w:pPr>
      <w:r>
        <w:rPr>
          <w:rFonts w:ascii="Times New Roman" w:hAnsi="Times New Roman"/>
          <w:i/>
          <w:color w:val="000000"/>
          <w:sz w:val="20"/>
        </w:rPr>
        <w:t>New Offering Features</w:t>
      </w:r>
      <w:r>
        <w:rPr>
          <w:rFonts w:ascii="Times New Roman" w:hAnsi="Times New Roman"/>
          <w:color w:val="000000"/>
          <w:sz w:val="20"/>
        </w:rPr>
        <w:t>. We plan to add to and expand our platform with further functionality including live event notifications, dynamic coupons, more personalization and personal experiences as well as provided artificial intelligence layers to enable more convenient and segmented merchandising.</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w:t>
      </w:r>
    </w:p>
    <w:p>
      <w:pPr>
        <w:pStyle w:val="TextBody"/>
        <w:bidi w:val="0"/>
        <w:spacing w:before="120" w:after="283"/>
        <w:jc w:val="left"/>
        <w:rPr/>
      </w:pPr>
      <w:r>
        <w:rPr>
          <w:rFonts w:ascii="Times New Roman" w:hAnsi="Times New Roman"/>
          <w:i/>
          <w:color w:val="000000"/>
          <w:sz w:val="20"/>
        </w:rPr>
        <w:t>Upsell/Cross Sell</w:t>
      </w:r>
      <w:r>
        <w:rPr>
          <w:rFonts w:ascii="Times New Roman" w:hAnsi="Times New Roman"/>
          <w:color w:val="000000"/>
          <w:sz w:val="20"/>
        </w:rPr>
        <w:t xml:space="preserve">. We expect to further penetrate our customer base. We intend to expand direct and indirect sales capabilities, drive dynamic customer segmentation capabilities, introduce analytics to improve customer insights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improve customer lifetime value. Combined with additional functionalities and offering capabilities, we expect to upsell and cross sell across our new merchants, increasing our revenues.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w:t>
      </w:r>
    </w:p>
    <w:p>
      <w:pPr>
        <w:pStyle w:val="TextBody"/>
        <w:bidi w:val="0"/>
        <w:spacing w:before="120" w:after="283"/>
        <w:jc w:val="left"/>
        <w:rPr/>
      </w:pPr>
      <w:r>
        <w:rPr>
          <w:rFonts w:ascii="Times New Roman" w:hAnsi="Times New Roman"/>
          <w:i/>
          <w:color w:val="000000"/>
          <w:sz w:val="20"/>
        </w:rPr>
        <w:t>Enter New Geographies</w:t>
      </w:r>
      <w:r>
        <w:rPr>
          <w:rFonts w:ascii="Times New Roman" w:hAnsi="Times New Roman"/>
          <w:color w:val="000000"/>
          <w:sz w:val="20"/>
        </w:rPr>
        <w:t>. We intend to capitalize on our global growth momentum in India, the U.S., Latin America, East Asia, broader Europe, Australia, Canada and Brazil.</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w:t>
      </w:r>
    </w:p>
    <w:p>
      <w:pPr>
        <w:pStyle w:val="TextBody"/>
        <w:bidi w:val="0"/>
        <w:spacing w:before="120" w:after="283"/>
        <w:jc w:val="left"/>
        <w:rPr/>
      </w:pPr>
      <w:r>
        <w:rPr>
          <w:rFonts w:ascii="Times New Roman" w:hAnsi="Times New Roman"/>
          <w:i/>
          <w:color w:val="000000"/>
          <w:sz w:val="20"/>
        </w:rPr>
        <w:t>Strategic Acquisitions</w:t>
      </w:r>
      <w:r>
        <w:rPr>
          <w:rFonts w:ascii="Times New Roman" w:hAnsi="Times New Roman"/>
          <w:color w:val="000000"/>
          <w:sz w:val="20"/>
        </w:rPr>
        <w:t>. We intend to selectively pursue acquisitions that enhance our existing platform capabilities and are consistent with our overall growth strategy, although we currently have no agreements, commitments or understandings with respect to any such transaction. We may consider different-stage technology companies which can complement our global AI-enabled technology, customer and partner ecosystem, increase our customer base and market reach, enhance revenue, expand access to merchants and diversify our offerings and leverage synergies.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The Rezolve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cloud-based Rezolve AI platform integrates the features and functionalities that merchants need to seamlessly transact across different Channels. Capabilities include: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left"/>
        <w:rPr/>
      </w:pPr>
      <w:r>
        <w:rPr>
          <w:rFonts w:ascii="Times New Roman" w:hAnsi="Times New Roman"/>
          <w:i/>
          <w:color w:val="000000"/>
          <w:sz w:val="20"/>
        </w:rPr>
        <w:t xml:space="preserve">Ecommerce Chat and Search. </w:t>
      </w:r>
      <w:r>
        <w:rPr>
          <w:rFonts w:ascii="Times New Roman" w:hAnsi="Times New Roman"/>
          <w:color w:val="000000"/>
          <w:sz w:val="20"/>
        </w:rPr>
        <w:t xml:space="preserve">Rezolve’s </w:t>
      </w:r>
      <w:r>
        <w:rPr>
          <w:rFonts w:ascii="Times New Roman" w:hAnsi="Times New Roman"/>
          <w:i/>
          <w:color w:val="000000"/>
          <w:sz w:val="20"/>
        </w:rPr>
        <w:t>Brain Commerce</w:t>
      </w:r>
      <w:r>
        <w:rPr>
          <w:color w:val="000000"/>
        </w:rPr>
        <w:t xml:space="preserve"> </w:t>
      </w:r>
      <w:r>
        <w:rPr>
          <w:rFonts w:ascii="Times New Roman" w:hAnsi="Times New Roman"/>
          <w:color w:val="000000"/>
          <w:sz w:val="20"/>
        </w:rPr>
        <w:t>allows customers, either online or instore, to interact naturally in a conversational manner similar to engaging via a highly knowledgeable and customer centric store colleague, via voice or text and in 95 languages. Customers can ask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 Our UI and frontend is fully responsive with a multi-tenant configuration that can be embedded and easily setup via the Rezolve Experience Portal (RXP) in merchant store sites with RESTful endpoints, and connection to most popular eCommerce platforms out of the box (e.g. Shopify ,WooCommerce, Magento etc.).</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left"/>
        <w:rPr/>
      </w:pPr>
      <w:r>
        <w:rPr>
          <w:rFonts w:ascii="Times New Roman" w:hAnsi="Times New Roman"/>
          <w:i/>
          <w:color w:val="000000"/>
          <w:sz w:val="20"/>
        </w:rPr>
        <w:t xml:space="preserve">Customer Loyalty Programs. </w:t>
      </w:r>
      <w:r>
        <w:rPr>
          <w:rFonts w:ascii="Times New Roman" w:hAnsi="Times New Roman"/>
          <w:color w:val="000000"/>
          <w:sz w:val="20"/>
        </w:rPr>
        <w:t>We expect to bring together merchants and consumers with the goal of empowering merchants to engage directly with their customers and not solely through third-party intermediaries. By enabling direct consumer engagement, merchants are able to build customer loyalty and can launch campaigns or targeted offers through the Brain Checkout with a higher level of engagement and relevancy.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left"/>
        <w:rPr/>
      </w:pPr>
      <w:r>
        <w:rPr>
          <w:rFonts w:ascii="Times New Roman" w:hAnsi="Times New Roman"/>
          <w:i/>
          <w:color w:val="000000"/>
          <w:sz w:val="20"/>
        </w:rPr>
        <w:t>Direct Customer Insights</w:t>
      </w:r>
      <w:r>
        <w:rPr>
          <w:rFonts w:ascii="Times New Roman" w:hAnsi="Times New Roman"/>
          <w:color w:val="000000"/>
          <w:sz w:val="20"/>
        </w:rPr>
        <w:t>. We expect our platform to provide merchants with direct access to their customers and their key information about shopping preferences, which they can use to drive further consumer engagement. For brands that typically sell their products through third-party intermediaries, these insights are useful for building brand affinity and loyalty.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left"/>
        <w:rPr/>
      </w:pPr>
      <w:r>
        <w:rPr>
          <w:rFonts w:ascii="Times New Roman" w:hAnsi="Times New Roman"/>
          <w:i/>
          <w:color w:val="000000"/>
          <w:sz w:val="20"/>
        </w:rPr>
        <w:t>Mobile Vouchering</w:t>
      </w:r>
      <w:r>
        <w:rPr>
          <w:rFonts w:ascii="Times New Roman" w:hAnsi="Times New Roman"/>
          <w:color w:val="000000"/>
          <w:sz w:val="20"/>
        </w:rPr>
        <w:t>. We expect to enable merchants to be more flexible in their offerings to consumers. With the Rezolve platform integrated into merchants’ apps, consumers are able to scan products and buy them through the app, eliminating the need to wait online in retail stores.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3.</w:t>
      </w:r>
    </w:p>
    <w:p>
      <w:pPr>
        <w:pStyle w:val="TextBody"/>
        <w:bidi w:val="0"/>
        <w:spacing w:before="120" w:after="283"/>
        <w:jc w:val="left"/>
        <w:rPr/>
      </w:pPr>
      <w:r>
        <w:rPr>
          <w:rFonts w:ascii="Times New Roman" w:hAnsi="Times New Roman"/>
          <w:i/>
          <w:color w:val="000000"/>
          <w:sz w:val="20"/>
        </w:rPr>
        <w:t xml:space="preserve">Retailer Point-of-Sale / Back office. </w:t>
      </w:r>
      <w:r>
        <w:rPr>
          <w:rFonts w:ascii="Times New Roman" w:hAnsi="Times New Roman"/>
          <w:color w:val="000000"/>
          <w:sz w:val="20"/>
        </w:rPr>
        <w:t>We expect to provide merchants with a self-service portal, featuring an accessible dashboard to manage shoppable campaigns and to track consumers’ shopping trends.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4.</w:t>
      </w:r>
    </w:p>
    <w:p>
      <w:pPr>
        <w:pStyle w:val="TextBody"/>
        <w:bidi w:val="0"/>
        <w:spacing w:before="120" w:after="283"/>
        <w:jc w:val="left"/>
        <w:rPr/>
      </w:pPr>
      <w:r>
        <w:rPr>
          <w:rFonts w:ascii="Times New Roman" w:hAnsi="Times New Roman"/>
          <w:i/>
          <w:color w:val="000000"/>
          <w:sz w:val="20"/>
        </w:rPr>
        <w:t xml:space="preserve">Mobile Payments. </w:t>
      </w:r>
      <w:r>
        <w:rPr>
          <w:rFonts w:ascii="Times New Roman" w:hAnsi="Times New Roman"/>
          <w:color w:val="000000"/>
          <w:sz w:val="20"/>
        </w:rPr>
        <w:t>We expect to enhance merchants’ platforms by making the checkout process frictionless. Consumers only need a mobile device to use the Rezolve platform to instantly buy products that are featured in advertisements or scan and buy products in retail stores.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5.</w:t>
      </w:r>
    </w:p>
    <w:p>
      <w:pPr>
        <w:pStyle w:val="TextBody"/>
        <w:bidi w:val="0"/>
        <w:spacing w:before="120" w:after="283"/>
        <w:jc w:val="left"/>
        <w:rPr/>
      </w:pPr>
      <w:r>
        <w:rPr>
          <w:rFonts w:ascii="Times New Roman" w:hAnsi="Times New Roman"/>
          <w:i/>
          <w:color w:val="000000"/>
          <w:sz w:val="20"/>
        </w:rPr>
        <w:t xml:space="preserve">Ability to Pay Online or Offline. </w:t>
      </w:r>
      <w:r>
        <w:rPr>
          <w:rFonts w:ascii="Times New Roman" w:hAnsi="Times New Roman"/>
          <w:color w:val="000000"/>
          <w:sz w:val="20"/>
        </w:rPr>
        <w:t>We expect to offer instant salesware through one-click checkouts that enable seamless transactions through the app. Consumers are able to find offers nearby and browse through products both online and offline. For local offers, consumers can simply go into the brick-and-mortar stores or can order through an app.</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Engagement Opportunities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platform to integrate with and address the following engagement opportunities: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left"/>
        <w:rPr/>
      </w:pPr>
      <w:r>
        <w:rPr>
          <w:rFonts w:ascii="Times New Roman" w:hAnsi="Times New Roman"/>
          <w:i/>
          <w:color w:val="000000"/>
          <w:sz w:val="20"/>
        </w:rPr>
        <w:t>Chat and Search</w:t>
      </w:r>
      <w:r>
        <w:rPr>
          <w:rFonts w:ascii="Times New Roman" w:hAnsi="Times New Roman"/>
          <w:color w:val="000000"/>
          <w:sz w:val="20"/>
        </w:rPr>
        <w:t>. Merchants can interact naturally with customers via Brain Commerc</w:t>
      </w:r>
      <w:r>
        <w:rPr>
          <w:rFonts w:ascii="Times New Roman" w:hAnsi="Times New Roman"/>
          <w:i/>
          <w:color w:val="000000"/>
          <w:sz w:val="20"/>
        </w:rPr>
        <w:t>e</w:t>
      </w:r>
      <w:r>
        <w:rPr>
          <w:rFonts w:ascii="Times New Roman" w:hAnsi="Times New Roman"/>
          <w:color w:val="000000"/>
          <w:sz w:val="2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left"/>
        <w:rPr/>
      </w:pPr>
      <w:r>
        <w:rPr>
          <w:rFonts w:ascii="Times New Roman" w:hAnsi="Times New Roman"/>
          <w:i/>
          <w:color w:val="000000"/>
          <w:sz w:val="20"/>
        </w:rPr>
        <w:t xml:space="preserve">Instant Checkout. </w:t>
      </w:r>
      <w:r>
        <w:rPr>
          <w:rFonts w:ascii="Times New Roman" w:hAnsi="Times New Roman"/>
          <w:color w:val="000000"/>
          <w:sz w:val="20"/>
        </w:rPr>
        <w:t>Merchants can embed Buy Now and Act Now buttons on their websites and advertisements for instant engagement and conversion via Brain Checkout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3.</w:t>
      </w:r>
    </w:p>
    <w:p>
      <w:pPr>
        <w:pStyle w:val="TextBody"/>
        <w:bidi w:val="0"/>
        <w:spacing w:before="120" w:after="283"/>
        <w:jc w:val="left"/>
        <w:rPr/>
      </w:pPr>
      <w:r>
        <w:rPr>
          <w:rFonts w:ascii="Times New Roman" w:hAnsi="Times New Roman"/>
          <w:i/>
          <w:color w:val="000000"/>
          <w:sz w:val="20"/>
        </w:rPr>
        <w:t xml:space="preserve">GeoZones. </w:t>
      </w:r>
      <w:r>
        <w:rPr>
          <w:rFonts w:ascii="Times New Roman" w:hAnsi="Times New Roman"/>
          <w:color w:val="000000"/>
          <w:sz w:val="20"/>
        </w:rPr>
        <w:t>Merchants can interact with consumers based on proximity to certain locations.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4.</w:t>
      </w:r>
    </w:p>
    <w:p>
      <w:pPr>
        <w:pStyle w:val="TextBody"/>
        <w:bidi w:val="0"/>
        <w:spacing w:before="120" w:after="283"/>
        <w:jc w:val="left"/>
        <w:rPr/>
      </w:pPr>
      <w:r>
        <w:rPr>
          <w:rFonts w:ascii="Times New Roman" w:hAnsi="Times New Roman"/>
          <w:i/>
          <w:color w:val="000000"/>
          <w:sz w:val="20"/>
        </w:rPr>
        <w:t xml:space="preserve">Media with Audio. </w:t>
      </w:r>
      <w:r>
        <w:rPr>
          <w:rFonts w:ascii="Times New Roman" w:hAnsi="Times New Roman"/>
          <w:color w:val="000000"/>
          <w:sz w:val="20"/>
        </w:rPr>
        <w:t>Merchants can integrate watermarks in broadcast and streaming media.</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5.</w:t>
      </w:r>
    </w:p>
    <w:p>
      <w:pPr>
        <w:pStyle w:val="TextBody"/>
        <w:bidi w:val="0"/>
        <w:spacing w:before="120" w:after="283"/>
        <w:jc w:val="left"/>
        <w:rPr/>
      </w:pPr>
      <w:r>
        <w:rPr>
          <w:rFonts w:ascii="Times New Roman" w:hAnsi="Times New Roman"/>
          <w:i/>
          <w:color w:val="000000"/>
          <w:sz w:val="20"/>
        </w:rPr>
        <w:t xml:space="preserve">Visual Events. </w:t>
      </w:r>
      <w:r>
        <w:rPr>
          <w:rFonts w:ascii="Times New Roman" w:hAnsi="Times New Roman"/>
          <w:color w:val="000000"/>
          <w:sz w:val="20"/>
        </w:rPr>
        <w:t>Merchants can integrate watermarks in posters, advertising, product labels and merchandise.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6.</w:t>
      </w:r>
    </w:p>
    <w:p>
      <w:pPr>
        <w:pStyle w:val="TextBody"/>
        <w:bidi w:val="0"/>
        <w:spacing w:before="120" w:after="283"/>
        <w:jc w:val="left"/>
        <w:rPr/>
      </w:pPr>
      <w:r>
        <w:rPr>
          <w:rFonts w:ascii="Times New Roman" w:hAnsi="Times New Roman"/>
          <w:i/>
          <w:color w:val="000000"/>
          <w:sz w:val="20"/>
        </w:rPr>
        <w:t>Beacons</w:t>
      </w:r>
      <w:r>
        <w:rPr>
          <w:rFonts w:ascii="Times New Roman" w:hAnsi="Times New Roman"/>
          <w:color w:val="000000"/>
          <w:sz w:val="20"/>
        </w:rPr>
        <w:t>. Merchants can establish near-proximity beacons which allow near-field proximity engagements (3 inches to 36 inches plus) in both indoor and outdoor locations.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7.</w:t>
      </w:r>
    </w:p>
    <w:p>
      <w:pPr>
        <w:pStyle w:val="TextBody"/>
        <w:bidi w:val="0"/>
        <w:spacing w:before="120" w:after="283"/>
        <w:jc w:val="left"/>
        <w:rPr/>
      </w:pPr>
      <w:r>
        <w:rPr>
          <w:rFonts w:ascii="Times New Roman" w:hAnsi="Times New Roman"/>
          <w:i/>
          <w:color w:val="000000"/>
          <w:sz w:val="20"/>
        </w:rPr>
        <w:t xml:space="preserve">SmartLinks. </w:t>
      </w:r>
      <w:r>
        <w:rPr>
          <w:rFonts w:ascii="Times New Roman" w:hAnsi="Times New Roman"/>
          <w:color w:val="000000"/>
          <w:sz w:val="20"/>
        </w:rPr>
        <w:t>Merchants can embed URL links into social media posts and email communications (amongst others) which trigger Instant Checkout and Instant Act engagements.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8.</w:t>
      </w:r>
    </w:p>
    <w:p>
      <w:pPr>
        <w:pStyle w:val="TextBody"/>
        <w:bidi w:val="0"/>
        <w:spacing w:before="120" w:after="283"/>
        <w:jc w:val="left"/>
        <w:rPr/>
      </w:pPr>
      <w:r>
        <w:rPr>
          <w:rFonts w:ascii="Times New Roman" w:hAnsi="Times New Roman"/>
          <w:i/>
          <w:color w:val="000000"/>
          <w:sz w:val="20"/>
        </w:rPr>
        <w:t xml:space="preserve">SmartCodes. </w:t>
      </w:r>
      <w:r>
        <w:rPr>
          <w:rFonts w:ascii="Times New Roman" w:hAnsi="Times New Roman"/>
          <w:color w:val="000000"/>
          <w:sz w:val="20"/>
        </w:rPr>
        <w:t>Merchants can establish QR codes integrated with their media with a richer engagement experience for the consumer.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Rezolve platform is a multi-tenant cloud-based system that is engineered for high scalability, reliability and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host our platform using cloud-based servers. Maintaining the integrity and security of our technology infrastructure is critical to our business, and we plan to invest further in our data center and network infrastructure to meet our merchants’ needs and maintain their trust. The key attributes of our platform are as follows: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left"/>
        <w:rPr/>
      </w:pPr>
      <w:r>
        <w:rPr>
          <w:rFonts w:ascii="Times New Roman" w:hAnsi="Times New Roman"/>
          <w:i/>
          <w:color w:val="000000"/>
          <w:sz w:val="20"/>
        </w:rPr>
        <w:t xml:space="preserve">Artificial Intelligence. </w:t>
      </w:r>
      <w:r>
        <w:rPr>
          <w:rFonts w:ascii="Times New Roman" w:hAnsi="Times New Roman"/>
          <w:color w:val="000000"/>
          <w:sz w:val="20"/>
        </w:rPr>
        <w:t>Our Large Language Model (“</w:t>
      </w:r>
      <w:r>
        <w:rPr>
          <w:rFonts w:ascii="Times New Roman" w:hAnsi="Times New Roman"/>
          <w:b/>
          <w:i/>
          <w:color w:val="000000"/>
          <w:sz w:val="20"/>
        </w:rPr>
        <w:t>LLM</w:t>
      </w:r>
      <w:r>
        <w:rPr>
          <w:color w:val="000000"/>
        </w:rPr>
        <w:t>”</w:t>
      </w:r>
      <w:r>
        <w:rPr>
          <w:rFonts w:ascii="Times New Roman" w:hAnsi="Times New Roman"/>
          <w:color w:val="000000"/>
          <w:sz w:val="20"/>
        </w:rPr>
        <w:t>) uses proprietary AI to interrogate presales, sales and post-sales content as well as transactional and customer data to build one of the world’s first dedicated eCommerce and Sales LLMs. This allows Rezolve’s Brain to offer smart product discovery, recommendations, bundled offers, personalized offers and more, based on a targeted set of 30-billion parameters, and to optimize resource allocation by focusing on the most relevant data for product recommendations. Rezolve’s Brain is able to recognize and handle the differences between product data from store to store, and then standardize the product specifications to guarantee high-quality data. By building a domain specific, leaner, cost-effective custom LLM, we believe Rezolve has achieved superior performance to existing language models while significantly reducing the financial burden associated with training and deploying language models. By creating our own language model specifically trained on eCommerce data and industry-specific terminology, we have gained high control over the behavior and functionality of our conversational AI. We are constantly fine-tuning the model to provide accurate and relevant responses to customer inquiries, ensuring compliance with financial regulations and maintaining the desired tone and style. Furthermore, Rezolve’s AI-powered personalized recommendations enhance customer experiences by leveraging advanced algorithms to deliver tailored product suggestions based on individual preferences and behavior.</w:t>
      </w:r>
    </w:p>
    <w:p>
      <w:pPr>
        <w:pStyle w:val="TextBody"/>
        <w:bidi w:val="0"/>
        <w:jc w:val="both"/>
        <w:rPr/>
      </w:pPr>
      <w:r>
        <w:rPr/>
        <w:t> </w:t>
      </w:r>
    </w:p>
    <w:p>
      <w:pPr>
        <w:pStyle w:val="TextBody"/>
        <w:bidi w:val="0"/>
        <w:jc w:val="center"/>
        <w:rPr/>
      </w:pPr>
      <w:r>
        <w:rPr/>
        <w:drawing>
          <wp:inline distT="0" distB="0" distL="0" distR="0">
            <wp:extent cx="4800600" cy="28289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800600" cy="2828925"/>
                    </a:xfrm>
                    <a:prstGeom prst="rect">
                      <a:avLst/>
                    </a:prstGeom>
                  </pic:spPr>
                </pic:pic>
              </a:graphicData>
            </a:graphic>
          </wp:inline>
        </w:drawing>
      </w:r>
    </w:p>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pPr>
      <w:r>
        <w:rPr>
          <w:rFonts w:ascii="Times New Roman" w:hAnsi="Times New Roman"/>
          <w:i/>
          <w:color w:val="000000"/>
          <w:sz w:val="20"/>
        </w:rPr>
        <w:t xml:space="preserve">Security. </w:t>
      </w:r>
      <w:r>
        <w:rPr>
          <w:rFonts w:ascii="Times New Roman" w:hAnsi="Times New Roman"/>
          <w:color w:val="000000"/>
          <w:sz w:val="20"/>
        </w:rPr>
        <w:t>Our proprietary AI-Platform keeps both merchant and customer confidential and PII data secure and is regulated by the strict GDPR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i/>
          <w:color w:val="000000"/>
          <w:sz w:val="20"/>
        </w:rPr>
        <w:t xml:space="preserve">Encryption. </w:t>
      </w:r>
      <w:r>
        <w:rPr>
          <w:rFonts w:ascii="Times New Roman" w:hAnsi="Times New Roman"/>
          <w:color w:val="000000"/>
          <w:sz w:val="20"/>
        </w:rPr>
        <w:t>All data is encrypted at rest (AES-256) and in transit.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pPr>
      <w:r>
        <w:rPr>
          <w:rFonts w:ascii="Times New Roman" w:hAnsi="Times New Roman"/>
          <w:i/>
          <w:color w:val="000000"/>
          <w:sz w:val="20"/>
        </w:rPr>
        <w:t xml:space="preserve">Data usage. </w:t>
      </w:r>
      <w:r>
        <w:rPr>
          <w:rFonts w:ascii="Times New Roman" w:hAnsi="Times New Roman"/>
          <w:color w:val="000000"/>
          <w:sz w:val="20"/>
        </w:rPr>
        <w:t xml:space="preserve">All uploaded content such as support documentation, manuals, knowledge base and product catalogue is stored in isolated containers and processed by our ingestor and embedding services only. Customer data is never used for any reason other than servicing API Calls for search and query. Credit card processing on our platform is performed by a dedicated, highly scalable, geographically redundant, high security environment with specialized policies and procedures in place. We have been certified as a PCI DSS Level 1 compliant service provider, which is the highest level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available. We use firewalls, denial of service mitigation appliances, advanced encryption, intrusion detection systems, two-factor authentication and other technology to keep our merchants’ data secure.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pPr>
      <w:r>
        <w:rPr>
          <w:rFonts w:ascii="Times New Roman" w:hAnsi="Times New Roman"/>
          <w:i/>
          <w:color w:val="000000"/>
          <w:sz w:val="20"/>
        </w:rPr>
        <w:t xml:space="preserve">Scalability. </w:t>
      </w:r>
      <w:r>
        <w:rPr>
          <w:rFonts w:ascii="Times New Roman" w:hAnsi="Times New Roman"/>
          <w:color w:val="000000"/>
          <w:sz w:val="20"/>
        </w:rPr>
        <w:t>Our platform Core services are built on Open Telecom Platform technology Erlang which allows us to create highly distributed microservices to easily and quickly scale end user activity and transactions. Rezolve’s CORE gateway can spawn a massive number of processes with little overhead on demand which makes it highly scalable and reliable.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pPr>
      <w:r>
        <w:rPr>
          <w:rFonts w:ascii="Times New Roman" w:hAnsi="Times New Roman"/>
          <w:i/>
          <w:color w:val="000000"/>
          <w:sz w:val="20"/>
        </w:rPr>
        <w:t xml:space="preserve">Resilience. </w:t>
      </w:r>
      <w:r>
        <w:rPr>
          <w:rFonts w:ascii="Times New Roman" w:hAnsi="Times New Roman"/>
          <w:color w:val="000000"/>
          <w:sz w:val="20"/>
        </w:rPr>
        <w:t>Our platform applications and system architectures are designed to support High Availability and Redundancy across all services and network layers. The use of CI/CD pipelines to automate build and deployment of services, Kubernetes cluster with high availability of nodes, Regions and Zones at the Cloud Provider level and clusters spanning multiple zones, cloud storage synchronized between regions, load balancing between regions creates a safety net of high resilience.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pPr>
      <w:r>
        <w:rPr>
          <w:rFonts w:ascii="Times New Roman" w:hAnsi="Times New Roman"/>
          <w:i/>
          <w:color w:val="000000"/>
          <w:sz w:val="20"/>
        </w:rPr>
        <w:t xml:space="preserve">Embedded Connectivity. </w:t>
      </w:r>
      <w:r>
        <w:rPr>
          <w:rFonts w:ascii="Times New Roman" w:hAnsi="Times New Roman"/>
          <w:color w:val="000000"/>
          <w:sz w:val="20"/>
        </w:rPr>
        <w:t>Rezolve’s mobile SDK provides a quick and easy solution to embed and enable Rezolve platform functionality in any Android and iOS app. The accompanying SDK sample app and documents allow third-party developers to quickly leverage the power of our solution.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pPr>
      <w:r>
        <w:rPr>
          <w:rFonts w:ascii="Times New Roman" w:hAnsi="Times New Roman"/>
          <w:i/>
          <w:color w:val="000000"/>
          <w:sz w:val="20"/>
        </w:rPr>
        <w:t xml:space="preserve">Central Management. </w:t>
      </w:r>
      <w:r>
        <w:rPr>
          <w:rFonts w:ascii="Times New Roman" w:hAnsi="Times New Roman"/>
          <w:color w:val="000000"/>
          <w:sz w:val="20"/>
        </w:rPr>
        <w:t>Rezolve maintains a central management and configuration tool that allows it to quickly setup partners, merchants, payments, apps and index content from its merchants so it’s available via the SDK.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pPr>
      <w:r>
        <w:rPr>
          <w:rFonts w:ascii="Times New Roman" w:hAnsi="Times New Roman"/>
          <w:i/>
          <w:color w:val="000000"/>
          <w:sz w:val="20"/>
        </w:rPr>
        <w:t xml:space="preserve">Analytics &amp; Reporting. </w:t>
      </w:r>
      <w:r>
        <w:rPr>
          <w:rFonts w:ascii="Times New Roman" w:hAnsi="Times New Roman"/>
          <w:color w:val="000000"/>
          <w:sz w:val="20"/>
        </w:rPr>
        <w:t>Rezolve SDK and Backend Data Ingestor Service gathers metrics on usage, transactions, interactions and feeds it to the Analytics Engine to churn out smart Dashboards and Reports.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pPr>
      <w:r>
        <w:rPr>
          <w:rFonts w:ascii="Times New Roman" w:hAnsi="Times New Roman"/>
          <w:i/>
          <w:color w:val="000000"/>
          <w:sz w:val="20"/>
        </w:rPr>
        <w:t xml:space="preserve">Snap-on Integrations. </w:t>
      </w:r>
      <w:r>
        <w:rPr>
          <w:rFonts w:ascii="Times New Roman" w:hAnsi="Times New Roman"/>
          <w:color w:val="000000"/>
          <w:sz w:val="20"/>
        </w:rPr>
        <w:t>Rezolve’s Platform supports a snap-on integration design that allows integrations to any payment provider or gateway as well as eCommerce platforms with minimum effort. Rezolve already supports a large number of payment providers and ramping up support for e-commerce platforms via its unique plugin architecture and webhooks.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left"/>
        <w:rPr/>
      </w:pPr>
      <w:r>
        <w:rPr>
          <w:rFonts w:ascii="Times New Roman" w:hAnsi="Times New Roman"/>
          <w:i/>
          <w:color w:val="000000"/>
          <w:sz w:val="20"/>
        </w:rPr>
        <w:t xml:space="preserve">Mass Onboarding. </w:t>
      </w:r>
      <w:r>
        <w:rPr>
          <w:rFonts w:ascii="Times New Roman" w:hAnsi="Times New Roman"/>
          <w:color w:val="000000"/>
          <w:sz w:val="20"/>
        </w:rPr>
        <w:t>Bulk Onboarding of Merchants is a new and unique offering of our platform that allows us to set up and configure more than 10,000 merchants. Admin portal provides an easy to operate tool for operations teams to quickly add a large merchant base in any market on demand.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left"/>
        <w:rPr/>
      </w:pPr>
      <w:r>
        <w:rPr>
          <w:rFonts w:ascii="Times New Roman" w:hAnsi="Times New Roman"/>
          <w:i/>
          <w:color w:val="000000"/>
          <w:sz w:val="20"/>
        </w:rPr>
        <w:t xml:space="preserve">Smart Triggers. </w:t>
      </w:r>
      <w:r>
        <w:rPr>
          <w:rFonts w:ascii="Times New Roman" w:hAnsi="Times New Roman"/>
          <w:color w:val="000000"/>
          <w:sz w:val="20"/>
        </w:rPr>
        <w:t>Rezolve’s implementation of GeoZones, Beacons and Watermarking are important elements of its platform. The creation of these triggers via Rezolve’s Experience Platform when combined with its SDK delivers a powerful tool to Merchants to deliver non spamming targeted engagements.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left"/>
        <w:rPr/>
      </w:pPr>
      <w:r>
        <w:rPr>
          <w:rFonts w:ascii="Times New Roman" w:hAnsi="Times New Roman"/>
          <w:i/>
          <w:color w:val="000000"/>
          <w:sz w:val="20"/>
        </w:rPr>
        <w:t xml:space="preserve">Developer Friendly. </w:t>
      </w:r>
      <w:r>
        <w:rPr>
          <w:rFonts w:ascii="Times New Roman" w:hAnsi="Times New Roman"/>
          <w:color w:val="000000"/>
          <w:sz w:val="20"/>
        </w:rPr>
        <w:t>Rezolve’s REST API provides another integration point for any partner or client not using native mobile apps. We can easily support progressive web applications, hybrid applications, web-based services and other applications.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Channels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preliminarily established relationships with Channels such as Microsoft and Google among others. Our Channels are either categorized as merchant acquirors or consumer acquirors or sometimes they represent both. Merchant acquirors typically have large merchant-based customers and upsell/cross sell Rezolve to those customers with Rezolve’s support. Merchant acquirors include (but are not limited to) payment gateways, banks, telecommunications companies, eCommerce or point-of-sale providers, and media entities (such as broadcasters, social media firms and publishers). The type of partnership entered into with these firms determines the level of revenue share, for example, referral, reseller or white label reseller. Larger merchants can have their own mobile app strategy, and, in these cases, our merchant acquirer Channels promote the use of Rezolve technology embedded into their apps directly (using Rezolve’s SDK and mobile application libraries). All merchants are encouraged to use our Rezolve Experience Platform to create engagements with their end-customers, whether it is labeled with the brand of the Channel or our brand.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market is transforming, competitive and highly fragmented, and we expect competition to increase in the future. We believe the principal competitive factors in our market 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proprietary actionable AI-engineered products and solutions focused on commerce;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simplicity and ease of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integration of multiple Channels;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breadth and depth of functionality;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pace of innovation;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ability to scale;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security and reliability;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support for brand development;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brand recognition and reputation.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each of these factors, we believe that we provide a number of favorable offerings.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no individual competitor or AI or LLM company offers an integrated, cloud-based commerce platform with comparable functionality to our eCommerce-specific AI platform with its fully conversational discovery experience and connects the upper and lower funnel journeys for an end-to-end user experience that is seamless and frictionless. However, certain competitors such as Shopify or BigCommerce or individual merchants with access to large numbers of consumers, may elect to piece together technology from other companies, including AI-driven search and relevance platforms or digital assistants such as Cohere or Zoovu, that overlaps with certain functions and features that we provide.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Current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 revenues generating part of our business relates to transaction fees based on sales of ticketing for La Liga football events in Spain. Rezolve has a contract with La liga to run ticketing for all Spanish La Liga clubs. This allows us to generate revenue from individual clubs. Rezolve provides the ability for individuals to purchase tickets online using its technology. Rezolve has contracts with clubs including Sporting Gijon, Club Deportivo Leganes, Club Deportivo Sociedad and others.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intellectual property and proprietary rights are important to our business. In our efforts to safeguard them, we rely on a combination of copyright, trade secret, trademark, patent and other rights in jurisdictions in which we conduct our business. We also have confidentiality and/or license agreements with employees, contractors, merchants, distributors and other third parties that limit access to and use of our proprietary intellectual property. Though we rely, in part, upon these legal and contractual protections, we believe that factors such as the skills and ingenuity of our employees, as well as the functionality and frequent enhancements to our platform, make our intellectual property rights difficult to replicate.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several US and international patents pending for our eCommerce-specific AI Platform and Language Model such as for its Hierarchical Data relations generator machine, which employs supervised learning models to analyze the product catalogue ingested to build a multidimensional relationship hierarchy that feeds the embedding process, and for its eCommerce Product categorization dictionary that analyzes the product title, images and description data to identify nested categories the product belongs to. Rezolve does this regardless of merchant specified categories which is only reinforced by Merchant provided categories to build a deep and wide category classification that aides the embedding process.</w:t>
      </w:r>
    </w:p>
    <w:p>
      <w:pPr>
        <w:pStyle w:val="TextBody"/>
        <w:bidi w:val="0"/>
        <w:spacing w:before="240" w:after="283"/>
        <w:jc w:val="left"/>
        <w:rPr>
          <w:rFonts w:ascii="Times New Roman" w:hAnsi="Times New Roman"/>
          <w:sz w:val="20"/>
        </w:rPr>
      </w:pPr>
      <w:r>
        <w:rPr>
          <w:rFonts w:ascii="Times New Roman" w:hAnsi="Times New Roman"/>
          <w:color w:val="000000"/>
          <w:sz w:val="20"/>
        </w:rPr>
        <w:t>We have been issued trademark registrations in Canada, Japan, Mexico, China, Europe, the U.S. and the UK including the term “Rezolve.” We have pending patent applications in the U.S., Canada, China, Europe, Japan, South Korea, Mexico, and Hong Kong. We are subject to certain risks related to our intellectual property. For more information, see “</w:t>
      </w:r>
      <w:r>
        <w:rPr>
          <w:rFonts w:ascii="Times New Roman" w:hAnsi="Times New Roman"/>
          <w:i/>
          <w:color w:val="000000"/>
          <w:sz w:val="20"/>
        </w:rPr>
        <w:t>Risk Factors—Risks Related to our Business and Industry</w:t>
      </w:r>
      <w:r>
        <w:rPr>
          <w:rFonts w:ascii="Times New Roman" w:hAnsi="Times New Roman"/>
          <w:color w:val="000000"/>
          <w:sz w:val="20"/>
        </w:rPr>
        <w: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headquartered in London, England, United Kingdom.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a number of foreign and domestic laws and regulations that affect companies conducting business online, many of which are still evolving and could be interpreted in ways that could harm our business. Concern about the use of SaaS platforms for illegal conduct, such as money laundering or to support terrorist activities, may in the future result in legislation or other governmental action that could require changes to our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subject to laws and regulations that govern or restrict our business and activities in certain countries and with certain persons. We are currently subject to a variety of laws and regulations in the U.S., Mexico, the UK, Europe, India and elsewhere related to payment processing, including those governing cross-border and domestic money transmission, gift cards and other prepaid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access instruments, electronic funds transfers, foreign exchange, anti-money laundering, counter-terrorist financing, banking and import and export restrictions. Depending on how our merchant solutions evolve, we may be subject to additional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subject to various laws, regulations, and obligations regarding privacy, data protection, and cybersecurity. Some jurisdictions require companies to notify individuals of data security breaches involving certain types of personal data and our agreements with certain merchants require us to notify them in the event of a security incident. We post on our website our privacy policy and terms of service, which describe our practices concerning the use, transmission and disclosure of merchant data and data relating to their customers. Any actual or perceived failure by us to comply with our posted privacy policy or laws, regulations, or obligations relating to privacy, data protection or cybersecurity could lead to investigations, inquiries, and other proceedings by governmental authorities, significant fines, penalties and other liabilities imposed by regulators, as well as claims, demands, and litigation by our merchants or their customers or other private actors, any of which could harm our business, financial condition, and results of operations. Laws, regulations, and other actual and asserted obligations relating to privacy, data protection and cybersecurity evolve rapidly and are subject to varying interpretations, and we may not be or may not have been compliant with such laws, regulations or obligations, and we may face allegations that our activities or practices are not or have not been, compliant with each such law, regulation or other obligation. Because our services are accessible worldwide, certain foreign jurisdictions have claimed and others may claim that we are required to comply with their laws, regulations, and obligations, including in jurisdictions where we have no local entity, employees or infrastructure. Working to comply with these varying international requirements could cause us to incur additional costs and change our business practices.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our reputation and brand may be negatively affected by the actions of merchants or their users that are deemed to be hostile, offensive, inappropriate or unlawful. We do not monitor or review the appropriateness of the content accessible through merchants’ shops in connection with our services, and we do not have control over the activities in which merchants’ customers engage. While we have adopted policies regarding illegal or offensive use of our platform, merchants or their customers could nonetheless engage in these activities. The safeguards we have in place may not be sufficient to avoid harm to our reputation and brand, especially if such hostile, offensive or inappropriate use was high profile, which could adversely affect our ability to expand our merchant subscription base and harm our business and financial results. It is possible that we could also be subject to liability. In many jurisdictions, laws relating to the liability of providers of online services for activities of their customers and other third parties are currently being tested by a number of claims, including actions based on defamation, invasion of privacy and other torts, unfair competition, copyright and trademark infringement, and other theories based on the nature of the relevant content. Any court ruling or other governmental regulation or action that imposes liability on providers of online services in connection with the activities of their customers or their customers’ users could harm our business. In such circumstances we may also be subject to liability under applicable law in a way which may not be fully mitigated by our terms of service. Any liability attributed to us could adversely affect our brand, reputation, our ability to expand our subscriber base and our financial results.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legal or regulatory proceedings arising in the ordinary course of our business. We are not currently a party to any material litigation or regulatory proceeding and we are not aware of any pending or threatened litigation or regulatory proceeding against us that could have a material adverse effect on our business, operating results, financial condition or cash flows.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jc w:val="left"/>
        <w:rPr/>
      </w:pPr>
      <w:r>
        <w:rPr/>
        <w:t> </w:t>
      </w:r>
    </w:p>
    <w:p>
      <w:pPr>
        <w:pStyle w:val="TextBody"/>
        <w:bidi w:val="0"/>
        <w:spacing w:before="0" w:after="200"/>
        <w:jc w:val="center"/>
        <w:rPr>
          <w:rFonts w:ascii="Times New Roman" w:hAnsi="Times New Roman"/>
          <w:b/>
          <w:caps/>
          <w:color w:val="000000"/>
          <w:sz w:val="20"/>
        </w:rPr>
      </w:pPr>
      <w:bookmarkStart w:id="16" w:name="management_and_compensation"/>
      <w:bookmarkEnd w:id="16"/>
      <w:r>
        <w:rPr>
          <w:rFonts w:ascii="Times New Roman" w:hAnsi="Times New Roman"/>
          <w:b/>
          <w:caps/>
          <w:color w:val="000000"/>
          <w:sz w:val="20"/>
        </w:rPr>
        <w:t>MANAGEMENT and compensation</w:t>
      </w:r>
    </w:p>
    <w:p>
      <w:pPr>
        <w:pStyle w:val="TextBody"/>
        <w:bidi w:val="0"/>
        <w:jc w:val="left"/>
        <w:rPr>
          <w:rFonts w:ascii="Times New Roman" w:hAnsi="Times New Roman"/>
          <w:sz w:val="20"/>
        </w:rPr>
      </w:pPr>
      <w:r>
        <w:rPr>
          <w:rFonts w:ascii="Times New Roman" w:hAnsi="Times New Roman"/>
          <w:color w:val="000000"/>
          <w:sz w:val="20"/>
        </w:rPr>
        <w:t>The following sets forth the names, business addresses and functions of the Company’s directors and senior management as of the date of this prospectus. The Company’s Articles of Association provide that the Company Board of Directors (the “</w:t>
      </w:r>
      <w:r>
        <w:rPr>
          <w:rFonts w:ascii="Times New Roman" w:hAnsi="Times New Roman"/>
          <w:b/>
          <w:i/>
          <w:color w:val="000000"/>
          <w:sz w:val="20"/>
        </w:rPr>
        <w:t>Company Board</w:t>
      </w:r>
      <w:r>
        <w:rPr>
          <w:rFonts w:ascii="Times New Roman" w:hAnsi="Times New Roman"/>
          <w:color w:val="000000"/>
          <w:sz w:val="20"/>
        </w:rPr>
        <w:t>”) has three classes of directors with the directors of each class serving staggered three-year terms. Class I directors shall serve a term expiring at Company’s 2025 annual meeting of shareholders, Class II directors shall serve a term expiring at Company’s 2026 annual meeting of shareholders and Class III directors shall serve a term expiring at Company’s 2027 annual meeting of shareholders.</w:t>
      </w:r>
    </w:p>
    <w:p>
      <w:pPr>
        <w:pStyle w:val="TextBody"/>
        <w:bidi w:val="0"/>
        <w:jc w:val="left"/>
        <w:rPr/>
      </w:pPr>
      <w:r>
        <w:rPr/>
        <w:t> </w:t>
      </w:r>
    </w:p>
    <w:tbl>
      <w:tblPr>
        <w:tblW w:w="7060" w:type="dxa"/>
        <w:jc w:val="left"/>
        <w:tblInd w:w="0" w:type="dxa"/>
        <w:tblLayout w:type="fixed"/>
        <w:tblCellMar>
          <w:top w:w="28" w:type="dxa"/>
          <w:left w:w="28" w:type="dxa"/>
          <w:bottom w:w="28" w:type="dxa"/>
          <w:right w:w="28" w:type="dxa"/>
        </w:tblCellMar>
      </w:tblPr>
      <w:tblGrid>
        <w:gridCol w:w="1636"/>
        <w:gridCol w:w="146"/>
        <w:gridCol w:w="391"/>
        <w:gridCol w:w="146"/>
        <w:gridCol w:w="474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1" w:type="dxa"/>
            <w:tcBorders/>
            <w:vAlign w:val="center"/>
          </w:tcPr>
          <w:p>
            <w:pPr>
              <w:pStyle w:val="TableContents"/>
              <w:bidi w:val="0"/>
              <w:spacing w:before="0" w:after="283"/>
              <w:jc w:val="left"/>
              <w:rPr>
                <w:sz w:val="4"/>
                <w:szCs w:val="4"/>
              </w:rPr>
            </w:pPr>
            <w:r>
              <w:rPr>
                <w:sz w:val="4"/>
                <w:szCs w:val="4"/>
              </w:rPr>
            </w:r>
          </w:p>
        </w:tc>
      </w:tr>
      <w:tr>
        <w:trPr/>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Wagner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III Director</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Wagner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III Director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Anthony Sharp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II Director</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Sir David Wright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II Director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Perry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II Director</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Derek Smith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II Director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Herbert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I Director</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Executive Officers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Wagner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Burchill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Vesco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Commercial Officer and General Manager (EMEA)</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Sauvik Banerjjee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CEO Products, Technology, and Digital Services</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Salman Ahmad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Technology Officer</w:t>
            </w:r>
          </w:p>
        </w:tc>
      </w:tr>
    </w:tbl>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Executive Director</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Daniel Wagner.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Wagner founded Rezolve and has served as Chief Executive Officer and as a director on the board of directors of Rezolve Limited since June 2016. Prior to joining Rezolve, Mr. Wagner founded M.A.I.D. in 1984, an online information service, and built the business into a leading player, when it was sold to Thomson Reuters for $500 million. He then developed Venda in 1998, a provider of on-demand enterprise eCommerce (which included Tesco, Laura Ashley, Neiman Marcus, Lands End, Under Armor and TJX Companies among its clients), which was sold in 2014 to NetSuite, a subsidiary of Oracle Corporation. Mr. Wagner has founded numerous other internet-commerce businesses including SmartLogik in 2000, BuyaPowa in 2010, Powa in 2009, and Attraqt in 2003. Rezolve believes Mr. Wagner is qualified to serve on the board because of his historical knowledge, operational expertise, leadership and the continuity that he brings to our board as our founder and Chief Executive Officer.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Non-Executive Directors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Stephen Perry.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 Perry served on the board of directors of Rezolve as a non-executive director from October 2016 to April 2019 and rejoined in January 2022. Dr. Perry also serves as a Senior Advisor for Fintech and Payments. Prior to joining Rezolve, he worked at Visa for 25 years, first, as Head of Strategy, then as Chief Financial Officer for three years, then as Chief Commercial Officer for 15 years and finally as Chief Digital Officer until December 2015. He also served as an advisor for B-Secur from 2016 to 2018, an advisory board member of Syntel from 2016 to 2017, a non-executive director of MYPINPAD from 2016 to 2018, an advisor for Splitit from 2016 to 2019, an advisor for Good Causes from 2017 to 2019, a strategic advisor for A2P from 2017 to 2019, a non-executive chairman for V9 Group from 2016 to 2020, a non-executive director for Bink from 2016 to 2021, an advisor for 1818 Venture Capital from 2019 to 2021. He also serves as the non-executive chair of Willo and myNexus. He holds a degree in Economics from Wolverhampton Polytechnic, a Masters in Economics from the University of London and a PhD from Keele University. He was awarded the honour of Order of Merit (Cavalieri) in Italy in 2005. Rezolve believes Dr. Perry is qualified to serve on the board because of his experience as a director of technology companies and his experience with investments in technology companies.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Dr. Derek Smith.</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 Smith has served on the board of directors of Rezolve since January 2022. He has also served as chairman of Rhinegold Publishing Ltd from 2007 to 2019. He also served on the board of Opinion Research Corporation from 1997 to 2003. Dr Smith has a BA in Economics from the University of Nottingham and a PhD in Economics from the University of Nottingham. Rezolve believes Dr. Smith is qualified to serve on the board because of his history of holding leadership roles in various companies.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John Wagner.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Wagner has served as a director on the board of directors of Rezolve since February 2016. Prior to joining Rezolve, he was a non-executive director of Powa Technologies from 2008 to 2016 and chairman of Folding Helmet Technology from 2012 to 2019. He was also chairman of Preventon, a provider of cybersecurity software. He studied law and economics at the London School of Economics and marketing at the Institute of Marketing. He is also an alumnus of the British and American programme in marketing management at Harvard Business School. Rezolve believes Mr. Wagner is qualified to serve on the board because he brings significant experience to the Rezolve board, having been the managing director or executive director of several businesses, including BMW (GB) Ltd, Volvo GB, Volkswagen/Audi, Grundig (GB) Ltd, and Hasselblad (US and UK).</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Anthony Sharp.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Sharp has served as a director on the board of directors of Rezolve since August 2016. Prior to joining Rezolve, he has been an early-stage investor, including in lastminute.com, GoAmerica, and Silicon.com. He has participated on 42 boards across the fintech, security, marine, media, leisure, manufacturing, hospitality and property sectors as a chairman, non-executive director and executive director. Rezolve believes Mr. Sharp is qualified to serve on the board because of his long history of serving on the boards of various companies.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Sir David Wright.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Sir Wright has served as a director on the board of directors of Rezolve since August 2019. Prior to joining Rezolve, he was Vice-Chairman of Barclays from 2003 to 2018, Private Secretary to HRH The Prince of Wales from 1988 to 1990 and the first CEO of British Trade International, subsequently UK Trade and Investment, from 1976 to 1980. He served as ambassador to South Korea from 1990 to 1994 and ambassador to Japan from 1996 to 1999. He also holds the honours of GCMG (Knight Grand Cross of the Order of St Michael and St George) and LVO (Lieutenant Royal Victorian Order Grand Cordon of the Rising Sun). Rezolve believes Sir David Wright is qualified to serve on the board because of his diverse diplomatic and financial experience.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Stephen Herbert.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Herbert is expected to serve as a director on the board of directors of Rezolve. Prior to joining Rezolve, he served as Chief Executive Officer and Chairman of Armada since its inception in November 2020. Mr. Herbert was affiliated with USAT in various positions from April 1996 to October 2019, most recently as CEO from November 2011 until he left the company. From 1986 to April 1996, Mr. Herbert was employed by Pepsi-Cola, the beverage division of PepsiCo, Inc., in various capacities, most recently as Manager of Market Strategy where he was responsible for directing development of market strategy for the vending channel, and subsequently, the supermarket channel for Pepsi-Cola in North America. Mr. Herbert graduated with a Bachelor of Science degree from Louisiana State University. Rezolve believes Mr. Herbert is qualified to serve on the board because of his executive leadership at USAT, including his significant knowledge of and experience with its financial technology and payments business, his experience building and scaling high growth fintech companies, and his public board experience with Armada.</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Executive Officers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Peter Vesco.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Vesco has served as the Chief Commercial Officer and General Manager (EMEA) of Rezolve since March 2020. Prior to joining Rezolve, he has held executive roles in numerous companies, including as CEO of ClickandBuy and SVP of Deutsche Telekom Payments (between 2011 and 2016) and President Hypercom EMEA (between 2009 and 2016). He also served on the Advisory Board of Mastercard Europe from 2012 to 2016. He holds a Masters degree in Philosophy and Theology from Goethe-Universität Frankfurt, a degree in Marketing and Product Management and a degree in business administration from the University of Huddersfield.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Richard Burchill.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Burchill has served as the Chief Financial Officer of Rezolve since September 2021. Prior to serving as Chief Financial Officer of Rezolve, Mr. Burchill served as Group Finance Director with Rezolve. Prior to joining Rezolve, he was the Group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Treasurer at Arcadia Group Ltd from 1999 to 2021. From 2014 to 2021, he served as a director of the main operating board of Arcadia Group Ltd. He also served as director of card services at Arcadia Group Ltd from 2006 to 2021. He holds a degree in Accounting and Finance from Middlesex University and is a member of the Chartered Institute of Management Accountants.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Sauvik Banerjjee.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Banerjjee has served as the CEO Products, Technology, and Digital Services of Rezolve since August 2022. Prior to serving as the Chief Executive Officer of Products, Technology, and Digital Services of Rezolve, Mr. Banerjee was the Chief Technology Officer and founding team member at Tata Digital and Tata Neu- The Super App. He was also the founding Chief Technology Officer of TataCli0. Prior to that, he held various management positions, including positions at SAP, Accenture and Infosys. He completed research on Natural Language Processing and Physical Robotics at the University of Sunderland and the University of Durham, and he holds a Master’s Degree in Economics and Financial Computing from the University of Calcutta.</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Dr. Salman Ahmad.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 Ahmad has served as the Chief Technology Officer of Rezolve since October 2017. Prior to joining Rezolve, he was the CTO and co-founder of Kenja Corp, an enterprise workflow platform, from 2011 to 2017. Prior to that, he was Engineering Director at Picsel Technologies from 2006 to 2011. Salman earned a First-Class Honours degree in computer science and a doctorate in 3D graphics and AI from Loughborough University.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Family Relationships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for Daniel Wagner, CEO and director, being the son of John Wagner, a non-executive director on the board of directors, there are no family relationships between any of the executive officers and directors.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Foreign Private Issuer Exemption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“foreign private issuer,” as defined by the SEC. As a result, in accordance with Nasdaq rules, we will comply with home country governance requirements and certain exemptions thereunder rather than complying with Nasdaq corporate governance standards. While we expect to voluntarily follow most Nasdaq corporate governance rules, we may choose to take advantage of certain limited exemptions, such as: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Exemption from filing quarterly reports on Form 10-Q containing unaudited financial and other specified information or current reports on Form 8-K upon the occurrence of specified significant events;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Exemption from Section 16 under the Exchange Act, which requires insiders to file public reports of their securities ownership and trading activities and provides for liability for insiders who profit from trades in a short period of time;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Exemption from the Nasdaq rules applicable to domestic issuers requiring disclosure within four business days of any determination to grant a waiver of the code of business conduct and ethics to directors and officers;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Exemption from the requirement to obtain shareholder approval for certain issuances of securities, including shareholder approval of share option plans;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Exemption from the requirement that our board have a compensation committee that is composed entirely of independent directors with a written charter addressing the committee’s purpose and responsibilities; and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Exemption from the requirements that director nominees are selected, or recommended for selection by our board, either by (i) independent directors constituting a majority of our board’s independent directors in a vote in which only independent directors participate, or (ii) a committee comprised solely of independent directors, and that a formal written charter or board resolution, as applicable, addressing the nominations process is adopted.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Nasdaq Rule 5615(a)(3) provides that a foreign private issuer, such as us,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We intend to comply with the Nasdaq corporate governance rules applicable to foreign private issuers, which means that we are permitted to follow certain corporate governance rules that conform to U.K. requirements in lieu of many of the Nasdaq corporate governance rules. Accordingly, our shareholders will not have the same protections afforded to shareholders of companies that are subject to all of the corporate governance requirements of Nasdaq. We may utilize these exemptions for as long as we continue to qualify as a foreign private issuer.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Controlled Company Exemption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Daniel Wagner, the Rezolve Founder and Chief Executive Officer controls 75% of the voting power of our outstanding capital stock. As a result, we are a “controlled company” within the meaning of the Nasdaq listing standards. Under these rules, a company of which more than 50% of the voting power is held by an individual, group or another company is a “controlled company” and may elect not to comply with certain corporate governance requirements, including:</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requirement that a majority of the board of directors consist of independent directors;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requirement that we have a compensation committee that is composed entirely of independent directors with a written charter addressing the committee’s purpose and responsibilities;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requirement that we have a nominating and corporate governance committee that is composed entirely of independent directors with a written charter addressing the committee’s purpose and responsibilities; and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requirement for an annual performance evaluation of the nominating and corporate governance and compensation committees.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that we cease to be a “controlled company” and our shares continue to be listed on the Nasdaq, we will be required to comply with these provisions within the applicable transition periods.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“foreign private issuer,” under the securities laws of the U.S. and the rules of Nasdaq. Under the applicable securities laws of the U.S., “foreign private issuers” are subject to different disclosure requirements than U.S. domiciled issuers. Under Nasdaq’s rules, a “foreign private issuer” is subject to less stringent corporate governance and compliance requirements and subject to certain exceptions, Nasdaq permits a “foreign private issuer” to follow its home country’s practice in lieu of the listing requirementsof Nasdaq. Accordingly, our shareholders may not receive the same protections afforded to shareholders of companies that are subject to all of Nasdaq’s corporate governance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are an “emerging growth company” as defined in the JOBS Act and have elected to comply with certain reduced public company reporting requirements.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Independence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Ordinary Shares and Public Warrants being listed on Nasdaq, we adhere to the rules of Nasdaq in determining whether a director is independent. Our board of directors has consulted, and will consult, with its counsel to ensure that our board of directors’ determinations are consistent with those rules and all relevant securities and other laws and regulations regarding the independence of directors. Nasdaq listing standards define an “independent director” as a person, other than an executive officer of a company or any other individual having a relationship which, in the opinion of the Rezolve Board, would interfere with the exercise of independent judgment in carrying out the responsibilities of a director. Our board of directors has determined that each of our directors, except for Daniel Wagner, John Wagner and Stephen Herbert, is independent.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Rezolve Board of Directors Composition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is comprised of eight directors (provided that Daniel Wagner has the right to appoint an additional director to the Board from time to time), five of whom qualify as independent directors as defined in the Nasdaq listing requirements. Daniel Wagner serves as the Chairman of the board of directors and Anthony Sharp serves as deputy Chairman.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Directors may be appointed and removed by an ordinary resolution of the shareholders. In addition, directors may be appointed either to fill a vacancy arising from the resignation of a former director or as an addition to the existing board by the affirmative vote of a simple majority of the directors present and voting at a board meeting. A director may be removed by a resolution passed by all of the other directors at a meeting of the directors, or by written notice from all of the other directors. Each of our directors holds office until he or she resigns or is vacated from office. There will be a three-year rotation pattern.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is divided into three classes serving staggered three year terms. Upon expiration of the term of a class of directors, directors in that class will be eligible to be elected for a new three-year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 Mr. Stephen Herbert is a Class I director and will serve until our annual meeting in 2025. Messrs. Anthony Sharp, Sir David Wright, Stephen Perry and Derek Smith, are Class II directors and will serve until our annual meeting in 2026. Messrs. Dan Wagner and John Wagner are Class III directors and will serve until our annual meeting in 2027.</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has determined that Anthony Sharp, Sir David Wright, Stephen Perry and Derek Smith would satisfy the general independence requirements under SEC and Nasdaq rules. Audit committee members must also satisfy the independence criteria set forth in Rule 10A-3 under the Exchange Act and the listing requirements of the Nasdaq.</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Role of Rezolve Board of Directors in Risk Oversight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of the key functions of our board of directors is informed oversight of our risk management process. Our board of directors does not have a standing risk management committee but our board of directors oversees risk management, and the various standing committees of the board of directors addresses risks inherent in their respective areas of oversight. In particular, the board of directors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 The audit committee also monitors compliance with legal and regulatory requirements. Our remuneration committee also assess and monitor whether our compensation plans, policies and programs comply with applicable legal and regulatory requirements.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Committees of the Rezolve Board of Directors</w:t>
      </w:r>
    </w:p>
    <w:p>
      <w:pPr>
        <w:pStyle w:val="TextBody"/>
        <w:bidi w:val="0"/>
        <w:spacing w:before="120" w:after="283"/>
        <w:jc w:val="left"/>
        <w:rPr>
          <w:rFonts w:ascii="Times New Roman" w:hAnsi="Times New Roman"/>
          <w:sz w:val="20"/>
        </w:rPr>
      </w:pPr>
      <w:r>
        <w:rPr>
          <w:rFonts w:ascii="Times New Roman" w:hAnsi="Times New Roman"/>
          <w:color w:val="000000"/>
          <w:sz w:val="20"/>
        </w:rPr>
        <w:t>Following the Closing, the board of directors established three standing committees: (i) an audit committee (the "</w:t>
      </w:r>
      <w:r>
        <w:rPr>
          <w:rFonts w:ascii="Times New Roman" w:hAnsi="Times New Roman"/>
          <w:b/>
          <w:i/>
          <w:color w:val="000000"/>
          <w:sz w:val="20"/>
        </w:rPr>
        <w:t>Audit Committee</w:t>
      </w:r>
      <w:r>
        <w:rPr>
          <w:rFonts w:ascii="Times New Roman" w:hAnsi="Times New Roman"/>
          <w:color w:val="000000"/>
          <w:sz w:val="20"/>
        </w:rPr>
        <w:t>"), (ii) a remuneration committee (the "</w:t>
      </w:r>
      <w:r>
        <w:rPr>
          <w:rFonts w:ascii="Times New Roman" w:hAnsi="Times New Roman"/>
          <w:b/>
          <w:i/>
          <w:color w:val="000000"/>
          <w:sz w:val="20"/>
        </w:rPr>
        <w:t>Remuneration Committee</w:t>
      </w:r>
      <w:r>
        <w:rPr>
          <w:rFonts w:ascii="Times New Roman" w:hAnsi="Times New Roman"/>
          <w:color w:val="000000"/>
          <w:sz w:val="20"/>
        </w:rPr>
        <w:t>"), and (iii) a nominating and corporate governance committee (the "</w:t>
      </w:r>
      <w:r>
        <w:rPr>
          <w:rFonts w:ascii="Times New Roman" w:hAnsi="Times New Roman"/>
          <w:b/>
          <w:i/>
          <w:color w:val="000000"/>
          <w:sz w:val="20"/>
        </w:rPr>
        <w:t>Nominating and Corporate Governance Committee</w:t>
      </w:r>
      <w:r>
        <w:rPr>
          <w:rFonts w:ascii="Times New Roman" w:hAnsi="Times New Roman"/>
          <w:color w:val="000000"/>
          <w:sz w:val="20"/>
        </w:rPr>
        <w:t>"). In addition, from time to time, special committees may be established under the direction of our board of directors when necessary to address specific issues.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Audit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Audit Committee is responsible for, among other things: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meeting with our independent registered accounting firm regarding, among other issues, audits, and adequacy of our accounting and control systems;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monitoring the independence of the independent registered public accounting firm;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verifying the rotation of the lead (or coordinating) audit partner having primary responsibility for the audit and the audit partner responsible for reviewing the audit as required by law;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inquiring and discussing with management our compliance with applicable laws and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pre-approving all audit services and permitted non-audit services to be performed by our independent registered public accounting firm, including the fees and terms of the services to be performed;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appointing or replacing the independent registered public accounting firm;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determining the compensation and oversight of the work of the independent registered public accounting firm (including resolution of disagreements between management and the independent registered public accounting firm regarding financial reporting) for the purpose of preparing or issuing an audit report or related work;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procedures for the receipt, retention and treatment of complaints received by us regarding accounting, internal accounting controls or reports which raise material issues regarding our financial statements or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our policies on risk assessment and risk management;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related person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Audit Committee consists of Anthony Sharp, Derek Smith and Sir David Wright, with Sir David Wright serving as the chair of the committee. Each of the directors who serves on the audit committee qualifies as an independent director according to the applicable rules and regulations of the SEC and Nasdaq with respect to audit committee membership. In addition, all of the audit committee members meet the requirements for financial literacy under applicable SEC and Nasdaq rules and at least one of the audit committee members will qualify as an “audit committee financial expert,” as such term is defined in Item 407(d) of Regulation S-K. Our board of directors has adopted written terms of reference for the Audit Committee, which are available on our website.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Remuneration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Remuneration Committee is responsible for, among other things: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approving the compensation of all of our other executive officers;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our executive compensation policies and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implementing and administering our incentive compensation equity-based remuneration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assisting management in complying with any disclosure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approving all special perquisites, special cash payments and other special compensation and benefit arrangements for our officers and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evaluating and recommending changes, if appropriate, to the remuneration for directors.;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retaining and overseeing any compensation consultants.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Remuneration Committee consists of Anthony Sharp and Steve Perry, with Steve Perry serving as the chair of the committee. Our board of directors has adopted a written terms of reference for the Remuneration Committee, which is available on our website.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Nominating and Corporate Governance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Nominating and Corporate Governance Committee is responsible for,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individuals qualified to become members of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recommending to our board of directors the persons to be nominated for election as directors and to each of the committees of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making recommendations to our board of directors with respect to our board leadership 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making recommendations to our board of directors with respect to management succession planning;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and recommending to our board of directors corporate governance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Nominating and Corporate Governance Committee consists of Daniel Wagner, Sir David Wright and Derek Smith, with Derek Smith serving as the chair of the committee. Our board of directors has adopted a written terms of reference for the Nominating and Corporate Governance Committee, which is available on our website.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Code of Ethics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has adopted a Code of Ethics applicable to our directors, executive officers and team members that complies with the rules and regulations of the SEC and Nasdaq. The Code of Ethics is available on our website.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Limitation on Liability and Indemnification of Officers and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English law limits in certain respects the extent to which a company’s memorandum and articles of association may provide for indemnification of officers and directors. Accordingly a provision will be void if it provides an indemnity against (i) any liability of the director to pay a fine imposed in criminal proceedings, or a sum payable to a regulatory authority as a penalty for non-compliance with a regulatory requirement or (ii) liability incurred by the director in defending criminal proceedings in which he is convicted, in defending civil proceedings brought by the company in which judgement is given against him or in connection with an application for relief in which the court refuses to grant him relief. Our amended and restated memorandum and articles of association provides for indemnification of our officers and directors to the maximum extent permitted by law, including for any liability incurred in their capacities as such, except through their own actual fraud, willful default or willful neglect. In addition, we have entered into indemnification agreements with each of our executive officers and directors. The indemnification agreements provide the indemnitees with contractual rights to indemnification, and expense advancement and reimbursement, to the fullest extent permitted under English law, subject to certain exceptions contained in those agreements. We have also purchased a policy of directors’ and officers’ liability insurance effective upon completion of the Business Combination that insures our officers and directors against the cost of defense, settlement or payment of a judgment in some circumstances and insures us against our obligations to indemnify our officers and directors.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Rezolve and its shareholders. Furthermore, a shareholder’s investment may be adversely affected to the extent we pay the costs of settlement and damage awards against its officers and directors pursuant to these indemnification provisions.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these provisions, the insurance and the indemnity agreements are necessary to attract and retain talented and experienced officers and directors.</w:t>
      </w:r>
    </w:p>
    <w:p>
      <w:pPr>
        <w:pStyle w:val="TextBody"/>
        <w:bidi w:val="0"/>
        <w:spacing w:before="240" w:after="283"/>
        <w:jc w:val="both"/>
        <w:rPr>
          <w:rFonts w:ascii="Times New Roman" w:hAnsi="Times New Roman"/>
          <w:sz w:val="20"/>
        </w:rPr>
      </w:pPr>
      <w:r>
        <w:rPr>
          <w:rFonts w:ascii="Times New Roman" w:hAnsi="Times New Roman"/>
          <w:color w:val="000000"/>
          <w:sz w:val="20"/>
        </w:rPr>
        <w:t>For further details on the indemnity provisions referred to in our articles of association, see the section entitled “</w:t>
      </w:r>
      <w:r>
        <w:rPr>
          <w:rFonts w:ascii="Times New Roman" w:hAnsi="Times New Roman"/>
          <w:i/>
          <w:color w:val="000000"/>
          <w:sz w:val="20"/>
        </w:rPr>
        <w:t>Description of Ordinary Shares and Articles of Association</w:t>
      </w:r>
      <w:r>
        <w:rPr>
          <w:rFonts w:ascii="Times New Roman" w:hAnsi="Times New Roman"/>
          <w:color w:val="000000"/>
          <w:sz w:val="20"/>
        </w:rPr>
        <w:t>” of this prospectus, and for a summary of the indemnification agreement, see the section entitled “</w:t>
      </w:r>
      <w:r>
        <w:rPr>
          <w:rFonts w:ascii="Times New Roman" w:hAnsi="Times New Roman"/>
          <w:i/>
          <w:color w:val="000000"/>
          <w:sz w:val="20"/>
        </w:rPr>
        <w:t>Indemnification Agreements with Officers and Directors</w:t>
      </w:r>
      <w:r>
        <w:rPr>
          <w:rFonts w:ascii="Times New Roman" w:hAnsi="Times New Roman"/>
          <w:color w:val="000000"/>
          <w:sz w:val="20"/>
        </w:rPr>
        <w: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Rezolve Executive Officer and Director Compensation</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The aggregate cash compensation paid by Rezolve and its subsidiaries to its executive officers and directors for the year ended December 31, 2024 was $2,164,680.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Rezolve Executive Officer and Director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cash compensation paid by Rezolve and its subsidiaries to its executive officers and directors for the year ended December 31, 2024 was $2,164,680.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Executive Officer and Director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Rezolve’s policies with respect to the compensation of its executive officers will be administered by its board of directors in consultation with the remuneration committee. The compensation decisions regarding Rezolve’s executives will be based on the need to attract individuals with the skills necessary for the company to achieve its business plan, to reward those individuals fairly over time, and to retain those individuals who continue to perform at or above the company’s expectations. To that end, following completion of the Business Combination, Rezolve intends to establish an executive compensation program that is competitive with other similarly-situated companies in its industry. This is expected to include establishment of base salary, cash annual bonus and long-term equity compensation awards that are, in each case, consistent with market practices and designed to incentivize, motivate and retain key employees.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Service Agreement with Daniel Wagner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Daniel Wagner is currently engaged as Rezolve’s Chief Executive Officer under a service agreement entered into on April 1, 2016. He is entitled to a base salary of £600,000 per annum. In addition to his base salary, he is entitled to participate in a bonus scheme, which may be paid from time to time at the discretion of the remuneration committee.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agreement may be terminated by either party on one year’s written notice or, immediately by us, in the event of default, which includes, but is not limited to circumstances in which, Mr. Wagner is disqualified from acting as a director, convicted of a criminal offence, declared bankrupt, found guilty of fraud or conducting gross misconduct. In the event of early termination not caused by an event of default, we may exercise our discretion to make a payment in lieu of notice to Mr. Wagner. The agreement includes certain restrictive covenants, and, upon termination, Mr. Wagner is restricted from becoming involved, directly or indirectly, with any business which is similar to or competitive with Rezolve, for a period of six months.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Service Agreement with Richard Burchill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Richard Burchill entered into a service agreement on September 6, 2021 with a commencement date of September 13, 2021. He is entitled to an initial salary of £220,000 per annum. In addition, Richard has been granted 979,186 options over Ordinary Shares exercisable at nominal value per share (the number of shares to be adjusted as a result of the Company Reorganization) which are exercisable on listing of the Company or three years from the date of execution of the agreement, whichever is the earlier.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first three months of the agreement, it could be terminated on one months’ notice. After the first three months, the agreement may be terminated by either party providing not less than three month’s written notice to the other party. The agreement can be terminated for cause by the Company with immediate effect for reasons including, but not limited to, if Mr. Burchill (i) is in breach of the Company’s corruption, bribery or related policies, (ii) is guilty of any gross misconduct affecting the business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 (iii) commits any serious or repeated breach, (iv) is negligent and incompetent, (v) is declared bankrupt, (vi) is convicted of any criminal offence or any insider dealing offence, (vii) ceases to be eligible to work in England, (viii) is guilty of fraud or dishonesty, (ix) is guilty of a serious breach of any rules issued by the Company regarding its electronic communications systems, or (x) is unable by reason of incapacity to perform his duties for 26 weeks in a 52 week period. The agreement contains various restrictive covenants for a period of three or four months after termination, depending on the restriction in question.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Non-executive Director Letters of Appointment (John Wagner, Anthony Sharp, Sir David Wright, Derek Smith, Stephen Perry, and Stephen Herbert)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Terms of non-executive director appointment letters (John Wagner, Anthony Sharp, Sir David Wright, Derek Smith, and Stephen Perry)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has entered into letters of appointment with the above named non-executive directors which provides each director with cash compensation of £75,000 per annum for service on our board of directors. The appointment of Rezolve’s non-executive directors is for an initial period of three years and can be terminated thereafter by either Rezolve or the director upon three calendar months’ written notice.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non-executive director appointment letters, Rezolve may also terminate each appointment with immediate effect and without notice including when the non-executive director is disqualified from acting as a director; is not re-elected as a director when the director submits himself or herself for re-election; vacates their office under Rezolve’s Articles; commits a material breach of his or her obligations under the letter of appointment and it is not remedied within 14 days of Rezolve specifying the breach and requiring its remedy; has been guilty of any fraud or dishonesty or acts in any manner which, in Rezolve’s opinion, brings or is likely to bring Rezolve into disrepute or is materially adverse to Rezolve’s interests.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Terms of non-executive director appointment letters (Stephen Herbert)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has entered into letters of appointment with the above named non-executive director on the same terms as set out above with the exception of the term of appointment and compensation, which will be for a period of one year with no cash compensation.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jc w:val="center"/>
        <w:rPr>
          <w:rFonts w:ascii="Times New Roman" w:hAnsi="Times New Roman"/>
          <w:b/>
          <w:caps/>
          <w:color w:val="000000"/>
          <w:sz w:val="20"/>
        </w:rPr>
      </w:pPr>
      <w:bookmarkStart w:id="17" w:name="certain_relationships_and_related_party"/>
      <w:bookmarkEnd w:id="17"/>
      <w:r>
        <w:rPr>
          <w:rFonts w:ascii="Times New Roman" w:hAnsi="Times New Roman"/>
          <w:b/>
          <w:caps/>
          <w:color w:val="000000"/>
          <w:sz w:val="20"/>
        </w:rPr>
        <w:t>CERTAIN RELATIONSHIPS AND RELATED PARTY TRANSACTIONS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Investor Rights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Closing, the Company entered into that certain Investor Rights Agreement with certain directors and officers and certain other parties identified therein (such persons, the “Holders”) (the “Investor Rights Agreement”). Pursuant to the terms of the Investor Rights Agreement, the Holders are entitled to certain piggyback registration rights and customary demand registration rights. The Investor Rights Agreement provides that the Company will, as soon as practicable, and in any event within 21 days after August 16, 2024, file with the SEC a shelf registration statement. The Company will use its commercially reasonable efforts to have such shelf registration statement declared effective as soon as practicable after the filing thereof, but no later than the 45th day (or the 5th day business after the Securities and Exchange Commission (the “SEC”) notifies the Company that it will “review” such shelf registration statement) following the filing deadline, in each case subject to the terms and conditions set forth therein; and the Company will not be subject to any form of monetary penalty for its failure to do so.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Investor Rights Agreement, subject to certain exceptions, the Holders agreed to not transfer or make any announcement of any intention to effect a transfer, in respect of the shares beneficially owned or otherwise held by the Holders prior to the termination of the applicable lock-up period, subject to certain customary exceptions, including: (i) transfers to permitted transferees upon written notice to the Company, such as a member of the person’s immediate family or to a trust, the beneficiary of which is a member of the person’s immediate family or an affiliate of such person; (ii) to a charitable organization upon written notice to the Company, by the laws of descent and distribution upon death, or pursuant to a qualified domestic relations order; and (iii) pursuant to any liquidation, merger, stock exchange or other similar transaction which results in all of the Company’s stockholders having the right to exchange Ordinary Shares for cash, securities, or other property.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Lock-In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Closing, the Company entered into separate Lock-In Agreements (the“Lock-In Agreements) with certain holders of the Company (such persons, the “Rezolve Holders”), pursuant to which the Ordinary Shares held by the Rezolve Holders will be locked-up and subject to transfer restrictions for 180 days following the Closing, subject to certain customary exceptions, including: (i) transfers to permitted transferees upon written notice to the Company, such as a member of the person’s immediate family or to a trust, the beneficiary of which is a member of the person’s immediate family or an affiliate of such person; (ii) to a charitable organization upon written notice to the Company, by the laws of descent and distribution upon death, or pursuant to a qualified domestic relations order; and (iii) pursuant to any liquidation, merger, stock exchange or other similar transaction which results in all of the Company’s stockholders having the right to exchange their Ordinary Shares for cash, securities, or other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Bluedot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4, 2025, the Company entered into the Bluedot Purchase Agreement, by and between the Company and DBLP Sea Cow Limited (a company incorporated in the Seychelles) (“DBLP”), pursuant to which the Company agreed to purchase, and DBLP agreed to sell, the entire issued and to be issued share capital of Bluedot.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20, 2025, Rezolve closed the Bluedot Acquisition. As consideration for the Bluedot Acquisition, Rezolve issued 819,737 ordinary shares of the Company in a private placement to DBLP.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DBLP is a related party and is wholly legally owned by Daniel Wagner and beneficially owned by John Wagner. Both Daniel Wagner and John Wagner are directors of DBLP.</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Relationship with Daniel Wagner</w:t>
      </w:r>
    </w:p>
    <w:p>
      <w:pPr>
        <w:pStyle w:val="TextBody"/>
        <w:bidi w:val="0"/>
        <w:spacing w:before="120" w:after="283"/>
        <w:jc w:val="left"/>
        <w:rPr>
          <w:rFonts w:ascii="Times New Roman" w:hAnsi="Times New Roman"/>
          <w:sz w:val="20"/>
        </w:rPr>
      </w:pPr>
      <w:r>
        <w:rPr>
          <w:rFonts w:ascii="Times New Roman" w:hAnsi="Times New Roman"/>
          <w:color w:val="000000"/>
          <w:sz w:val="20"/>
        </w:rPr>
        <w:t>We have debt outstanding to Daniel Wagner and DBLP Sea Cow Limited (a company incorporated in the Seychelles) (“</w:t>
      </w:r>
      <w:r>
        <w:rPr>
          <w:rFonts w:ascii="Times New Roman" w:hAnsi="Times New Roman"/>
          <w:i/>
          <w:color w:val="000000"/>
          <w:sz w:val="20"/>
        </w:rPr>
        <w:t>DBLP</w:t>
      </w:r>
      <w:r>
        <w:rPr>
          <w:rFonts w:ascii="Times New Roman" w:hAnsi="Times New Roman"/>
          <w:color w:val="000000"/>
          <w:sz w:val="20"/>
        </w:rPr>
        <w:t>”), which is wholly legally owned by Daniel Wagner and beneficially owned by John Wagner, in the amounts of $5,555,122 and $447,067, an aggregate of $6,002,189. The loans provided by DBLP were to provide liquidity to Rezolve. There are no formal loan documents in place and the loan is non-interest bearing and remains callable at any time. We expect the loan to be called and repaid in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 and DBLP entered into a rolling annual consultancy agreement dated November 1, 2016. Pursuant to the terms of the agreement, DBLP is to be paid between $20,000 and $50,000 each month of the agreement. The agreement is not limited in time but has a rolling minimum 12 calendar month period and shall continue for as long as Rezolve requires services from DBLP.</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Other amounts due to related parties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December 31, 2024, we have the $137,019 due to Arthur Yao and $17,433 due to Steve Perry. All of these outstanding amounts will be settled in 2025.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Indemnification Agreements with Officers and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Rezolve have entered into indemnification agreements with each of our directors and officers. The agreements provide the indemnitees with contractual rights to indemnification and expense advancement and reimbursement, to the fullest extent permitted under English law, subject to certain exceptions contained in those agreements. No indemnification, hold harmless or exoneration rights shall be available where the conduct of the indemnitee constitutes a breach of indemnitee’s fiduciary duties to the Company or its shareholders or is an act or omission not in good faith or which involves intentional misconduct or a knowing violation of the law.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Rezolve has also purchased a policy of directors’ and officers’ liability insurance that insures Rezolve’s officers and directors against the cost of defense, settlement or payment of a judgment in some circumstances and insures Rezolve against its obligations to indemnify its officers and directors. Rezolve shall not be obligated under the indemnification agreements to make any indemnification, advance expenses, hold harmless or exoneration payment in connection with any claim made against the indemnitee for which payment has actually been received by or on behalf of the indemnitee under any insurance policy or other indemnity or advancement provision, except with respect to any excess beyond the amount actually received under any insurance policy, contract, agreement, other indemnity or advancement provision or otherwise.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Policies and Procedures for Related Person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Rezolve board of directors has adopted a written related person transaction policy that sets forth the following policies and procedures for the review and approval or ratification of related person transactions. A “related person transaction” is a transaction, arrangement or relationship in which Rezolve or any of its subsidiaries was, is or will be a participant, the amount of which involved exceeds $120,000, and in which any related person had, has or will have a direct or indirect material interest. A “related person” means: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person who is, or at any time during the applicable period was, one of Rezolve’s executive officers or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person who is known by Rezolve to be the beneficial owner of more than 5% of Rezolve voting shares;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immediate family member of any of the foregoing persons, which means any child, stepchild, parent, stepparent, spouse, sibling, mother-in-law, father-in-law, son-in-law, daughter-in-law, brother in- law or sister-in-law of a director, executive officer or a beneficial owner of more than 5% of Rezolve’s voting shares, and any person (other than a tenant or employee) sharing the household of such director, executive officer or beneficial owner of more than 5% of Rezolve’s voting shares;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firm, corporation or other entity in which any of the foregoing persons is a partner or principal, or in a similar position, or in which such person has a 10% or greater beneficial ownership interest.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Rezolve has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will have the responsibility to review related party transactions.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t> </w:t>
      </w:r>
    </w:p>
    <w:p>
      <w:pPr>
        <w:pStyle w:val="TextBody"/>
        <w:bidi w:val="0"/>
        <w:spacing w:before="0" w:after="200"/>
        <w:jc w:val="center"/>
        <w:rPr>
          <w:rFonts w:ascii="Times New Roman" w:hAnsi="Times New Roman"/>
          <w:b/>
          <w:caps/>
          <w:color w:val="000000"/>
          <w:sz w:val="20"/>
        </w:rPr>
      </w:pPr>
      <w:bookmarkStart w:id="18" w:name="beneficial_ownership_of_securities"/>
      <w:bookmarkEnd w:id="18"/>
      <w:r>
        <w:rPr>
          <w:rFonts w:ascii="Times New Roman" w:hAnsi="Times New Roman"/>
          <w:b/>
          <w:caps/>
          <w:color w:val="000000"/>
          <w:sz w:val="20"/>
        </w:rPr>
        <w:t>BENEFICIAL OWNERSHIP OF SECURITIES</w:t>
      </w:r>
    </w:p>
    <w:p>
      <w:pPr>
        <w:pStyle w:val="TextBody"/>
        <w:bidi w:val="0"/>
        <w:jc w:val="left"/>
        <w:rPr>
          <w:rFonts w:ascii="Times New Roman" w:hAnsi="Times New Roman"/>
          <w:sz w:val="20"/>
        </w:rPr>
      </w:pPr>
      <w:r>
        <w:rPr>
          <w:rFonts w:ascii="Times New Roman" w:hAnsi="Times New Roman"/>
          <w:color w:val="000000"/>
          <w:sz w:val="20"/>
        </w:rPr>
        <w:t>The following table sets forth information relating to the beneficial ownership of our Ordinary Shares as of May 9, 2025</w:t>
      </w:r>
      <w:r>
        <w:rPr>
          <w:rFonts w:ascii="Times New Roman" w:hAnsi="Times New Roman"/>
          <w:color w:val="1F497D"/>
          <w:sz w:val="20"/>
        </w:rPr>
        <w:t xml:space="preserve"> </w:t>
      </w:r>
      <w:r>
        <w:rPr>
          <w:rFonts w:ascii="Times New Roman" w:hAnsi="Times New Roman"/>
          <w:color w:val="000000"/>
          <w:sz w:val="20"/>
        </w:rPr>
        <w:t>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person, or group of affiliated persons, known by us to beneficially own more than 5% of outstanding Ordinary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our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our directors and executive officers;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directors and executive officers as a group.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Ordinary Shares shown as beneficially owned by such person, except as otherwise indicated in the table or footnotes below. The Company’s major shareholders do not have different voting rights from other holders of Ordinary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percentage of Ordinary Shares beneficially owned is computed on the basis of 243,671,374 Ordinary Shares outstanding.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otherwise indicated, we believe that all persons named in the table below have sole voting and investment power with respect to all Ordinary Shares beneficially owned by them. To our knowledge, no Ordinary Shares beneficially owned by any executive officer, director or director nominee have been pledged as security.</w:t>
      </w:r>
    </w:p>
    <w:p>
      <w:pPr>
        <w:pStyle w:val="TextBody"/>
        <w:bidi w:val="0"/>
        <w:jc w:val="left"/>
        <w:rPr/>
      </w:pPr>
      <w:r>
        <w:rPr/>
        <w:t> </w:t>
      </w:r>
    </w:p>
    <w:tbl>
      <w:tblPr>
        <w:tblW w:w="7023" w:type="dxa"/>
        <w:jc w:val="left"/>
        <w:tblInd w:w="0" w:type="dxa"/>
        <w:tblLayout w:type="fixed"/>
        <w:tblCellMar>
          <w:top w:w="28" w:type="dxa"/>
          <w:left w:w="28" w:type="dxa"/>
          <w:bottom w:w="28" w:type="dxa"/>
          <w:right w:w="28" w:type="dxa"/>
        </w:tblCellMar>
      </w:tblPr>
      <w:tblGrid>
        <w:gridCol w:w="3826"/>
        <w:gridCol w:w="146"/>
        <w:gridCol w:w="170"/>
        <w:gridCol w:w="1210"/>
        <w:gridCol w:w="146"/>
        <w:gridCol w:w="346"/>
        <w:gridCol w:w="146"/>
        <w:gridCol w:w="146"/>
        <w:gridCol w:w="571"/>
        <w:gridCol w:w="316"/>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i/>
                <w:color w:val="000000"/>
                <w:sz w:val="16"/>
              </w:rPr>
              <w:t>Name of Beneficial Owners</w:t>
            </w:r>
            <w:r>
              <w:rPr>
                <w:rFonts w:ascii="Times New Roman" w:hAnsi="Times New Roman"/>
                <w:b/>
                <w:i/>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Directors and Executive Officers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Wagner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53,429,933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Wagner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49,554,221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Anthony Sharp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Sir David Wright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Perry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Derek Smith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Herbert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Vesco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Burchill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Sauvik Banerjee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directors and executive officers as a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58,893,222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Five Percent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DBLP Sea Cow Limited</w:t>
            </w:r>
            <w:r>
              <w:rPr>
                <w:rFonts w:ascii="Times New Roman" w:hAnsi="Times New Roman"/>
                <w:color w:val="000000"/>
                <w:sz w:val="13"/>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48,731,428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Igor Lychagov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35,843,258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Brooks Newmark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Brad Wickens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25,864,807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Aperion Investment Group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25,097,545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Less than one percent.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Unless otherwise indicated, the business address of each of the following owners is 21 Sackville Street, London, W1S 3DN, United Kingdom.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Includes (i) 4,698,505 shares directly held by Daniel Wagner; (ii) 37,052,254 shares directly held by DBLP Sea Cow Limited (“</w:t>
      </w:r>
      <w:r>
        <w:rPr>
          <w:rFonts w:ascii="Times New Roman" w:hAnsi="Times New Roman"/>
          <w:b/>
          <w:i/>
          <w:color w:val="000000"/>
          <w:sz w:val="20"/>
        </w:rPr>
        <w:t>DBLP</w:t>
      </w:r>
      <w:r>
        <w:rPr>
          <w:color w:val="000000"/>
        </w:rPr>
        <w:t>”</w:t>
      </w:r>
      <w:r>
        <w:rPr>
          <w:rFonts w:ascii="Times New Roman" w:hAnsi="Times New Roman"/>
          <w:color w:val="000000"/>
          <w:sz w:val="20"/>
        </w:rPr>
        <w:t xml:space="preserve">); and (iii) 11,679,174 shares issuable to DBLP upon conversion of certain options granted under Rezolve's Long Term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Incentive Plan ("LTIP"). DBLP is wholly legally owned by Mr. Wagner and Mr. Wagner is a director of DBLP and therefore Mr. Wagner may be deemed to share voting and investment power over the shares held by DBLP.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(i) 815,989 shares directly held by John Wagner; (ii) 2,835 Ordinary Shares issued upon conversion of the Promissory Note held by Mr. Wagner; (iii) 3,969 Ordinary Shares underlying the Private Warrants held by Mr. Wagner (iv) 37,052,254 shares directly held by DBLP; and (v) 11,679,174 shares issuable to DBLP upon conversion of certain options granted under the LTIP. DBLP is beneficially owned by Mr. John Wagner and Mr. John Wagner is a director of DBLP and therefore Mr. Wagner may be deemed to share voting and investment power over the shares held by DBLP.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1,879,352 Ordinary Shares; and (ii) 42,441 Ordinary Shares issued upon the conversion of the Advance Subscription made by Mr. Sharp. Excludes 15,850 Ordinary Shares underlying the Private Warrants held by Mr. Sharp.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564,935 Ordinary Shares; (ii) 110,000 Ordinary Shares issued upon the conversion of the Advance Subscription made by Mr. Perry; and (iii) 69,526 Ordinary Shares issued upon conversion of the Convertible Note held by Mr. Perry. Excludes (i) 34,395 Ordinary Shares issued upon conversion of the Promissory Note held by Mr. Perry; and (ii) 12,700 Ordinary Shares underlying the Private Warrants held by Mr. Perry.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33,334 Ordinary Shares issued upon the conversion of the Advance Subscription made by Mr. Smith.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1,142,384 Ordinary Shares and (ii) 11,249 Ordinary Shares issued upon the conversion of the Advance Subscription made by Mr. Vesco.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DBLP is wholly legally owned by Daniel Wagner and is wholly beneficially owned by John Wagner. Both Daniel Wagner and John Wagner are directors of DBLP.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(i) 37,052,254 Ordinary Shares; and (ii) 11,679,174 shares issuable to DBLP upon conversion of certain options granted under the LTIP. Excludes (i) 3,592,193 shares subject to a call option currently exercisable by Brad Wickens.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Includes (i) 34,649,207 Ordinary Shares; and (ii) 1,194,051 Ordinary Shares issued upon conversion of the Convertible Note held by Mr. Lychagov.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(i) 7,870,000 Ordinary Shares and (ii) 9,200,000 Ordinary Shares issued upon the conversion of the Advance Subscription made by Mr. Newmark.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Includes (i) 9,638,692 Ordinary Shares; (ii) 1,240,865 Ordinary Shares currently held by Apeiron on Mr. Wickens' behalf; (iii) 3,592,194 Ordinary Shares currently held by DBLP but subject to a call option currently exercisable by Mr. Wickens; (iv) 156,250 Ordinary Shares issued upon conversion of the Promissory Note held by Mr. Wickens; (iv) 333,333 Ordinary Shares issued upon the conversion of the Advance Subscription made by Mr. Wickens, (v) 62,500 Ordinary Shares underlying the Private Warrants held by Mr. Wickens; and (vi) 10,840,973 Ordinary Shares issued upon conversion of the Convertible Note held by Mr. Wickens.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(i) 10,712,645 Ordinary Shares, (ii) 333,333 Ordinary Shares issued upon conversion of the Advance Subscription made by Apeiron; (iii) 182,886 Ordinary Shares issuable upon potential conversion of the Promissory Note held by Apeiron; (iii) 62,500 Ordinary Shares underlying the Private Warrants held by Apeiron; and (iv) 13,806,181 Ordinary Shares issued upon conversion of the Convertible Note held by Apeiron. Excludes (i) 1,240,865 Ordinary Shares held by Apeiron on Brad Wickens' behalf.</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19" w:name="description_of_ordinary_shares_articles"/>
      <w:bookmarkEnd w:id="19"/>
      <w:r>
        <w:rPr>
          <w:rFonts w:ascii="Times New Roman" w:hAnsi="Times New Roman"/>
          <w:b/>
          <w:color w:val="000000"/>
          <w:sz w:val="20"/>
        </w:rPr>
        <w:t>DESCRIPTION OF ORDINARY SHARES, ARTICLES OF</w:t>
      </w:r>
    </w:p>
    <w:p>
      <w:pPr>
        <w:pStyle w:val="TextBody"/>
        <w:bidi w:val="0"/>
        <w:jc w:val="center"/>
        <w:rPr>
          <w:rFonts w:ascii="Times New Roman" w:hAnsi="Times New Roman"/>
          <w:b/>
          <w:color w:val="000000"/>
          <w:sz w:val="20"/>
        </w:rPr>
      </w:pPr>
      <w:r>
        <w:rPr>
          <w:rFonts w:ascii="Times New Roman" w:hAnsi="Times New Roman"/>
          <w:b/>
          <w:color w:val="000000"/>
          <w:sz w:val="20"/>
        </w:rPr>
        <w:t>ASSOCIATION AND CERTAIN LEGAL CONSIDERATIONS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Introduction</w:t>
      </w:r>
    </w:p>
    <w:p>
      <w:pPr>
        <w:pStyle w:val="TextBody"/>
        <w:bidi w:val="0"/>
        <w:spacing w:before="120" w:after="283"/>
        <w:jc w:val="both"/>
        <w:rPr>
          <w:rFonts w:ascii="Times New Roman" w:hAnsi="Times New Roman"/>
          <w:sz w:val="20"/>
        </w:rPr>
      </w:pPr>
      <w:r>
        <w:rPr>
          <w:rFonts w:ascii="Times New Roman" w:hAnsi="Times New Roman"/>
          <w:color w:val="000000"/>
          <w:sz w:val="20"/>
        </w:rPr>
        <w:t>Set forth below is (i) a summary of certain information concerning Rezolve’s share capital, (ii) a description of certain provisions of Rezolve’s articles of association (the “</w:t>
      </w:r>
      <w:r>
        <w:rPr>
          <w:rFonts w:ascii="Times New Roman" w:hAnsi="Times New Roman"/>
          <w:b/>
          <w:i/>
          <w:color w:val="000000"/>
          <w:sz w:val="20"/>
        </w:rPr>
        <w:t>Articles</w:t>
      </w:r>
      <w:r>
        <w:rPr>
          <w:rFonts w:ascii="Times New Roman" w:hAnsi="Times New Roman"/>
          <w:color w:val="000000"/>
          <w:sz w:val="20"/>
        </w:rPr>
        <w:t>”), and (iii) a summary of relevant provisions of the UK Companies Act 2006 (as amended) (the “</w:t>
      </w:r>
      <w:r>
        <w:rPr>
          <w:rFonts w:ascii="Times New Roman" w:hAnsi="Times New Roman"/>
          <w:b/>
          <w:i/>
          <w:color w:val="000000"/>
          <w:sz w:val="20"/>
        </w:rPr>
        <w:t>UK Companies Act</w:t>
      </w:r>
      <w:r>
        <w:rPr>
          <w:rFonts w:ascii="Times New Roman" w:hAnsi="Times New Roman"/>
          <w:color w:val="000000"/>
          <w:sz w:val="20"/>
        </w:rPr>
        <w: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prospectus forms a part.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Description of Ordinary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Ordinary Shares comprise a single class of ordinary shares with a nominal value of £0.0001 each.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information is a summary of Ordinary Shares: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Ordinary Shares carry the right to receive dividends and distributions paid by Rezolve, if any.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holders of Ordinary Shares have the right to receive notice of, and to attend and vote at, all Rezolve’s general meetings provided that the aggregate number of votes attaching to all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Subject to the UK Companies Act, any equity securities issued by Rezolve for cash must first be offered to Rezolve shareholders in proportion to their existing holdings of Ordinary Shares.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UK Companies Act allows for the disapplication of pre-emption rights, which may be waived by a special resolution of not less than three quarters of Rezolve shareholders, either generally or specifically, for a maximum period not exceeding five years.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Ordinary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pStyle w:val="TextBody"/>
        <w:bidi w:val="0"/>
        <w:spacing w:before="240" w:after="283"/>
        <w:jc w:val="both"/>
        <w:rPr>
          <w:rFonts w:ascii="Times New Roman" w:hAnsi="Times New Roman"/>
          <w:sz w:val="20"/>
        </w:rPr>
      </w:pPr>
      <w:r>
        <w:rPr>
          <w:rFonts w:ascii="Times New Roman" w:hAnsi="Times New Roman"/>
          <w:color w:val="000000"/>
          <w:sz w:val="20"/>
        </w:rPr>
        <w:t>Rezolve may convert Ordinary Shares into deferred shares of £0.0001 each (or other nominal value) in the capital of Rezolve (the “</w:t>
      </w:r>
      <w:r>
        <w:rPr>
          <w:rFonts w:ascii="Times New Roman" w:hAnsi="Times New Roman"/>
          <w:b/>
          <w:i/>
          <w:color w:val="000000"/>
          <w:sz w:val="20"/>
        </w:rPr>
        <w:t>Deferred Shares</w:t>
      </w:r>
      <w:r>
        <w:rPr>
          <w:rFonts w:ascii="Times New Roman" w:hAnsi="Times New Roman"/>
          <w:color w:val="000000"/>
          <w:sz w:val="20"/>
        </w:rPr>
        <w:t>”) in certain limited circumstances or issue Deferred Shares. The Deferred Shares have no rights to vote and do not entitle their holder to receive any 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at any time an employee or consultant (other than the Rezolve Founder) ceases to be an employee or consultant of or to Rezolve or any subsidiary (such that he or she is neither an employee or consultant of or to Rezolve or any subsidiary), then unless the board of directors of Rezolve resolves otherwise with the written consent of the Rezolve Founder, all the Ordinary Shares held by such holder and/or his permitted transferees shall automatically convert into Deferred Shares (on the basis of one Deferred Share for each Rezolve Share held) on the date of such cessation (rounded down to the nearest whole share).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Share Register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 limited, or no, information regarding the ultimate beneficial owners of Rezolve’s Ordinary Shares. Rezolve’s share register is maintained by its registrar, Computershare Inc.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Rezolve, any of its shareholders or any other affected person may apply to the court for rectification of the share register if:</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name of any person, without sufficient cause, is wrongly entered in or omitted from Rezolve’s register of shareholders; or</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Public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whole Public Warrant entitles the holder to purchase one Ordinary Share at a price of $11.50 per share subject to adjustment as discussed below. The Public Warrants will become exercisable 30 days after the Closing Date and terminating at 5:00pm New York City time on the earlier to occur of (i) five years from the consummation of the Business Combination, (ii) the date on which the warrants are redeemed, and (iii) the liquidation of Rezolve, provided in each case that Rezolve has an effective registration statement under the Securities Act covering the Ordinary Shares issuable upon exercise of the warrants and a current prospectus relating to them is available and such shares are registered, qualified or exempt from registration under the securities, or blue sky laws of the state of residence of the holder.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an Ordinary Share upon exercise of a warrant unless the Ordinary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agreed that as soon as practicable after the closing of the Business Combination, we will use our best efforts to file with the SEC a registration statement for the registration, under the Securities Act, of the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which will then apply to the Public Warrants.</w:t>
      </w:r>
    </w:p>
    <w:p>
      <w:pPr>
        <w:pStyle w:val="TextBody"/>
        <w:bidi w:val="0"/>
        <w:spacing w:before="240" w:after="283"/>
        <w:jc w:val="both"/>
        <w:rPr>
          <w:rFonts w:ascii="Times New Roman" w:hAnsi="Times New Roman"/>
          <w:sz w:val="20"/>
        </w:rPr>
      </w:pPr>
      <w:r>
        <w:rPr>
          <w:rFonts w:ascii="Times New Roman" w:hAnsi="Times New Roman"/>
          <w:i/>
          <w:color w:val="000000"/>
          <w:sz w:val="20"/>
        </w:rPr>
        <w:t>Redemption of Public Warrants when the price per Ordinary Share equals or exceeds $18.00.</w:t>
      </w:r>
      <w:r>
        <w:rPr>
          <w:rFonts w:ascii="Times New Roman" w:hAnsi="Times New Roman"/>
          <w:color w:val="000000"/>
          <w:sz w:val="20"/>
        </w:rPr>
        <w:t xml:space="preserve"> Once the warrants become exercisable, we may redeem the outstanding warrants (subject to any restrictions under the UK Companies Act):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whole and not in part;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at a price of $0.01 per warrant;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upon a minimum of 30 days’ prior written notice of redemption;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if, and only if, the closing price of the Ordinary Shares equals or exceeds $18.00 per share (as adjusted for share sub-divisions, share capitalizations, reorganizations, recapitalizations and the like) for any 20 trading days within a 30-trading day period ending three business days before we send the notice of redemption to the warrant 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and when the warrants become redeemable the redemption right may be exercised even if it is not possible to register or qualify the underlying securities for sale under all applicable state securities laws. The last of the redemption criterion discussed above has been included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share sub-divisions, share capitalizations, reorganizations, recapitalizations and the like) as well as the $11.50 warrant exercise price after the redemption notice is issued.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 fractional Ordinary Shares will be issued upon exercise. If, upon exercise, a holder would be entitled to receive a fractional interest in a share, we will round down to the nearest whole number of Ordinary Shares to be issued to the holder. If, at the time of redemption, the warrants are exercisable for a security other than the Ordinary Shares pursuant to the applicable Warrant Agreement, the warrants may be exercised for such security. At such time as the warrants become exercisable for a security other than the Ordinary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Shares, Rezolve (or surviving company) will use its commercially reasonable efforts to register under the Securities Act the security issuable upon the exercise of the warrants.</w:t>
      </w:r>
    </w:p>
    <w:p>
      <w:pPr>
        <w:pStyle w:val="TextBody"/>
        <w:bidi w:val="0"/>
        <w:spacing w:before="240" w:after="283"/>
        <w:jc w:val="both"/>
        <w:rPr>
          <w:rFonts w:ascii="Times New Roman" w:hAnsi="Times New Roman"/>
          <w:sz w:val="20"/>
        </w:rPr>
      </w:pPr>
      <w:r>
        <w:rPr>
          <w:rFonts w:ascii="Times New Roman" w:hAnsi="Times New Roman"/>
          <w:i/>
          <w:color w:val="000000"/>
          <w:sz w:val="20"/>
        </w:rPr>
        <w:t>Holder Election to Limit Exercise</w:t>
      </w:r>
      <w:r>
        <w:rPr>
          <w:rFonts w:ascii="Times New Roman" w:hAnsi="Times New Roman"/>
          <w:color w:val="000000"/>
          <w:sz w:val="20"/>
        </w:rPr>
        <w:t>. 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(as specified by the holder) of the Ordinary Shares outstanding immediately after giving effect to such exercise.</w:t>
      </w:r>
    </w:p>
    <w:p>
      <w:pPr>
        <w:pStyle w:val="TextBody"/>
        <w:bidi w:val="0"/>
        <w:spacing w:before="240" w:after="283"/>
        <w:jc w:val="both"/>
        <w:rPr>
          <w:rFonts w:ascii="Times New Roman" w:hAnsi="Times New Roman"/>
          <w:sz w:val="20"/>
        </w:rPr>
      </w:pPr>
      <w:r>
        <w:rPr>
          <w:rFonts w:ascii="Times New Roman" w:hAnsi="Times New Roman"/>
          <w:i/>
          <w:color w:val="000000"/>
          <w:sz w:val="20"/>
        </w:rPr>
        <w:t>Anti-Dilution Adjustments</w:t>
      </w:r>
      <w:r>
        <w:rPr>
          <w:rFonts w:ascii="Times New Roman" w:hAnsi="Times New Roman"/>
          <w:color w:val="000000"/>
          <w:sz w:val="20"/>
        </w:rPr>
        <w:t>. If the number of outstanding Ordinary Shares is increased by a stock dividend payable in Ordinary Shares, or by a split up of common stock or other similar event, then, on the effective date of such share capitalization, sub-division or similar event, the number of Ordinary Shares issuable on exercise of each warrant will be increased in proportion to such increase in the outstanding shares of common stock. A rights offering made to all or substantially all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ten (10) trading day period ending on the trading day prior to the first date on which the Ordinary Shares trade on the applicable exchange or in the applicable market, regular way, without the right to receive such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number of outstanding Ordinary Shares is decreased by a consolidation, combination, reverse stock split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outstanding Ordinary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case of any reclassification or reorganization of the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Articles of Association of Rezolve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information is a summary of the material terms of the Ordinary Shares as specified in the Articles. The following summary does not purport to be complete and is qualified in its entirety by reference to the Articles.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Share rights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Subject to the UK Companies Act, any share may be issued which is to be redeemed or is to be liable to be redeemed at the option of Rezolve or the holder, on such terms, conditions and in such manner as Rezolve’s board of directors may determine.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Voting rights and quorum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Subject as provided below and to any rights or restrictions attached to any shares from time to time, every member who is present in person or by a duly appointed proxy at a general meeting shall on a poll have one vote for each share of which he or she is the holder.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aggregate number of votes attaching to all the shares held by Daniel Wagner as the “Rezolve Founder” or in which he is interested shall be equal to the higher of:</w:t>
      </w:r>
    </w:p>
    <w:p>
      <w:pPr>
        <w:pStyle w:val="TextBody"/>
        <w:bidi w:val="0"/>
        <w:jc w:val="both"/>
        <w:rPr>
          <w:rFonts w:ascii="Times New Roman" w:hAnsi="Times New Roman"/>
          <w:color w:val="000000"/>
          <w:sz w:val="20"/>
        </w:rPr>
      </w:pPr>
      <w:r>
        <w:rPr>
          <w:rFonts w:ascii="Times New Roman" w:hAnsi="Times New Roman"/>
          <w:color w:val="000000"/>
          <w:sz w:val="20"/>
        </w:rPr>
        <w:t>(i)75% of the votes attaching to all shares in the capital of the Company; and</w:t>
      </w:r>
    </w:p>
    <w:p>
      <w:pPr>
        <w:pStyle w:val="TextBody"/>
        <w:bidi w:val="0"/>
        <w:jc w:val="both"/>
        <w:rPr>
          <w:rFonts w:ascii="Times New Roman" w:hAnsi="Times New Roman"/>
          <w:color w:val="000000"/>
          <w:sz w:val="20"/>
        </w:rPr>
      </w:pPr>
      <w:r>
        <w:rPr>
          <w:rFonts w:ascii="Times New Roman" w:hAnsi="Times New Roman"/>
          <w:color w:val="000000"/>
          <w:sz w:val="20"/>
        </w:rPr>
        <w:t>(ii)the total number of votes that would otherwise have been conferred on Daniel Wagner.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Restrictions on Voting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Variation of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rights attached to any class of shares may be varied in accordance with the provisions of the UK Companies Act and with either the written consent of the holders of not less than three-quarters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Share transfers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Ordinary Shares are in registered form. Any Ordinary Shares may be held in uncertificated form.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 of a partly paid share provided that any refusal does not prevent open and proper dealings of any class of shares which are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transferor of an ordinary share is deemed to remain the holder until the transferee’s name is entered in the share register.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dividends on shares are to be paid according to the amounts paid up on their nominal value, or otherwise in accordance with the terms concerning entitlement to dividends on which shares were issued.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unclaimed dividends may be made use of by Rezolve’s board of directors for Rezolve’s benefit until claimed.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dividend unclaimed for a period of 10 years from the date when it was declared or became due for payment shall revert to Rezolve.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Rezolve’s board of directors may, by way of ordinary resolution (being a resolution passed by a simple majority of votes of Rezolve shareholders in person or by proxy), from time to time offer any holders of a particular class of shares the right to elect to receive further fully paid shares of that class by way of scrip dividend instead of cash in respect of any dividend.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Shareholder meetings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voting rights of each member at a general meeting are as set out under the heading “Voting Rights and Quorum” above.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Alteration of share capital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Rezolve may agree with any member terms and conditions upon which all or any part of the Ordinary Shares held by such member from time to time shall be automatically converted into deferred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 of Control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is no specific provision in the articles of association that would have the effect of delaying, deferring or preventing a change of control. Our board will be divided into three classes serving staggered three-year terms with the first class being eligible for re-election at the annual general meeting of Rezolve held in 2025, the second class being eligible for re-election at the annual general meeting of Rezolve held in 2026 and the third class being eligible for re-election at the annual general meeting of Rezolve held in 2027. The Board may remove any directors appointed by Armada from 12 months after Closing.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Distributions on Winding Up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Directors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Number of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Unless and until otherwise determined by an ordinary resolution of shareholders, Rezolve may not have less than three directors and there shall be no maximum number of persons permitted to sit on the board of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Rezolve’s board is divided into three classes serving staggered three-year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Any directors appointed by Armada may be removed by Rezolve’s board of directors after the initial 12 months following the Closing Date.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Appointment of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Subject to the provisions of the articles of association Rezolve may, by ordinary resolution of the shareholders, elect any person who is willing to act to be a director, either to fill a casual vacancy or as an 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w:t>
      </w:r>
    </w:p>
    <w:p>
      <w:pPr>
        <w:pStyle w:val="TextBody"/>
        <w:bidi w:val="0"/>
        <w:spacing w:before="240" w:after="283"/>
        <w:jc w:val="both"/>
        <w:rPr>
          <w:rFonts w:ascii="Times New Roman" w:hAnsi="Times New Roman"/>
          <w:sz w:val="20"/>
        </w:rPr>
      </w:pPr>
      <w:r>
        <w:rPr>
          <w:rFonts w:ascii="Times New Roman" w:hAnsi="Times New Roman"/>
          <w:color w:val="000000"/>
          <w:sz w:val="20"/>
        </w:rPr>
        <w:t>At the end of the period of 12 months after his appointment or from when the Sponsor group ceases to beneficially own any Ordinary Shares, if earlier, the Board may remove any of the two directors nominated by the Sponsor group and the independent director mutually determined by the nomination committee of the Board and the Sponsor group</w:t>
      </w:r>
      <w:r>
        <w:rPr>
          <w:rFonts w:ascii="Times New Roman" w:hAnsi="Times New Roman"/>
          <w:i/>
          <w:color w:val="000000"/>
          <w:sz w:val="20"/>
        </w:rPr>
        <w: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Retirement of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retiring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Directors’ Interests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Subject to the requirements of the UK Companies Act, a director who is any way, whether directly or indirectly, interested in a proposed or existing transaction or arrangement with Rezolve shall declare the nature of his interest at a meeting of the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 their voting or would have been agreed to without their voting. Such authorization is subject to any limitations imposed by the directors and is liable to be varied or revoked at any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director shall be entitled to vote (and be counted in the quorum) in respect of any resolution concerning any of the following matters: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any contract, transaction or arrangement in which the director is interested by virtue of an interest in shares, debentures or other securities of Rezolve or any of its subsidiary undertakings;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indemnification by Rezolve in relation to the performance of the director’s duties on behalf of the Company or any of its subsidiary undertakings;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any transaction or arrangement concerning another company in which the director does not hold, directly or indirectly, an interest representing one per cent or more of any class of the equity share capital of such company;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any arrangement for the benefit of employees of Rezolve or of any of its subsidiary undertakings which does not accord to the director any privilege or benefit not generally accorded to the employees to whom the contract or arrangement relates;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purchase or maintenance of insurance either for or for the benefit of any director or for persons who include directors.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 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Subject to the UK Companies Act, the Company may, by ordinary resolution, suspend the above provisions to any extent or ratify any transaction or arrangement not duly authorized by reason of a contravention of these provisions.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Directors’ Fees and Remuneration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Special remuneration may be granted to any director who performs any special or extra services to, or at the request of, Rezolve, to be paid by way of lump sum, salary, commission, participation in profits or otherwise as the Rezolve board of directors may decide.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Each director may be paid all proper and reasonable expenses incurred in the discharge of the director’s duties, including attending and returning from meetings of the directors or committees of the directors or general meetings of Rezolve.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Borrowing Powers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Indemnity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Other English Law Considerations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Mandatory Purchases and Acquisitions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 acquire, those shares on the same terms as the general offer. The offeror would do so by sending a notice to the outstanding minority shareholders telling them that it will compulsorily acquire their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Sell Out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 bought out that is not less than three months after the end of the acceptance period. If a shareholder exercises his, her or its rights to be bought out, the offeror is required to acquire those shares on the terms of this offer or on such other terms as may be agreed.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Disclosure of Interest in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Articles, if a person defaults in supplying Rezolve with the required particulars in relation to the shares in question, or default shares, within the prescribed period of 14 days from the date of the service of notice, the directors may by notice direct that: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respect of the default shares, the relevant shareholder shall not be entitled to vote (either in person or by proxy) at any general meeting or to exercise any other right conferred by a shareholding in relation to general meetings;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Purchase of Own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specify the maximum number of shares authorized to be acquired;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determine the maximum and minimum prices that may be paid for the shares;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specify a date, not being later than five years after the passing of the resolution, on which the authority to purchase is to expire.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Rezolve may purchase its own fully paid shares in an “off-market” purchase otherwise than on a recognized investment exchange pursuant to a purchase contract authorized by resolution of shareholders before the 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Distributions and Dividends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not sufficient that Rezolve, once re-registered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at the time that the distribution is made, the amount of its net assets (that is, the total excess of assets over liabilities) is not less than the total of its called-up share capital and undistributable reserves;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if, and to the extent that, the distribution itself, at the time that it is made, does not reduce the amount of the net assets to less than that total.</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Anti-Money Laundering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Enforceability of Civil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Data Protection - United Kingdom</w:t>
      </w:r>
    </w:p>
    <w:p>
      <w:pPr>
        <w:pStyle w:val="TextBody"/>
        <w:bidi w:val="0"/>
        <w:spacing w:before="120" w:after="283"/>
        <w:jc w:val="left"/>
        <w:rPr>
          <w:rFonts w:ascii="Times New Roman" w:hAnsi="Times New Roman"/>
          <w:sz w:val="20"/>
        </w:rPr>
      </w:pPr>
      <w:r>
        <w:rPr>
          <w:rFonts w:ascii="Times New Roman" w:hAnsi="Times New Roman"/>
          <w:color w:val="000000"/>
          <w:sz w:val="20"/>
        </w:rPr>
        <w:t>Rezolve has certain duties under the General Data Protection Regulation (as implemented in the UK) and the Data Protection Act 2018 (“</w:t>
      </w:r>
      <w:r>
        <w:rPr>
          <w:rFonts w:ascii="Times New Roman" w:hAnsi="Times New Roman"/>
          <w:b/>
          <w:i/>
          <w:color w:val="000000"/>
          <w:sz w:val="20"/>
        </w:rPr>
        <w:t>UK GDPR</w:t>
      </w:r>
      <w:r>
        <w:rPr>
          <w:rFonts w:ascii="Times New Roman" w:hAnsi="Times New Roman"/>
          <w:color w:val="000000"/>
          <w:sz w:val="20"/>
        </w:rPr>
        <w:t>”) based on internationally accepted principles of data privacy.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Privacy Notice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Introduction</w:t>
      </w:r>
    </w:p>
    <w:p>
      <w:pPr>
        <w:pStyle w:val="TextBody"/>
        <w:bidi w:val="0"/>
        <w:spacing w:before="120" w:after="283"/>
        <w:jc w:val="both"/>
        <w:rPr>
          <w:rFonts w:ascii="Times New Roman" w:hAnsi="Times New Roman"/>
          <w:sz w:val="20"/>
        </w:rPr>
      </w:pPr>
      <w:r>
        <w:rPr>
          <w:rFonts w:ascii="Times New Roman" w:hAnsi="Times New Roman"/>
          <w:color w:val="000000"/>
          <w:sz w:val="20"/>
        </w:rPr>
        <w:t>All shareholders in Rezolve will provide the Company with certain information which constitutes personal data within the meaning of the UK GDPR (“</w:t>
      </w:r>
      <w:r>
        <w:rPr>
          <w:rFonts w:ascii="Times New Roman" w:hAnsi="Times New Roman"/>
          <w:b/>
          <w:i/>
          <w:color w:val="000000"/>
          <w:sz w:val="20"/>
        </w:rPr>
        <w:t>personal data</w:t>
      </w:r>
      <w:r>
        <w:rPr>
          <w:rFonts w:ascii="Times New Roman" w:hAnsi="Times New Roman"/>
          <w:color w:val="000000"/>
          <w:sz w:val="20"/>
        </w:rPr>
        <w:t>”). In the following discussion, the “Company” refers to Rezolve and its affiliates and/or delegates, except where the context requires otherwise.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Investor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Rezolve will collect, use, disclose, retain and secure personal data to the extent reasonably required only and within the parameters that could be reasonably expected during the normal course of business. Rezolve will only 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its use of this personal data, Rezolve will be characterized as a “data controller” for the purposes of the UK GDPR, while its affiliates and service providers who may receive this personal data from Rezolve in the conduct of its activities may either act as our “data processors” for the purposes of the UK GDPR or may process personal information for their own lawful purposes in connection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 services provided to Rezolve. Rezolve will ensure it has appropriate contractual agreements in place with any processors to ensure the protection of any shared personal data.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Rezolve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Who this Affects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How Rezolve May Use a Member’s Personal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as the data controller, may collect, store and use personal data for lawful purposes, including, in particular:</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where this is necessary for the performance of its rights and obligations under any purchase agreements;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where this is necessary for compliance with a legal and regulatory obligation to which the company is subject (such as compliance with anti-money laundering and FATCA/CRS requirements); and/or</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where this is necessary for the purposes of our legitimate interests and such interests are not overridden by your interests, fundamental rights or freedoms.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Should Rezolve wish to use personal data for other specific purposes (including, if applicable, any purpose that requires your consent), it will contact you.</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Why Rezolve May Share Your Personal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Rezolve may share your personal data with our affiliates for any of the purposes described in this privacy notice.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International Data Transfers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Where any personal data is transferred internationally, Rezolve will take reasonable steps to ensure that a safe transfer mechanism is in place to protect the personal data in question, such as Standard Contractual Clauses approved by the European Commission or the UK government.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The Data Protection Measures Rezolve Takes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Retention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take measures to delete your personal data or keep it in a form that does not permit identifying you when this personal data is no longer necessary for the purposes for which we process it, unless we are required by law to keep this personal data for a longer period. When we process personal data for our own purposes, we determine the retention period taking into account various criteria, such as the nature and length of our relationship with you, and mandatory retention periods provided by law and the statute of limitations.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bookmarkStart w:id="20" w:name="description_securities_we_are_offering"/>
      <w:bookmarkEnd w:id="20"/>
      <w:r>
        <w:rPr>
          <w:rFonts w:ascii="Times New Roman" w:hAnsi="Times New Roman"/>
          <w:b/>
          <w:color w:val="000000"/>
          <w:sz w:val="20"/>
        </w:rPr>
        <w:t>DESCRIPTION OF SECURITIES WE ARE OFFERING</w:t>
      </w:r>
    </w:p>
    <w:p>
      <w:pPr>
        <w:pStyle w:val="TextBody"/>
        <w:bidi w:val="0"/>
        <w:jc w:val="both"/>
        <w:rPr>
          <w:rFonts w:ascii="Times New Roman" w:hAnsi="Times New Roman"/>
          <w:b/>
          <w:color w:val="000000"/>
          <w:sz w:val="20"/>
        </w:rPr>
      </w:pPr>
      <w:r>
        <w:rPr>
          <w:rFonts w:ascii="Times New Roman" w:hAnsi="Times New Roman"/>
          <w:b/>
          <w:color w:val="000000"/>
          <w:sz w:val="20"/>
        </w:rPr>
        <w:t>Offering Warrants</w:t>
      </w:r>
    </w:p>
    <w:p>
      <w:pPr>
        <w:pStyle w:val="TextBody"/>
        <w:bidi w:val="0"/>
        <w:jc w:val="both"/>
        <w:rPr>
          <w:rFonts w:ascii="Times New Roman" w:hAnsi="Times New Roman"/>
          <w:color w:val="000000"/>
          <w:sz w:val="20"/>
        </w:rPr>
      </w:pPr>
      <w:r>
        <w:rPr>
          <w:rFonts w:ascii="Times New Roman" w:hAnsi="Times New Roman"/>
          <w:color w:val="000000"/>
          <w:sz w:val="20"/>
        </w:rPr>
        <w:t>The following is a summary of certain terms and provisions of the Offering Warrants that are being offered hereby and is not complete and is subject to, and qualified in its entirety by, the provisions of the Offering Warrants, the form of which is filed as an exhibit to the registration statement of which this prospectus forms a part. Prospective investors should carefully review the terms and provisions of the form of Offering Warrants for a complete description of the terms and conditions of the Offering Warrants.</w:t>
      </w:r>
    </w:p>
    <w:p>
      <w:pPr>
        <w:pStyle w:val="TextBody"/>
        <w:bidi w:val="0"/>
        <w:jc w:val="both"/>
        <w:rPr>
          <w:rFonts w:ascii="Times New Roman" w:hAnsi="Times New Roman"/>
          <w:i/>
          <w:color w:val="000000"/>
          <w:sz w:val="20"/>
        </w:rPr>
      </w:pPr>
      <w:r>
        <w:rPr>
          <w:rFonts w:ascii="Times New Roman" w:hAnsi="Times New Roman"/>
          <w:i/>
          <w:color w:val="000000"/>
          <w:sz w:val="20"/>
        </w:rPr>
        <w:t>Duration and Exercise Price</w:t>
      </w:r>
    </w:p>
    <w:p>
      <w:pPr>
        <w:pStyle w:val="TextBody"/>
        <w:bidi w:val="0"/>
        <w:jc w:val="left"/>
        <w:rPr>
          <w:rFonts w:ascii="Times New Roman" w:hAnsi="Times New Roman"/>
          <w:color w:val="000000"/>
          <w:sz w:val="20"/>
        </w:rPr>
      </w:pPr>
      <w:r>
        <w:rPr>
          <w:rFonts w:ascii="Times New Roman" w:hAnsi="Times New Roman"/>
          <w:color w:val="000000"/>
          <w:sz w:val="20"/>
        </w:rPr>
        <w:t xml:space="preserve">Each Offering Warrant offered hereby will have an exercise price equal to $3.00. The Offering Warrants will be immediately exercisable and may be exercised until the five-year anniversary of the issuance date. The exercise price and number of Ordinary Shares issuable upon exercise of the Offering Warrants are subject to appropriate adjustment in the event of stock dividends, stock splits, reorganizations or similar events affecting our Ordinary Shares. The Offering Warrants will be issued separately from the Ordinary Shares and may be transferred separately immediately thereafter. However, if at any time the 5-Day VWAP is at or above $6.00, the Offering Warrants shall expire in 30 days. </w:t>
      </w:r>
    </w:p>
    <w:p>
      <w:pPr>
        <w:pStyle w:val="TextBody"/>
        <w:bidi w:val="0"/>
        <w:jc w:val="both"/>
        <w:rPr>
          <w:rFonts w:ascii="Times New Roman" w:hAnsi="Times New Roman"/>
          <w:i/>
          <w:color w:val="000000"/>
          <w:sz w:val="20"/>
        </w:rPr>
      </w:pPr>
      <w:r>
        <w:rPr>
          <w:rFonts w:ascii="Times New Roman" w:hAnsi="Times New Roman"/>
          <w:i/>
          <w:color w:val="000000"/>
          <w:sz w:val="20"/>
        </w:rPr>
        <w:t>Exercisability</w:t>
      </w:r>
    </w:p>
    <w:p>
      <w:pPr>
        <w:pStyle w:val="TextBody"/>
        <w:bidi w:val="0"/>
        <w:jc w:val="both"/>
        <w:rPr>
          <w:rFonts w:ascii="Times New Roman" w:hAnsi="Times New Roman"/>
          <w:color w:val="000000"/>
          <w:sz w:val="20"/>
        </w:rPr>
      </w:pPr>
      <w:r>
        <w:rPr>
          <w:rFonts w:ascii="Times New Roman" w:hAnsi="Times New Roman"/>
          <w:color w:val="000000"/>
          <w:sz w:val="20"/>
        </w:rPr>
        <w:t>The Offering Warrants will be exercisable, at the option of each holder, in whole or in part, by delivering to us a duly executed exercise notice accompanied by payment in full for the number of Ordinary Shares purchased upon such exercise. A holder (together with its affiliates) may not exercise any portion of such holder’s Offering Warrants to the extent that the holder would own more than 4.99% (or, at the election of the holder, 9.99%) of the outstanding Ordinary Shares immediately after exercise. However, upon notice from the holder to us, the holder may decrease or increase the holder’s beneficial ownership limitation, which may not exceed 9.99% of the number of outstanding Ordinary Shares immediately after giving effect to the exercise, as such percentage ownership is determined in accordance with the terms of the Offering Warrants, provided that any increase in the beneficial ownership limitation will not take effect until 61 days following notice to us.</w:t>
      </w:r>
    </w:p>
    <w:p>
      <w:pPr>
        <w:pStyle w:val="TextBody"/>
        <w:bidi w:val="0"/>
        <w:jc w:val="both"/>
        <w:rPr>
          <w:rFonts w:ascii="Times New Roman" w:hAnsi="Times New Roman"/>
          <w:i/>
          <w:color w:val="000000"/>
          <w:sz w:val="20"/>
        </w:rPr>
      </w:pPr>
      <w:r>
        <w:rPr>
          <w:rFonts w:ascii="Times New Roman" w:hAnsi="Times New Roman"/>
          <w:i/>
          <w:color w:val="000000"/>
          <w:sz w:val="20"/>
        </w:rPr>
        <w:t>Fundamental Transactions</w:t>
      </w:r>
    </w:p>
    <w:p>
      <w:pPr>
        <w:pStyle w:val="TextBody"/>
        <w:bidi w:val="0"/>
        <w:jc w:val="both"/>
        <w:rPr>
          <w:rFonts w:ascii="Times New Roman" w:hAnsi="Times New Roman"/>
          <w:color w:val="000000"/>
          <w:sz w:val="20"/>
        </w:rPr>
      </w:pPr>
      <w:r>
        <w:rPr>
          <w:rFonts w:ascii="Times New Roman" w:hAnsi="Times New Roman"/>
          <w:color w:val="000000"/>
          <w:sz w:val="20"/>
        </w:rPr>
        <w:t>In the event of any fundamental transaction, as described in the Offering Warrants and generally including any merger or consolidation with or into another entity, sale of all or substantially all of our assets, tender offer or exchange offer, or reclassification of our Ordinary Shares, then upon any subsequent exercise of the Offering Warrants, the holder will have the right to receive as alternative consideration, for each Ordinary Share that would have been issuable upon such exercise immediately prior to the occurrence of such fundamental transaction, the number of Ordinary Shares of the successor or acquiring corporation or of our Company, if it is the surviving corporation, and any additional consideration receivable upon or as a result of such transaction by a holder of the number of Ordinary Shares for which the Offering Warrants are exercisable immediately prior to such event. Notwithstanding the foregoing, in the event of a fundamental transaction, the holders of the Offering Warrants have the right to require us or a successor entity to redeem the Offering Warrants for cash in the amount of the Black-Scholes Value (as defined in the Offering Warrants) of the remaining unexercised portion of the Offering Warrants on the date of the consummation of such fundamental transaction, concurrently with or within 30 days following the consummation of a fundamental transaction.</w:t>
      </w:r>
    </w:p>
    <w:p>
      <w:pPr>
        <w:pStyle w:val="TextBody"/>
        <w:bidi w:val="0"/>
        <w:jc w:val="both"/>
        <w:rPr>
          <w:rFonts w:ascii="Times New Roman" w:hAnsi="Times New Roman"/>
          <w:color w:val="000000"/>
          <w:sz w:val="20"/>
        </w:rPr>
      </w:pPr>
      <w:r>
        <w:rPr>
          <w:rFonts w:ascii="Times New Roman" w:hAnsi="Times New Roman"/>
          <w:color w:val="000000"/>
          <w:sz w:val="20"/>
        </w:rPr>
        <w:t>However, in the event of a fundamental transaction which is not in our control, including a fundamental transaction not approved by our Board, the holders of the Offering Warrants will only be entitled to receive from us or our successor entity, as of the date of consummation of such fundamental transaction the same type or form of consideration (and in the same proportion), at the Black Scholes Value of the unexercised portion of the Offering Warrants that are being offered and paid to the holders of our Ordinary Shares in connection with the fundamental transaction, whether that consideration is in the form of cash, stock or any combination of cash and stock, or whether the holders of our Ordinary Shares are given the choice to receive alternative forms of consideration in connection with the fundamental transaction.</w:t>
      </w:r>
    </w:p>
    <w:p>
      <w:pPr>
        <w:pStyle w:val="TextBody"/>
        <w:bidi w:val="0"/>
        <w:jc w:val="both"/>
        <w:rPr>
          <w:rFonts w:ascii="Times New Roman" w:hAnsi="Times New Roman"/>
          <w:i/>
          <w:color w:val="000000"/>
          <w:sz w:val="20"/>
        </w:rPr>
      </w:pPr>
      <w:r>
        <w:rPr>
          <w:rFonts w:ascii="Times New Roman" w:hAnsi="Times New Roman"/>
          <w:i/>
          <w:color w:val="000000"/>
          <w:sz w:val="20"/>
        </w:rPr>
        <w:t>Transferability</w:t>
      </w:r>
    </w:p>
    <w:p>
      <w:pPr>
        <w:pStyle w:val="TextBody"/>
        <w:bidi w:val="0"/>
        <w:jc w:val="both"/>
        <w:rPr>
          <w:rFonts w:ascii="Times New Roman" w:hAnsi="Times New Roman"/>
          <w:color w:val="000000"/>
          <w:sz w:val="20"/>
        </w:rPr>
      </w:pPr>
      <w:r>
        <w:rPr>
          <w:rFonts w:ascii="Times New Roman" w:hAnsi="Times New Roman"/>
          <w:color w:val="000000"/>
          <w:sz w:val="20"/>
        </w:rPr>
        <w:t>Subject to applicable laws, the Offering Warrants may be transferred at the option of the holder upon surrender of the Offering Warrants to us together with the appropriate instruments of transfer.</w:t>
      </w:r>
    </w:p>
    <w:p>
      <w:pPr>
        <w:pStyle w:val="TextBody"/>
        <w:bidi w:val="0"/>
        <w:jc w:val="both"/>
        <w:rPr>
          <w:rFonts w:ascii="Times New Roman" w:hAnsi="Times New Roman"/>
          <w:i/>
          <w:color w:val="000000"/>
          <w:sz w:val="20"/>
        </w:rPr>
      </w:pPr>
      <w:r>
        <w:rPr>
          <w:rFonts w:ascii="Times New Roman" w:hAnsi="Times New Roman"/>
          <w:i/>
          <w:color w:val="000000"/>
          <w:sz w:val="20"/>
        </w:rPr>
        <w:t>Fractional Shares</w:t>
      </w:r>
    </w:p>
    <w:p>
      <w:pPr>
        <w:pStyle w:val="TextBody"/>
        <w:bidi w:val="0"/>
        <w:jc w:val="both"/>
        <w:rPr>
          <w:rFonts w:ascii="Times New Roman" w:hAnsi="Times New Roman"/>
          <w:color w:val="000000"/>
          <w:sz w:val="20"/>
        </w:rPr>
      </w:pPr>
      <w:r>
        <w:rPr>
          <w:rFonts w:ascii="Times New Roman" w:hAnsi="Times New Roman"/>
          <w:color w:val="000000"/>
          <w:sz w:val="20"/>
        </w:rPr>
        <w:t>No fractional Ordinary Shares will be issued upon the exercise of the Offering Warrants. Rather, the number of shares of Ordinary Shares to be issued will, at our election, either be rounded up to the nearest whole number or we will pay a cash adjustment in respect of such final fraction in an amount equal to such fraction multiplied by the exercise price.</w:t>
      </w:r>
    </w:p>
    <w:p>
      <w:pPr>
        <w:pStyle w:val="TextBody"/>
        <w:bidi w:val="0"/>
        <w:jc w:val="both"/>
        <w:rPr>
          <w:rFonts w:ascii="Times New Roman" w:hAnsi="Times New Roman"/>
          <w:i/>
          <w:color w:val="000000"/>
          <w:sz w:val="20"/>
        </w:rPr>
      </w:pPr>
      <w:r>
        <w:rPr>
          <w:rFonts w:ascii="Times New Roman" w:hAnsi="Times New Roman"/>
          <w:i/>
          <w:color w:val="000000"/>
          <w:sz w:val="20"/>
        </w:rPr>
        <w:t>Trading Market</w:t>
      </w:r>
    </w:p>
    <w:p>
      <w:pPr>
        <w:pStyle w:val="TextBody"/>
        <w:bidi w:val="0"/>
        <w:jc w:val="both"/>
        <w:rPr>
          <w:rFonts w:ascii="Times New Roman" w:hAnsi="Times New Roman"/>
          <w:color w:val="000000"/>
          <w:sz w:val="20"/>
        </w:rPr>
      </w:pPr>
      <w:r>
        <w:rPr>
          <w:rFonts w:ascii="Times New Roman" w:hAnsi="Times New Roman"/>
          <w:color w:val="000000"/>
          <w:sz w:val="20"/>
        </w:rPr>
        <w:t xml:space="preserve">There is no established trading market for the Offering Warrants, and we do not expect an active trading market to develop. We do not intend to apply to list the Offering Warrants on any securities exchange or other trading market. Without a trading market,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liquidity of the Offering Warrants will be extremely limited. The Ordinary Shares issuable upon exercise of the Offering Warrants are currently traded on Nasdaq.</w:t>
      </w:r>
    </w:p>
    <w:p>
      <w:pPr>
        <w:pStyle w:val="TextBody"/>
        <w:bidi w:val="0"/>
        <w:jc w:val="both"/>
        <w:rPr>
          <w:rFonts w:ascii="Times New Roman" w:hAnsi="Times New Roman"/>
          <w:i/>
          <w:color w:val="000000"/>
          <w:sz w:val="20"/>
        </w:rPr>
      </w:pPr>
      <w:r>
        <w:rPr>
          <w:rFonts w:ascii="Times New Roman" w:hAnsi="Times New Roman"/>
          <w:i/>
          <w:color w:val="000000"/>
          <w:sz w:val="20"/>
        </w:rPr>
        <w:t>Right as a Stockholder</w:t>
      </w:r>
    </w:p>
    <w:p>
      <w:pPr>
        <w:pStyle w:val="TextBody"/>
        <w:bidi w:val="0"/>
        <w:jc w:val="both"/>
        <w:rPr>
          <w:rFonts w:ascii="Times New Roman" w:hAnsi="Times New Roman"/>
          <w:color w:val="000000"/>
          <w:sz w:val="20"/>
        </w:rPr>
      </w:pPr>
      <w:r>
        <w:rPr>
          <w:rFonts w:ascii="Times New Roman" w:hAnsi="Times New Roman"/>
          <w:color w:val="000000"/>
          <w:sz w:val="20"/>
        </w:rPr>
        <w:t>Except as otherwise provided in the Offering Warrants or by virtue of the holder’s ownership of Ordinary Shares, such holder of Offering Warrants does not have the rights or privileges of a holder of Ordinary Shares, including any voting rights, until such holder exercises such holder’s Offering Warrants. The Offering Warrants provide that holders have the right to participate in distributions or dividends paid on our Ordinary Shares.</w:t>
      </w:r>
    </w:p>
    <w:p>
      <w:pPr>
        <w:pStyle w:val="TextBody"/>
        <w:bidi w:val="0"/>
        <w:jc w:val="both"/>
        <w:rPr>
          <w:rFonts w:ascii="Times New Roman" w:hAnsi="Times New Roman"/>
          <w:i/>
          <w:color w:val="000000"/>
          <w:sz w:val="20"/>
        </w:rPr>
      </w:pPr>
      <w:r>
        <w:rPr>
          <w:rFonts w:ascii="Times New Roman" w:hAnsi="Times New Roman"/>
          <w:i/>
          <w:color w:val="000000"/>
          <w:sz w:val="20"/>
        </w:rPr>
        <w:t>Waivers and Amendments</w:t>
      </w:r>
    </w:p>
    <w:p>
      <w:pPr>
        <w:pStyle w:val="TextBody"/>
        <w:bidi w:val="0"/>
        <w:jc w:val="both"/>
        <w:rPr>
          <w:rFonts w:ascii="Times New Roman" w:hAnsi="Times New Roman"/>
          <w:color w:val="000000"/>
          <w:sz w:val="20"/>
        </w:rPr>
      </w:pPr>
      <w:r>
        <w:rPr>
          <w:rFonts w:ascii="Times New Roman" w:hAnsi="Times New Roman"/>
          <w:color w:val="000000"/>
          <w:sz w:val="20"/>
        </w:rPr>
        <w:t>No term of the Offering Warrants may be amended or waived without the written consent of the holder.</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t> </w:t>
      </w:r>
    </w:p>
    <w:p>
      <w:pPr>
        <w:pStyle w:val="TextBody"/>
        <w:bidi w:val="0"/>
        <w:spacing w:before="0" w:after="200"/>
        <w:jc w:val="center"/>
        <w:rPr>
          <w:rFonts w:ascii="Times New Roman" w:hAnsi="Times New Roman"/>
          <w:b/>
          <w:caps/>
          <w:color w:val="000000"/>
          <w:sz w:val="20"/>
        </w:rPr>
      </w:pPr>
      <w:bookmarkStart w:id="21" w:name="us_federal_income_tax_considerations"/>
      <w:bookmarkEnd w:id="21"/>
      <w:r>
        <w:rPr>
          <w:rFonts w:ascii="Times New Roman" w:hAnsi="Times New Roman"/>
          <w:b/>
          <w:caps/>
          <w:color w:val="000000"/>
          <w:sz w:val="20"/>
        </w:rPr>
        <w:t>Material TAX CONSIDERATIONS</w:t>
      </w:r>
    </w:p>
    <w:p>
      <w:pPr>
        <w:pStyle w:val="TextBody"/>
        <w:bidi w:val="0"/>
        <w:jc w:val="left"/>
        <w:rPr>
          <w:rFonts w:ascii="Times New Roman" w:hAnsi="Times New Roman"/>
          <w:b/>
          <w:color w:val="000000"/>
          <w:sz w:val="20"/>
        </w:rPr>
      </w:pPr>
      <w:r>
        <w:rPr>
          <w:rFonts w:ascii="Times New Roman" w:hAnsi="Times New Roman"/>
          <w:b/>
          <w:color w:val="000000"/>
          <w:sz w:val="20"/>
        </w:rPr>
        <w:t>Material United Kingdom Tax Considerations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statements are based on current UK law as applied in England and HMRC published practice (which may not be binding on HMRC) as at the date of this document, both of which are subject to change, possibly with retrospective effect.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statements are intended only as a general guide and are not a complete analysis of all potential UK tax consequences relating to the holding or disposing of Ordinary Shares or Warrants. They do not purport to provide any analysis of the UK tax consequences of the Business Combination.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statements apply only to persons who hold Ordinary Shares or Warrants as an investment and who are the absolute beneficial owners of the Ordinary Shares or Warrants. The statements do not apply to special categories of holders such as dealers in securities, insurance companies, collective investment schemes, charities, exempt pension funds or holders who have, or are deemed to have, acquired their Ordinary Shares or Warrants by virtue of an office or employment.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statements are not directed at and do not apply to persons who are resident, or in the case of individuals, domiciled for tax purposes in the UK.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YOU ARE IN ANY DOUBT AS TO YOUR TAX POSITION, YOU SHOULD CONSULT YOUR PROFESSIONAL TAX ADVISER.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Taxation of Rezolve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Rezolve is subject to UK corporation tax on its taxable profits and gains, as it is tax resident in the UK. The Business Combination will not give rise to any taxable profits or gains for Rezolve.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Taxation of Disposals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Holders who are not resident in the UK will not generally be subject to UK taxation of capital gains on the disposal or deemed disposal of Ordinary Shares or Warrants unless they are carrying on a trade, profession or vocation in the UK through a branch or agency there (or, in the case of a company, they are carrying on a trade in the UK through a permanent establishment there) in connection with which the Ordinary Shares or Warrants are used, held or acquired. Non-UK tax resident holders may be subject to non-UK taxation on any gain under local law.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 individual holder who has been resident for tax purposes in the UK but who ceases to be so or becomes treated as resident outside the UK for the purposes of a double tax treaty for a period of five years or less and who disposes of all or part of his or her Ordinary Shares or Warrants during that period may be liable to capital gains tax on his or her return to the UK, subject to any available exemptions or reliefs.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Taxation of Dividends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Rezolve is not required to withhold UK tax when paying a dividend.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Rezolve shareholders resident outside the UK will generally not be subject to UK taxation on dividend income unless they are carrying on a trade, profession or vocation through a branch or agency in the UK (or, in the case of a corporate holder, they are carrying on a trade in the UK through a permanent establishment there) and the dividends are either a receipt of that trade, profession or vocation (or, in the case of a corporate holder, Ordinary Shares are used by, or held by or for, that UK permanent establishment). Rezolve shareholders resident outside the UK should consult their own tax adviser concerning their tax position on dividends received from Rezolve.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Stamp Duty and Stamp Duty Reserve Tax (“SDRT”)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UK stamp duty or UK SDRT should arise on the issue of Ordinary Shares.</w:t>
      </w:r>
    </w:p>
    <w:p>
      <w:pPr>
        <w:pStyle w:val="TextBody"/>
        <w:bidi w:val="0"/>
        <w:spacing w:before="240" w:after="283"/>
        <w:jc w:val="both"/>
        <w:rPr>
          <w:rFonts w:ascii="Times New Roman" w:hAnsi="Times New Roman"/>
          <w:sz w:val="20"/>
        </w:rPr>
      </w:pPr>
      <w:r>
        <w:rPr>
          <w:rFonts w:ascii="Times New Roman" w:hAnsi="Times New Roman"/>
          <w:color w:val="000000"/>
          <w:sz w:val="20"/>
        </w:rPr>
        <w:t>An agreement to transfer Ordinary Shares or Warrants other than to a depository trust company (“</w:t>
      </w:r>
      <w:r>
        <w:rPr>
          <w:rFonts w:ascii="Times New Roman" w:hAnsi="Times New Roman"/>
          <w:b/>
          <w:i/>
          <w:color w:val="000000"/>
          <w:sz w:val="20"/>
        </w:rPr>
        <w:t>DTC</w:t>
      </w:r>
      <w:r>
        <w:rPr>
          <w:rFonts w:ascii="Times New Roman" w:hAnsi="Times New Roman"/>
          <w:color w:val="000000"/>
          <w:sz w:val="20"/>
        </w:rPr>
        <w:t xml:space="preserve">”) will normally give rise to a charge to UK SDRT at the rate of 0.5% of the amount or value of the consideration payable for the transfer, subject to the application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 certain exclusions and reliefs. SDRT is, in general, payable by the purchaser. Instruments transferring Ordinary Shares or Warrants will generally be subject to UK stamp duty at the rate of 0.5% of the consideration given for the transfer (rounded up to the next £5), subject to the application of certain exclusions and reliefs. The purchaser normally pays the stamp duty. Any SDRT should be cancelled and any SDRT that has been paid should be repaid where an instrument of transfer has been executed in respect of the transfer of securities within six years of the incident giving rise to the SDRT and stamp duty has been paid on that instrument of transfer.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transfer of existing Ordinary Shares or Warrants to a DTC will normally give rise to a charge to UK stamp duty or SDRT at the higher rate of 1.5% of the amount or value of the consideration payable for the transfer (subject to certain exceptions). Although the DTC should be liable for any UK stamp duty or SDRT, this will be payable by the existing holder in practice. However, no stamp duty or SDRT should, in practice, be required to be paid in respect of transfers or agreements to transfer Ordinary Shares or Warrants within the facilities of the DTC, provided the transfer from a holder of Ordinary Shares or Warrants to a DTC occurs within four months of the listing.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Material U.S. Federal Tax Considerations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section describes the material U.S. federal income tax considerations of the ownership and disposition of Ordinary Shares and Warrants. This discussion applies only to Ordinary Shares and Warrants held as capital assets for U.S. federal income tax purposes (generally, property held for investment) and does not discuss all aspects of U.S. federal income taxation that might be relevant to holders in light of their particular circumstances or status, including alternative minimum tax and Medicare contribution tax consequences, or holders who are subject to special rules, including: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brokers, dealers and other investors that do not own their Ordinary Shares or Warrants as capital assets;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traders in securities that elect to use a mark-to-market method of accounting for their securities holdings;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tax-exempt organizations, qualified retirement plans, individual retirement accounts or other tax deferred accounts;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banks or other financial institutions, underwriters, insurance companies, real estate investment trusts or regulated investment companies;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U.S. expatriates or former long-term residents of the United States;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persons that own (directly, indirectly, or by attribution) 5% or more (by vote or value) of the Armada Common Stock or Ordinary Shares;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partnerships or other pass-through entities for U.S. federal income tax purposes, or beneficial owners of partnerships or other pass-through entities;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persons holding Ordinary Shares or Warrants as part of a straddle, hedging or conversion transaction, constructive sale, or other arrangement involving more than one position;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persons required to accelerate the recognition of any item of gross income with respect to Ordinary Shares or Warrants as a result of such income being recognized on an applicable financial statement;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persons whose functional currency is not the U.S. dollar;</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persons that received Ordinary Shares or Warrants as compensation for services; or</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controlled foreign corporations or passive foreign investment companies.</w:t>
      </w:r>
    </w:p>
    <w:p>
      <w:pPr>
        <w:pStyle w:val="TextBody"/>
        <w:bidi w:val="0"/>
        <w:spacing w:before="240" w:after="283"/>
        <w:jc w:val="both"/>
        <w:rPr>
          <w:rFonts w:ascii="Times New Roman" w:hAnsi="Times New Roman"/>
          <w:sz w:val="20"/>
        </w:rPr>
      </w:pPr>
      <w:r>
        <w:rPr>
          <w:rFonts w:ascii="Times New Roman" w:hAnsi="Times New Roman"/>
          <w:color w:val="000000"/>
          <w:sz w:val="20"/>
        </w:rPr>
        <w:t>This discussion is based on the Code, its legislative history, existing and proposed Treasury regulations promulgated under the Code (the “</w:t>
      </w:r>
      <w:r>
        <w:rPr>
          <w:rFonts w:ascii="Times New Roman" w:hAnsi="Times New Roman"/>
          <w:b/>
          <w:i/>
          <w:color w:val="000000"/>
          <w:sz w:val="20"/>
        </w:rPr>
        <w:t>Treasury Regulations</w:t>
      </w:r>
      <w:r>
        <w:rPr>
          <w:rFonts w:ascii="Times New Roman" w:hAnsi="Times New Roman"/>
          <w:color w:val="000000"/>
          <w:sz w:val="20"/>
        </w:rPr>
        <w:t>”), published rulings by the IRS and court decisions, all as of the date hereof. These laws are subject to change, possibly on a retroactive basis. This discussion is necessarily general and does not address all aspects of U.S. federal income taxation, including the effect of the U.S. federal alternative minimum tax, or U.S. federal estate and gift tax, or any state, local or non-U.S. tax laws to a holder of Ordinary Shares or Warrants. We have not and do not intend to seek any rulings from the IRS regarding the Business Combination. Additionally, we have not sought, and will not seek, an opinion of counsel, and the completion of the Business Combination is not conditioned on the receipt of an IRS ruling or opinion of counsel. There is no assurance that the IRS will not take positions concerning the tax consequences of the Business Combination that are different from those discussed below, or that any such different positions would not be sustained by a court.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Except as specifically provided, the discussion below applies only to U.S. holders. For purposes of this discussion, a U.S. holder means a beneficial owner of Ordinary Shares or Warrants that is, for U.S. federal income tax purposes: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 individual who is a citizen or resident of the United States;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corporation (or other entity taxable as a corporation for U.S. federal income tax purposes) created or organized in or under the laws of the United States, any state thereof or the District of Columbia;</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an estate whose income is subject to U.S. federal income tax regardless of its source; or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Holders who are not U.S. holders should consult with their own tax advisors regarding the U.S. federal income tax consequences of holding Rezolve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HOLDERS OF ORDINARY SHARES AND WARRANTS SHOULD CONSULT WITH THEIR OWN TAX ADVISORS REGARDING THE TAX CONSEQUENCES TO THEM OF THE OWNERSHIP AND DISPOSITION OF ORDINARY SHARES AND WARRANTS, INCLUDING THE EFFECTS OF U.S. FEDERAL, STATE, AND LOCAL AND NON-U.S. TAX LAWS.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Distributions on Ordinary Shares</w:t>
      </w:r>
    </w:p>
    <w:p>
      <w:pPr>
        <w:pStyle w:val="TextBody"/>
        <w:bidi w:val="0"/>
        <w:spacing w:before="120" w:after="283"/>
        <w:jc w:val="both"/>
        <w:rPr>
          <w:rFonts w:ascii="Times New Roman" w:hAnsi="Times New Roman"/>
          <w:sz w:val="20"/>
        </w:rPr>
      </w:pPr>
      <w:r>
        <w:rPr>
          <w:rFonts w:ascii="Times New Roman" w:hAnsi="Times New Roman"/>
          <w:color w:val="000000"/>
          <w:sz w:val="20"/>
        </w:rPr>
        <w:t>Subject to the discussion under the section entitled “</w:t>
      </w:r>
      <w:r>
        <w:rPr>
          <w:rFonts w:ascii="Times New Roman" w:hAnsi="Times New Roman"/>
          <w:i/>
          <w:color w:val="000000"/>
          <w:sz w:val="20"/>
        </w:rPr>
        <w:t>Material Tax Considerations - Material U.S. Federal Income Tax Considerations</w:t>
      </w:r>
      <w:r>
        <w:rPr>
          <w:rFonts w:ascii="Times New Roman" w:hAnsi="Times New Roman"/>
          <w:color w:val="000000"/>
          <w:sz w:val="20"/>
        </w:rPr>
        <w:t xml:space="preserve"> </w:t>
      </w:r>
      <w:r>
        <w:rPr>
          <w:rFonts w:ascii="Times New Roman" w:hAnsi="Times New Roman"/>
          <w:i/>
          <w:color w:val="000000"/>
          <w:sz w:val="20"/>
        </w:rPr>
        <w:t>- Passive Foreign Investment Company Rules</w:t>
      </w:r>
      <w:r>
        <w:rPr>
          <w:rFonts w:ascii="Times New Roman" w:hAnsi="Times New Roman"/>
          <w:color w:val="000000"/>
          <w:sz w:val="20"/>
        </w:rPr>
        <w:t>,” the gross amount of any distribution on Ordinary Shares that is made out of Rezolve’s current or accumulated 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allowed to corporations in respect of dividends received from other U.S. corporations. To the extent that the amount of the distribution exceeds Rezolve’s current and accumulated earnings and profits (as determined under U.S. federal income tax principles), such excess amount will be treated first as a non-taxable return of capital to the extent of the U.S. holder’s tax basis in its Ordinary Shares, and thereafter as capital gain recognized on a sale or exchange.</w:t>
      </w:r>
    </w:p>
    <w:p>
      <w:pPr>
        <w:pStyle w:val="TextBody"/>
        <w:bidi w:val="0"/>
        <w:spacing w:before="240" w:after="283"/>
        <w:jc w:val="both"/>
        <w:rPr>
          <w:rFonts w:ascii="Times New Roman" w:hAnsi="Times New Roman"/>
          <w:sz w:val="20"/>
        </w:rPr>
      </w:pPr>
      <w:r>
        <w:rPr>
          <w:rFonts w:ascii="Times New Roman" w:hAnsi="Times New Roman"/>
          <w:color w:val="000000"/>
          <w:sz w:val="20"/>
        </w:rPr>
        <w:t>Subject to the discussion under the section entitled “</w:t>
      </w:r>
      <w:r>
        <w:rPr>
          <w:rFonts w:ascii="Times New Roman" w:hAnsi="Times New Roman"/>
          <w:i/>
          <w:color w:val="000000"/>
          <w:sz w:val="20"/>
        </w:rPr>
        <w:t>Material Tax Considerations - Material U.S. Federal Income Tax Considerations - Passive Foreign Investment Company Rules</w:t>
      </w:r>
      <w:r>
        <w:rPr>
          <w:rFonts w:ascii="Times New Roman" w:hAnsi="Times New Roman"/>
          <w:color w:val="000000"/>
          <w:sz w:val="20"/>
        </w:rPr>
        <w:t>,” dividends received by non-corporate U.S. holders (including individuals) from a “qualified foreign corporation” may be eligible for reduced rates of taxation, provided that certain holding period requirements and other conditions are satisfied. For these purposes, a non-U.S. corporation will be treated as a qualified foreign corporation if it is eligible for the benefits of a comprehensive income tax treaty with the United States that meets certain requirements. There is currently an income tax treaty between the United States and the United Kingdom. Notwithstanding, there can be no assurances that Rezolve will be eligible for benefits of an applicable comprehensive income tax treaty with the United States. A non-U.S. corporation is also treated as a qualified foreign corporation with respect to dividends it pays on shares that are readily tradable on an established securities market in the United States. U.S. Treasury guidance indicates that shares listed on Nasdaq (which Ordinary Shares are expected to be) will be considered readily tradable on an established securities market in the United States. There can be no assurance that Ordinary Shares will be considered readily tradable on an established securities market in future years. Non-corporate U.S. holders that do not meet a minimum holding period requirement during which they are not protected from the risk of loss or that elect to treat the dividend income as “investment income” pursuant to Section 163(d)(4) of the Code (dealing with the deduction for investment interest expense) will not be eligible for the reduced rates of taxation regardless of Rezolve’s status as a qualified foreign corporation. In addition, the rate reduction will not apply to dividends if the recipient of a dividend is obligated to make related payments with respect to the positions in substantially similar or related property. This disallowance applies even if the minimum holding period has been met. Rezolve will not constitute a qualified foreign corporation for purposes of these rules if it is a passive foreign investment company for the taxable year in which it pays a dividend or for the preceding taxable year. See the section entitled “</w:t>
      </w:r>
      <w:r>
        <w:rPr>
          <w:rFonts w:ascii="Times New Roman" w:hAnsi="Times New Roman"/>
          <w:i/>
          <w:color w:val="000000"/>
          <w:sz w:val="20"/>
        </w:rPr>
        <w:t>Material Tax Considerations - Material U.S. Federal Income Tax Considerations - Passive Foreign Investment Company Rules.</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Subject to certain conditions and limitations, withholding taxes, if any, on dividends paid by Rezolve may be treated as foreign taxes eligible for credit against a U.S. holder’s U.S. federal income tax liability under the U.S. foreign tax credit rules. For purposes of calculating the U.S. foreign tax credit, dividends paid on Ordinary Shares will generally be treated as income from sources outside the United States and will generally constitute passive category income. The rules governing the U.S. foreign tax credit are complex. U.S. holders should consult their own tax advisors regarding the availability of the U.S. foreign tax credit under particular circumstances.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 Exchange, Redemption or Other Taxable Disposition of Ordinary Shares and Warrants</w:t>
      </w:r>
    </w:p>
    <w:p>
      <w:pPr>
        <w:pStyle w:val="TextBody"/>
        <w:bidi w:val="0"/>
        <w:spacing w:before="120" w:after="283"/>
        <w:jc w:val="both"/>
        <w:rPr>
          <w:rFonts w:ascii="Times New Roman" w:hAnsi="Times New Roman"/>
          <w:sz w:val="20"/>
        </w:rPr>
      </w:pPr>
      <w:r>
        <w:rPr>
          <w:rFonts w:ascii="Times New Roman" w:hAnsi="Times New Roman"/>
          <w:color w:val="000000"/>
          <w:sz w:val="20"/>
        </w:rPr>
        <w:t>Subject to the discussion under the section entitled “</w:t>
      </w:r>
      <w:r>
        <w:rPr>
          <w:rFonts w:ascii="Times New Roman" w:hAnsi="Times New Roman"/>
          <w:i/>
          <w:color w:val="000000"/>
          <w:sz w:val="20"/>
        </w:rPr>
        <w:t>Material Tax Considerations - Material U.S. Federal Income Tax Considerations - Passive Foreign Investment Company Rules</w:t>
      </w:r>
      <w:r>
        <w:rPr>
          <w:rFonts w:ascii="Times New Roman" w:hAnsi="Times New Roman"/>
          <w:color w:val="000000"/>
          <w:sz w:val="20"/>
        </w:rPr>
        <w:t xml:space="preserve">,” a U.S. holder generally will recognize gain or loss on any sale, exchange, redemption or other taxable disposition of Ordinary Shares or Warrants in an amount equal to the difference between (i) the amount realized on the disposition and (ii) such U.S. holder’s adjusted tax basis in such shares and/or warrants. Any gain or loss recognized by a U.S. holder on a taxable disposition of Ordinary Shares or Warrants generally will be capital gain or loss and will be long-term capital gain or loss if the holder’s holding period in such shares and/or warrants exceeds one year at the time of the disposition. Preferential tax rates may apply to long-term capital gains of non-corporate U.S. holders (including individuals). The deductibility of capital losses is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subject to limitations. Any gain or loss recognized by a U.S. holder on the sale or exchange of Ordinary Shares or Warrants generally will be treated as U.S. source gain or loss.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Exercise or Lapse of a Warrant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U.S. holder generally will not recognize gain or loss upon the acquisition of a Ordinary Share on the exercise of a Warrant for cash. A U.S. holder’s tax basis in a Ordinary Shares received upon exercise of the Warrant generally should be an amount equal to the sum of the U.S. holder’s tax basis in the Warrant exchanged therefor and the exercise price. The U.S. holder’s holding period for a Ordinary Share received upon exercise of the Warrant will begin on the date following the date of exercise (or possibly the date of exercise) of the Warrant and will not include the period during which the U.S. holder held the Warrant. If a Warrant is allowed to lapse unexercised, a U.S. holder generally will recognize a capital loss equal to such holder’s tax basis in the Warrant.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Possible Constructive Distributions</w:t>
      </w:r>
    </w:p>
    <w:p>
      <w:pPr>
        <w:pStyle w:val="TextBody"/>
        <w:bidi w:val="0"/>
        <w:spacing w:before="120" w:after="283"/>
        <w:jc w:val="both"/>
        <w:rPr>
          <w:rFonts w:ascii="Times New Roman" w:hAnsi="Times New Roman"/>
          <w:sz w:val="20"/>
        </w:rPr>
      </w:pPr>
      <w:r>
        <w:rPr>
          <w:rFonts w:ascii="Times New Roman" w:hAnsi="Times New Roman"/>
          <w:color w:val="000000"/>
          <w:sz w:val="20"/>
        </w:rPr>
        <w:t>The terms of each Warrant provide for an adjustment to the number of Ordinary Shares for which the Warrant may be exercised or to the exercise price of the Warrant in certain events, as discussed in the section entitled “</w:t>
      </w:r>
      <w:r>
        <w:rPr>
          <w:rFonts w:ascii="Times New Roman" w:hAnsi="Times New Roman"/>
          <w:i/>
          <w:color w:val="000000"/>
          <w:sz w:val="20"/>
        </w:rPr>
        <w:t>Description of Rezolve Securities</w:t>
      </w:r>
      <w:r>
        <w:rPr>
          <w:rFonts w:ascii="Times New Roman" w:hAnsi="Times New Roman"/>
          <w:color w:val="000000"/>
          <w:sz w:val="20"/>
        </w:rPr>
        <w:t>.” An adjustment which has the effect of preventing dilution generally is not taxable. A U.S. holder of a Warrant would, however, be treated as receiving a constructive distribution from Rezolve if, for example, the adjustment increases the holder’s proportionate interest in Rezolve’s assets or earnings and profits (e.g., through an increase in the number of Ordinary Shares that would be obtained upon exercise of such warrant) as a result of a distribution of cash to the holders of the Ordinary Shares which is taxable to the U.S. holders of such shares as described under the section entitled “</w:t>
      </w:r>
      <w:r>
        <w:rPr>
          <w:rFonts w:ascii="Times New Roman" w:hAnsi="Times New Roman"/>
          <w:i/>
          <w:color w:val="000000"/>
          <w:sz w:val="20"/>
        </w:rPr>
        <w:t>Material Tax Considerations - Material U.S. Federal Income Tax Considerations - Distributions on Ordinary Shares.</w:t>
      </w:r>
      <w:r>
        <w:rPr>
          <w:rFonts w:ascii="Times New Roman" w:hAnsi="Times New Roman"/>
          <w:color w:val="000000"/>
          <w:sz w:val="20"/>
        </w:rPr>
        <w:t>” Such constructive distribution would be subject to tax as described under that section in the same manner as if the U.S. holder of such warrant received a cash distribution from Rezolve equal to the fair market value of such increased interest. The rules regarding constructive distributions are complex. U.S. holders should consult their own tax advisors regarding the application of the rules to them in light of their own circumstances.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Passive Foreign Investment Company Rules</w:t>
      </w:r>
    </w:p>
    <w:p>
      <w:pPr>
        <w:pStyle w:val="TextBody"/>
        <w:bidi w:val="0"/>
        <w:spacing w:before="120" w:after="283"/>
        <w:jc w:val="both"/>
        <w:rPr>
          <w:rFonts w:ascii="Times New Roman" w:hAnsi="Times New Roman"/>
          <w:sz w:val="20"/>
        </w:rPr>
      </w:pPr>
      <w:r>
        <w:rPr>
          <w:rFonts w:ascii="Times New Roman" w:hAnsi="Times New Roman"/>
          <w:i/>
          <w:color w:val="000000"/>
          <w:sz w:val="20"/>
        </w:rPr>
        <w:t>Generally.</w:t>
      </w:r>
      <w:r>
        <w:rPr>
          <w:rFonts w:ascii="Times New Roman" w:hAnsi="Times New Roman"/>
          <w:color w:val="000000"/>
          <w:sz w:val="20"/>
        </w:rPr>
        <w:t xml:space="preserve"> The treatment of U.S. holders of the Ordinary Shares could be materially different from that described above if Rezolve is treated as a passive foreign investment company, or PFIC, for U.S. federal income tax purposes. A PFIC is any foreign corporation with respect to which either: (i) 75% or more of the gross income for a taxable year constitutes passive income for purposes of the PFIC rules, or (ii) 50% or more of such foreign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The determination of whether a foreign corporation is a PFIC is based upon the composition of such foreign corporation’s income and assets (including, among others, its proportionate share of the income and assets of any other corporation in which it owns, directly or indirectly, 25% (by value) of the stock), and the nature of such foreign corporation’s activities. A separate determination must be made after the close of each taxable year as to whether a foreign corporation was a PFIC for that year. Once a foreign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the projected composition of Rezolve’s income and assets, including goodwill, Rezolve does not currently expect to be classified as a PFIC for its taxable year that includes the date of the Business Combination. The tests for determining PFIC status are applied annually after the close of the taxable year, and it is difficult to predict accurately future income and assets relevant to this determination. The fair market value of the assets of Rezolve is expected to depend, in part, upon (a) the market value of the Ordinary Shares, and (b) the composition of the assets and income of Rezolve. Further, because Rezolve may value its goodwill based on the market value of the Ordinary Shares, a decrease in the market value of the Ordinary Shares and/or an increase in cash or other passive assets (including as a result of the Business Combination) would increase the relative percentage of its passive assets. Moreover, any interest income that Rezolve earns on its cash deposits would generally be treated as passive income and increase the risk that Rezolve would be treated as a PFIC. The application of the PFIC rules is subject to uncertainty in several respects and, therefore, no assurances can be provided that Rezolve will not be a PFIC for the taxable year that includes the date of the Business Combination or in a future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Rezolve is or becomes a PFIC during any year in which a U.S. holder holds Ordinary Shares, there are three separate taxation regimes that could apply to such U.S. holder under the PFIC rules, which are the (i) excess distribution regime (which is the default regime), (ii) mark-to-market regime and (iii) QEF regime. A U.S. holder who holds (actually or constructively) stock in a foreign corporation during any year in which such corporation qualifies as a PFIC is subject to U.S. federal income taxation under one of these three regimes. The effect of the PFIC rules on a U.S. holder will depend upon which of these regimes applies to such U.S. holder.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However, dividends paid by a PFIC are generally not eligible for the lower rates of taxation applicable to qualified dividend income (“QDI”) under any of the foregoing regimes.</w:t>
      </w:r>
    </w:p>
    <w:p>
      <w:pPr>
        <w:pStyle w:val="TextBody"/>
        <w:bidi w:val="0"/>
        <w:spacing w:before="240" w:after="283"/>
        <w:jc w:val="both"/>
        <w:rPr>
          <w:rFonts w:ascii="Times New Roman" w:hAnsi="Times New Roman"/>
          <w:sz w:val="20"/>
        </w:rPr>
      </w:pPr>
      <w:r>
        <w:rPr>
          <w:rFonts w:ascii="Times New Roman" w:hAnsi="Times New Roman"/>
          <w:i/>
          <w:color w:val="000000"/>
          <w:sz w:val="20"/>
        </w:rPr>
        <w:t>Excess Distribution Regime.</w:t>
      </w:r>
      <w:r>
        <w:rPr>
          <w:rFonts w:ascii="Times New Roman" w:hAnsi="Times New Roman"/>
          <w:color w:val="000000"/>
          <w:sz w:val="20"/>
        </w:rPr>
        <w:t xml:space="preserve"> If a U.S. holder does not make a mark-to-market election, as described below, the U.S. holder will be subject to the default “excess distribution regime” under the PFIC rules with respect to (i) any gain realized on a sale or other disposition (including a pledge) of Ordinary Shares, and (ii) any “excess distribution” received on Ordinary Shares (generally, any distributions in excess of 125% of the average of the annual distributions on Ordinary Shares during the preceding three years or the U.S. holder’s holding period, whichever is shorter). Generally, under this excess distribution regime: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gain or excess distribution will be allocated ratably over the period during which the U.S. holder held Ordinary Shares;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amount allocated to the current taxable year, will be treated as ordinary income;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amount allocated to prior taxable years will be subject to the highest tax rate in effect for that taxable year and the interest charge generally applicable to underpayments of tax will be imposed on the resulting tax attributable to each such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tax liability for amounts allocated to years prior to the year of disposition or excess distribution will be payable generally without regard to offsets from deductions, losses and expenses. In addition, gains (but not losses) realized on the sale of Ordinary Shares cannot be treated as capital gains, even if you hold the shares as capital assets. Further, no portion of any distribution will be treated as QDI.</w:t>
      </w:r>
    </w:p>
    <w:p>
      <w:pPr>
        <w:pStyle w:val="TextBody"/>
        <w:bidi w:val="0"/>
        <w:spacing w:before="240" w:after="283"/>
        <w:jc w:val="both"/>
        <w:rPr>
          <w:rFonts w:ascii="Times New Roman" w:hAnsi="Times New Roman"/>
          <w:sz w:val="20"/>
        </w:rPr>
      </w:pPr>
      <w:r>
        <w:rPr>
          <w:rFonts w:ascii="Times New Roman" w:hAnsi="Times New Roman"/>
          <w:i/>
          <w:color w:val="000000"/>
          <w:sz w:val="20"/>
        </w:rPr>
        <w:t>Mark-to-Market Regime.</w:t>
      </w:r>
      <w:r>
        <w:rPr>
          <w:rFonts w:ascii="Times New Roman" w:hAnsi="Times New Roman"/>
          <w:color w:val="000000"/>
          <w:sz w:val="20"/>
        </w:rPr>
        <w:t xml:space="preserve"> Alternatively, a U.S. holder may make an election to mark marketable shares in a PFIC to market on an annual basis. PFIC shares generally are marketable if: (i) they are “regularly traded” on a national securities exchange that is registered with the Securities and Exchange Commission or on the national market system established under Section 11A of the Securities Exchange Act of 1934; or (ii) they are “regularly traded” on any exchange or market that the Treasury Department determines to have rules sufficient to ensure that the market price accurately represents the fair market value of the stock. It is expected that Ordinary Shares, which are expected to be listed on Nasdaq, will qualify as marketable shares for the PFIC rules purposes, but there can be no assurance that Ordinary Shares will be “regularly traded” for purposes of these rules. Pursuant to such an election, a U.S. holder would include in each year as ordinary income the excess, if any, of the fair market value of such stock over its adjusted basis at the end of the taxable year. A U.S. holder may treat as ordinary loss any excess of the adjusted basis of the stock over its fair market value at the end of the year, but only to the extent of the net amount previously included in income as a result of the election in prior years. A U.S. holder’s adjusted tax basis in the PFIC shares will be increased to reflect any amounts included in income, and decreased to reflect any amounts deducted, as a result of a mark-to-market election. Any gain recognized on a disposition of Ordinary Shares will be treated as ordinary income and any loss will be treated as ordinary loss (but only to the extent of the net amount of income previously included as a result of a mark-to-market election). A mark-to-market election only applies for the taxable year in which the election was made, and for each subsequent taxable year, unless the PFIC shares ceased to be marketable or the IRS consents to the revocation of the election. U.S. holders should also be aware that the Code and the Treasury Regulations do not allow a mark-to-market election with respect to stock of lower-tier PFICs that is non-marketable. There is also no provision in the Code, Treasury Regulations or other published authority that specifically provides that a mark-to-market election with respect to the stock of a publicly-traded holding company (such as Rezolve) effectively exempts stock of any lower-tier PFICs from the negative tax consequences arising from the general PFIC rules. U.S. holders should consult their own tax advisors to determine whether the mark-to-market tax election is available to them and the consequences resulting from such election. In addition, U.S. holders of Warrants will not be able to make a mark-to-market election with respect to their Warrants.</w:t>
      </w:r>
    </w:p>
    <w:p>
      <w:pPr>
        <w:pStyle w:val="TextBody"/>
        <w:bidi w:val="0"/>
        <w:spacing w:before="240" w:after="283"/>
        <w:jc w:val="both"/>
        <w:rPr>
          <w:rFonts w:ascii="Times New Roman" w:hAnsi="Times New Roman"/>
          <w:sz w:val="20"/>
        </w:rPr>
      </w:pPr>
      <w:r>
        <w:rPr>
          <w:rFonts w:ascii="Times New Roman" w:hAnsi="Times New Roman"/>
          <w:i/>
          <w:color w:val="000000"/>
          <w:sz w:val="20"/>
        </w:rPr>
        <w:t>QEF Regime.</w:t>
      </w:r>
      <w:r>
        <w:rPr>
          <w:rFonts w:ascii="Times New Roman" w:hAnsi="Times New Roman"/>
          <w:color w:val="000000"/>
          <w:sz w:val="20"/>
        </w:rPr>
        <w:t xml:space="preserve"> Alternatively, a U.S. holder of a PFIC may avoid the adverse PFIC tax consequences described above in respect of stock of the PFIC (but not warrants) by making and maintaining a timely and valid qualified electing fund (“QEF”) election (if eligible to do so) to include in income its pro rata share of the PFIC’s net capital gains (as long-term capital gain) and other earnings and profits (as ordinary income), on a current basis, in each case whether or not distributed, in the first taxable year of the U.S. Holder in which or with which the PFIC’s taxable year ends and each subsequent taxable year. In order to comply with the requirements of a QEF election, a U.S. Holder must receive a PFIC Annual Information Statement from the PFIC. Rezolve does not presently intend to provide a PFIC Annual Information Statement in order for U.S. Holders to make or maintain a QEF election. However, as described above, Rezolve does not currently expect to be classified as a PFIC for the taxable year that includes the Business Combination.</w:t>
      </w:r>
    </w:p>
    <w:p>
      <w:pPr>
        <w:pStyle w:val="TextBody"/>
        <w:bidi w:val="0"/>
        <w:spacing w:before="240" w:after="283"/>
        <w:jc w:val="both"/>
        <w:rPr>
          <w:rFonts w:ascii="Times New Roman" w:hAnsi="Times New Roman"/>
          <w:sz w:val="20"/>
        </w:rPr>
      </w:pPr>
      <w:r>
        <w:rPr>
          <w:rFonts w:ascii="Times New Roman" w:hAnsi="Times New Roman"/>
          <w:i/>
          <w:color w:val="000000"/>
          <w:sz w:val="20"/>
        </w:rPr>
        <w:t>PFIC Reporting Requirements.</w:t>
      </w:r>
      <w:r>
        <w:rPr>
          <w:rFonts w:ascii="Times New Roman" w:hAnsi="Times New Roman"/>
          <w:color w:val="000000"/>
          <w:sz w:val="20"/>
        </w:rPr>
        <w:t xml:space="preserve"> A U.S. holder of Ordinary Shares will be required to file an annual report on IRS Form 8621 containing such information with respect to its interest in a PFIC as the IRS may require. Failure to file IRS Form 8621 for each applicable taxable year may result in substantial penalties and result in the U.S. holder’s taxable years being open to audit by the IRS until such Forms are properly filed.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Additional Reporting Requirements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U.S. holders holding specified foreign financial assets with an aggregate value in excess of the applicable dollar thresholds are required to report information to the IRS relating to Ordinary Shares, subject to certain exceptions (including an exception for Ordinary Shares held in accounts maintained by U.S. financial institutions), by attaching a complete IRS Form 8938 to their tax return, for each year in which they hold Ordinary Shares. Substantial penalties apply to any failure to file IRS Form 8938, unless the failure is shown to be due to reasonable cause and not willful neglect. Also, in the event a U.S. holder does not file IRS Form 8938 or fails to report a specified foreign financial asset that is required to be reported, the statute of limitations on the assessment and collection of U.S. federal income taxes of such U.S. holder for the related taxable year may not close before the date which is three years after the date on which the required information is filed. U.S. holders should consult their tax advisors regarding the effect, if any, of these rules on the ownership and disposition of Ordinary Shares.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Information Reporting and Backup Withholding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Information reporting requirements may apply to dividends received by U.S. holders of Ordinary Shares, and the proceeds received on the disposition of Ordinary Shares effected within the United States (and, in certain cases, outside the United States), in each case other than U.S. holders that are exempt recipients (such as corporations). Backup withholding (currently at a rate of 24%) may apply to such amounts if the U.S. holder fails to provide an accurate taxpayer identification number (generally on an IRS Form W-9 provided to the paying agent of the U.S. holder’s broker) or is otherwise subject to backup withholding. Any redemptions treated as dividend payments with respect to Ordinary Shares and proceeds from the sale, exchange, redemption or other disposition of Ordinary Shares may be subject to information reporting to the IRS and possible U.S. backup withholding. U.S. holders should consult their own tax advisors regarding the application of the U.S. information reporting and backup withholding rules.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Information returns may be filed with the IRS in connection with, and non-U.S. holders may be subject to backup withholding on amounts received in respect of their Ordinary Shares, unless the non-U.S. holder furnishes to the applicable withholding agent the required certification as to its non-U.S. status, such as by providing a valid IRS Form W-8BEN, IRS Form W-8BEN-E or IRS Form W-8ECI, as applicable, or the non-U.S. holder otherwise establishes an exemption. Dividends paid with respect to Ordinary Shares and proceeds from the sale of other disposition of Ordinary Shares received in the United States by a non-U.S. holder through certain U.S.-related financial intermediaries may be subject to information reporting and backup withholding unless such non-U.S. holder provides proof of an applicable exemption or complies with certain certification procedures described above, and otherwise complies with the applicable requirements of the backup withholding rules.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Backup withholding is not an additional tax. Amounts withheld as backup withholding may be credited against the holder’s U.S. federal income tax liability, and a holder may obtain a refund of any excess amounts withheld under the backup withholding rules by timely filing the appropriate claim for a refund with the IRS and furnishing any required information.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jc w:val="center"/>
        <w:rPr>
          <w:rFonts w:ascii="Times New Roman" w:hAnsi="Times New Roman"/>
          <w:b/>
          <w:caps/>
          <w:color w:val="000000"/>
          <w:sz w:val="20"/>
        </w:rPr>
      </w:pPr>
      <w:bookmarkStart w:id="22" w:name="plan_of_distribution"/>
      <w:bookmarkEnd w:id="22"/>
      <w:r>
        <w:rPr>
          <w:rFonts w:ascii="Times New Roman" w:hAnsi="Times New Roman"/>
          <w:b/>
          <w:caps/>
          <w:color w:val="000000"/>
          <w:sz w:val="20"/>
        </w:rPr>
        <w:t>PLAN OF DISTRIBUTION</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Ordinary Shares issuable upon the exercise of Offering Warrants that are being offered in this offering are being offered at a fixed price of $3.00 per share and may be issued from time to time. We will deliver all Ordinary Shares to be issued in connection with exercise of the Offering Warrants delivery versus payment/receipt versus payment upon receipt of investor funds received by us.</w:t>
      </w:r>
    </w:p>
    <w:p>
      <w:pPr>
        <w:pStyle w:val="TextBody"/>
        <w:bidi w:val="0"/>
        <w:jc w:val="both"/>
        <w:rPr>
          <w:rFonts w:ascii="Times New Roman" w:hAnsi="Times New Roman"/>
          <w:b/>
          <w:color w:val="000000"/>
          <w:sz w:val="20"/>
        </w:rPr>
      </w:pPr>
      <w:r>
        <w:rPr>
          <w:rFonts w:ascii="Times New Roman" w:hAnsi="Times New Roman"/>
          <w:b/>
          <w:color w:val="000000"/>
          <w:sz w:val="20"/>
        </w:rPr>
        <w:t>Fees and Expenses</w:t>
      </w:r>
    </w:p>
    <w:p>
      <w:pPr>
        <w:pStyle w:val="TextBody"/>
        <w:bidi w:val="0"/>
        <w:jc w:val="left"/>
        <w:rPr>
          <w:rFonts w:ascii="Times New Roman" w:hAnsi="Times New Roman"/>
          <w:color w:val="000000"/>
          <w:sz w:val="20"/>
        </w:rPr>
      </w:pPr>
      <w:r>
        <w:rPr>
          <w:rFonts w:ascii="Times New Roman" w:hAnsi="Times New Roman"/>
          <w:color w:val="000000"/>
          <w:sz w:val="20"/>
        </w:rPr>
        <w:t>We do not expect there to be any material fees and expenses payable by us in connection with the issuance of the Ordinary Shares upon exercise of the Offering Warrants in this offering.</w:t>
      </w:r>
    </w:p>
    <w:p>
      <w:pPr>
        <w:pStyle w:val="TextBody"/>
        <w:bidi w:val="0"/>
        <w:jc w:val="both"/>
        <w:rPr>
          <w:rFonts w:ascii="Times New Roman" w:hAnsi="Times New Roman"/>
          <w:b/>
          <w:color w:val="000000"/>
          <w:sz w:val="20"/>
        </w:rPr>
      </w:pPr>
      <w:r>
        <w:rPr>
          <w:rFonts w:ascii="Times New Roman" w:hAnsi="Times New Roman"/>
          <w:b/>
          <w:color w:val="000000"/>
          <w:sz w:val="20"/>
        </w:rPr>
        <w:t>Determination of Offering Price</w:t>
      </w:r>
    </w:p>
    <w:p>
      <w:pPr>
        <w:pStyle w:val="TextBody"/>
        <w:bidi w:val="0"/>
        <w:jc w:val="left"/>
        <w:rPr>
          <w:rFonts w:ascii="Times New Roman" w:hAnsi="Times New Roman"/>
          <w:color w:val="000000"/>
          <w:sz w:val="20"/>
        </w:rPr>
      </w:pPr>
      <w:r>
        <w:rPr>
          <w:rFonts w:ascii="Times New Roman" w:hAnsi="Times New Roman"/>
          <w:color w:val="000000"/>
          <w:sz w:val="20"/>
        </w:rPr>
        <w:t>The offering price of the Ordinary Shares upon exercise of the Offering Warrants that we are offering has been negotiated between us and the investors in the Offering based on the trading of our ordinary shares and warrants prior to that offering, among other things. Other factors considered in determining the public offering price of the ordinary shares we are offering include our history and our prospects, the state of the biotechnology industry in which we operate, our recent operating results, including results of our pre-clinical studies and clinical trials, the general condition of the securities markets at the time of the Offering, and such other factors as were deemed relevant.</w:t>
      </w:r>
    </w:p>
    <w:p>
      <w:pPr>
        <w:pStyle w:val="TextBody"/>
        <w:bidi w:val="0"/>
        <w:jc w:val="both"/>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Listing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Ordinary Shares and Public Warrants are listed on the Nasdaq Stock Market under the symbol “RZLV” and “RZLVW”, respectively.</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spacing w:before="200" w:after="283"/>
        <w:jc w:val="center"/>
        <w:rPr>
          <w:rFonts w:ascii="Times New Roman" w:hAnsi="Times New Roman"/>
          <w:b/>
          <w:caps/>
          <w:color w:val="000000"/>
          <w:sz w:val="20"/>
        </w:rPr>
      </w:pPr>
      <w:bookmarkStart w:id="23" w:name="expenses_related_to_this_offering"/>
      <w:bookmarkEnd w:id="23"/>
      <w:r>
        <w:rPr>
          <w:rFonts w:ascii="Times New Roman" w:hAnsi="Times New Roman"/>
          <w:b/>
          <w:caps/>
          <w:color w:val="000000"/>
          <w:sz w:val="20"/>
        </w:rPr>
        <w:t>EXPENSES RELATED TO THIS OFFERING</w:t>
      </w:r>
    </w:p>
    <w:p>
      <w:pPr>
        <w:pStyle w:val="TextBody"/>
        <w:bidi w:val="0"/>
        <w:spacing w:before="200" w:after="283"/>
        <w:jc w:val="left"/>
        <w:rPr>
          <w:rFonts w:ascii="Times New Roman" w:hAnsi="Times New Roman"/>
          <w:color w:val="000000"/>
          <w:sz w:val="20"/>
        </w:rPr>
      </w:pPr>
      <w:bookmarkStart w:id="24" w:name="legal_matters"/>
      <w:bookmarkEnd w:id="24"/>
      <w:r>
        <w:rPr>
          <w:rFonts w:ascii="Times New Roman" w:hAnsi="Times New Roman"/>
          <w:color w:val="000000"/>
          <w:sz w:val="20"/>
        </w:rPr>
        <w:t>The following table sets forth the fees and expenses payable by us in connection with the sale and distribution of the securities being registered hereby.</w:t>
      </w:r>
    </w:p>
    <w:tbl>
      <w:tblPr>
        <w:tblW w:w="6206" w:type="dxa"/>
        <w:jc w:val="left"/>
        <w:tblInd w:w="0" w:type="dxa"/>
        <w:tblLayout w:type="fixed"/>
        <w:tblCellMar>
          <w:top w:w="28" w:type="dxa"/>
          <w:left w:w="28" w:type="dxa"/>
          <w:bottom w:w="28" w:type="dxa"/>
          <w:right w:w="28" w:type="dxa"/>
        </w:tblCellMar>
      </w:tblPr>
      <w:tblGrid>
        <w:gridCol w:w="4906"/>
        <w:gridCol w:w="109"/>
        <w:gridCol w:w="211"/>
        <w:gridCol w:w="826"/>
        <w:gridCol w:w="154"/>
      </w:tblGrid>
      <w:tr>
        <w:trPr/>
        <w:tc>
          <w:tcPr>
            <w:tcW w:w="4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Expenses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 registration fee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7,655.00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fees and expenses Accounting fees and expenses</w:t>
              <w:br/>
              <w:t>   Transfer agent fees and expenses Miscellaneous expenses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357,655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color w:val="000000"/>
          <w:sz w:val="20"/>
        </w:rPr>
      </w:pPr>
      <w:r>
        <w:rPr>
          <w:rFonts w:ascii="Times New Roman" w:hAnsi="Times New Roman"/>
          <w:color w:val="000000"/>
          <w:sz w:val="20"/>
        </w:rPr>
        <w:t>* These fees are calculated based on the securities offered and the number of issuances and accordingly cannot be defined at this time.</w:t>
      </w:r>
    </w:p>
    <w:p>
      <w:pPr>
        <w:pStyle w:val="TextBody"/>
        <w:bidi w:val="0"/>
        <w:spacing w:before="200" w:after="283"/>
        <w:jc w:val="center"/>
        <w:rPr>
          <w:rFonts w:ascii="Times New Roman" w:hAnsi="Times New Roman"/>
          <w:b/>
          <w:caps/>
          <w:color w:val="000000"/>
          <w:sz w:val="20"/>
        </w:rPr>
      </w:pPr>
      <w:r>
        <w:rPr>
          <w:rFonts w:ascii="Times New Roman" w:hAnsi="Times New Roman"/>
          <w:b/>
          <w:caps/>
          <w:color w:val="000000"/>
          <w:sz w:val="20"/>
        </w:rPr>
        <w:t>LEGAL MATTERS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DLA Piper LLP (US), New York, New York, and Taylor Wessing LLP, have passed upon the validity of the securities of Rezolve AI plc (formerly Rezolve AI Limited) offered by this prospectus and certain other legal matters related to this prospectus.</w:t>
      </w:r>
    </w:p>
    <w:p>
      <w:pPr>
        <w:pStyle w:val="TextBody"/>
        <w:bidi w:val="0"/>
        <w:spacing w:before="200" w:after="283"/>
        <w:jc w:val="center"/>
        <w:rPr>
          <w:rFonts w:ascii="Times New Roman" w:hAnsi="Times New Roman"/>
          <w:b/>
          <w:caps/>
          <w:color w:val="000000"/>
          <w:sz w:val="20"/>
        </w:rPr>
      </w:pPr>
      <w:bookmarkStart w:id="25" w:name="experts"/>
      <w:bookmarkEnd w:id="25"/>
      <w:r>
        <w:rPr>
          <w:rFonts w:ascii="Times New Roman" w:hAnsi="Times New Roman"/>
          <w:b/>
          <w:caps/>
          <w:color w:val="000000"/>
          <w:sz w:val="20"/>
        </w:rPr>
        <w:t>EXPERTS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audited financial statements of Rezolve included in this prospectus and elsewhere in the registration statement have been audited by Grassi &amp; Co., CPAs, P.C., an independent registered public accounting firm, as set forth in their report thereon, and are included in reliance on such report given upon the authority of such firm as experts in accounting and auditing.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audited financial statements of GroupBy included in this prospectus and elsewhere in the registration statement have been audited by MNP, LLP an independent registered public accounting firm, as set forth in their report thereon, and are included in reliance on such report given upon the authority of such firm as experts in accounting and auditing.</w:t>
      </w:r>
    </w:p>
    <w:p>
      <w:pPr>
        <w:pStyle w:val="TextBody"/>
        <w:bidi w:val="0"/>
        <w:spacing w:before="200" w:after="283"/>
        <w:jc w:val="center"/>
        <w:rPr>
          <w:rFonts w:ascii="Times New Roman" w:hAnsi="Times New Roman"/>
          <w:b/>
          <w:caps/>
          <w:color w:val="000000"/>
          <w:sz w:val="20"/>
        </w:rPr>
      </w:pPr>
      <w:bookmarkStart w:id="26" w:name="enforceability_of_civil_liability"/>
      <w:bookmarkEnd w:id="26"/>
      <w:r>
        <w:rPr>
          <w:rFonts w:ascii="Times New Roman" w:hAnsi="Times New Roman"/>
          <w:b/>
          <w:caps/>
          <w:color w:val="000000"/>
          <w:sz w:val="20"/>
        </w:rPr>
        <w:t>ENFORCEABILITY OF CIVIL LIABILITY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Rezolve is a company incorporated under the laws of England and Wales. A substantial portion of Rezolve’s assets and most of its directors and executive officers are located and reside, respectively, outside the United States. Because of the location of Rezolve’s assets and board members,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Rezolve has appointed Cogency Global Inc. as its agent to receive service of process in any action against it in any state or federal court in the State of New York arising out of the transaction described in this proxy statement/prospectus or any issuance of Ordinary Shares in connection with this transaction.</w:t>
      </w:r>
    </w:p>
    <w:p>
      <w:pPr>
        <w:pStyle w:val="TextBody"/>
        <w:bidi w:val="0"/>
        <w:spacing w:before="200" w:after="283"/>
        <w:jc w:val="center"/>
        <w:rPr>
          <w:rFonts w:ascii="Times New Roman" w:hAnsi="Times New Roman"/>
          <w:b/>
          <w:caps/>
          <w:color w:val="000000"/>
          <w:sz w:val="20"/>
        </w:rPr>
      </w:pPr>
      <w:bookmarkStart w:id="27" w:name="where_you_can_find_more_information"/>
      <w:bookmarkEnd w:id="27"/>
      <w:r>
        <w:rPr>
          <w:rFonts w:ascii="Times New Roman" w:hAnsi="Times New Roman"/>
          <w:b/>
          <w:caps/>
          <w:color w:val="000000"/>
          <w:sz w:val="20"/>
        </w:rPr>
        <w:t>WHERE YOU CAN FIND MORE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filed a registration statement on Form F-1, including exhibits, under the Securities Act of 1933, as amended, with respect to the Ordinary Shares and Warrants offered by this prospectus. This prospectus does not contain all of the information included in the registration statement. For further information pertaining to us and our securities, you should refer to the registration statement and our exhibits.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file annual, quarterly and current reports, proxy statements and other information with the SEC. Our SEC filings are available to the public on a website maintained by the SEC located at www.sec.gov. We also maintain a website at https://www.rezolve.com.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INDEX TO FINANCIAL STATEMENTS</w:t>
      </w:r>
    </w:p>
    <w:p>
      <w:pPr>
        <w:pStyle w:val="TextBody"/>
        <w:bidi w:val="0"/>
        <w:spacing w:before="120" w:after="283"/>
        <w:jc w:val="center"/>
        <w:rPr>
          <w:rFonts w:ascii="Times New Roman" w:hAnsi="Times New Roman"/>
          <w:sz w:val="20"/>
        </w:rPr>
      </w:pPr>
      <w:r>
        <w:rPr>
          <w:rFonts w:ascii="Times New Roman" w:hAnsi="Times New Roman"/>
          <w:b/>
          <w:color w:val="000000"/>
          <w:sz w:val="20"/>
        </w:rPr>
        <w:t>REZOLVE AI plc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As of and for the years ended December 31, 2024 and 2023</w:t>
      </w:r>
    </w:p>
    <w:p>
      <w:pPr>
        <w:pStyle w:val="TextBody"/>
        <w:bidi w:val="0"/>
        <w:jc w:val="center"/>
        <w:rPr/>
      </w:pPr>
      <w:r>
        <w:rPr/>
        <w:t> </w:t>
      </w:r>
    </w:p>
    <w:p>
      <w:pPr>
        <w:pStyle w:val="TextBody"/>
        <w:bidi w:val="0"/>
        <w:jc w:val="center"/>
        <w:rPr/>
      </w:pPr>
      <w:r>
        <w:rPr/>
        <w:t> </w:t>
      </w:r>
    </w:p>
    <w:tbl>
      <w:tblPr>
        <w:tblW w:w="8987" w:type="dxa"/>
        <w:jc w:val="left"/>
        <w:tblInd w:w="0" w:type="dxa"/>
        <w:tblLayout w:type="fixed"/>
        <w:tblCellMar>
          <w:top w:w="28" w:type="dxa"/>
          <w:left w:w="28" w:type="dxa"/>
          <w:bottom w:w="28" w:type="dxa"/>
          <w:right w:w="28" w:type="dxa"/>
        </w:tblCellMar>
      </w:tblPr>
      <w:tblGrid>
        <w:gridCol w:w="8566"/>
        <w:gridCol w:w="421"/>
      </w:tblGrid>
      <w:tr>
        <w:trPr/>
        <w:tc>
          <w:tcPr>
            <w:tcW w:w="85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port_independent_registered_public_acc">
              <w:r>
                <w:rPr>
                  <w:rStyle w:val="InternetLink"/>
                  <w:rFonts w:ascii="Times New Roman" w:hAnsi="Times New Roman"/>
                  <w:color w:val="000080"/>
                  <w:sz w:val="20"/>
                  <w:u w:val="single"/>
                </w:rPr>
                <w:t>Report of Independent Registered Public Accounting Firm</w:t>
              </w:r>
            </w:hyperlink>
            <w:r>
              <w:rPr>
                <w:rFonts w:ascii="Times New Roman" w:hAnsi="Times New Roman"/>
                <w:color w:val="0000FF"/>
                <w:sz w:val="20"/>
                <w:u w:val="single"/>
              </w:rPr>
              <w:t> (PCAOB firm ID 606)</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F-2</w:t>
            </w:r>
          </w:p>
        </w:tc>
      </w:tr>
      <w:tr>
        <w:trPr/>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_20f">
              <w:r>
                <w:rPr>
                  <w:rStyle w:val="InternetLink"/>
                  <w:rFonts w:ascii="Times New Roman" w:hAnsi="Times New Roman"/>
                  <w:color w:val="0000FF"/>
                  <w:sz w:val="20"/>
                  <w:u w:val="single"/>
                </w:rPr>
                <w:t>Consolidated Balance Sheets as of December 31, 2024 and 2023</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F-3</w:t>
            </w:r>
          </w:p>
        </w:tc>
      </w:tr>
      <w:tr>
        <w:trPr/>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perations_20f">
              <w:r>
                <w:rPr>
                  <w:rStyle w:val="InternetLink"/>
                  <w:rFonts w:ascii="Times New Roman" w:hAnsi="Times New Roman"/>
                  <w:color w:val="0000FF"/>
                  <w:sz w:val="20"/>
                  <w:u w:val="single"/>
                </w:rPr>
                <w:t>Consolidated Statements of Operations for the Years ended December 31, 2024 and 2023</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w:t>
            </w:r>
          </w:p>
        </w:tc>
      </w:tr>
      <w:tr>
        <w:trPr/>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omprehensive">
              <w:r>
                <w:rPr>
                  <w:rStyle w:val="InternetLink"/>
                  <w:rFonts w:ascii="Times New Roman" w:hAnsi="Times New Roman"/>
                  <w:color w:val="0000FF"/>
                  <w:sz w:val="20"/>
                  <w:u w:val="single"/>
                </w:rPr>
                <w:t>Consolidated Statement of Comprehensive Loss for the Years ended December 31, 2024 and 2023</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F-5</w:t>
            </w:r>
          </w:p>
        </w:tc>
      </w:tr>
      <w:tr>
        <w:trPr/>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_equity_20f">
              <w:r>
                <w:rPr>
                  <w:rStyle w:val="InternetLink"/>
                  <w:rFonts w:ascii="Times New Roman" w:hAnsi="Times New Roman"/>
                  <w:color w:val="0000FF"/>
                  <w:sz w:val="20"/>
                  <w:u w:val="single"/>
                </w:rPr>
                <w:t>Consolidated Statements of Stockholders’ Deficit for the Years ended December 31, 2024 and 2023</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F-6</w:t>
            </w:r>
          </w:p>
        </w:tc>
      </w:tr>
      <w:tr>
        <w:trPr/>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_20f">
              <w:r>
                <w:rPr>
                  <w:rStyle w:val="InternetLink"/>
                  <w:rFonts w:ascii="Times New Roman" w:hAnsi="Times New Roman"/>
                  <w:color w:val="0000FF"/>
                  <w:sz w:val="20"/>
                  <w:u w:val="single"/>
                </w:rPr>
                <w:t>Consolidated Statements of Cash Flows for the Years ended December 31, 2024 and December 31, 2023</w:t>
              </w:r>
            </w:hyperlink>
            <w:hyperlink w:anchor="cash_flows_20f">
              <w:r>
                <w:rPr>
                  <w:rStyle w:val="InternetLink"/>
                  <w:rFonts w:ascii="Times New Roman" w:hAnsi="Times New Roman"/>
                  <w:color w:val="0000FF"/>
                  <w:sz w:val="20"/>
                </w:rPr>
                <w:t xml:space="preserve"> </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w:t>
            </w:r>
          </w:p>
        </w:tc>
      </w:tr>
      <w:tr>
        <w:trPr/>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nt">
              <w:r>
                <w:rPr>
                  <w:rStyle w:val="InternetLink"/>
                  <w:rFonts w:ascii="Times New Roman" w:hAnsi="Times New Roman"/>
                  <w:color w:val="0000FF"/>
                  <w:sz w:val="20"/>
                  <w:u w:val="single"/>
                </w:rPr>
                <w:t>Notes to the Consolidated Financial Statements</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F-8</w:t>
            </w:r>
          </w:p>
        </w:tc>
      </w:tr>
    </w:tbl>
    <w:p>
      <w:pPr>
        <w:pStyle w:val="TextBody"/>
        <w:bidi w:val="0"/>
        <w:jc w:val="left"/>
        <w:rPr/>
      </w:pPr>
      <w:r>
        <w:rPr/>
        <w:t> </w:t>
      </w:r>
    </w:p>
    <w:p>
      <w:pPr>
        <w:pStyle w:val="TextBody"/>
        <w:bidi w:val="0"/>
        <w:jc w:val="center"/>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GROUPBY INC.</w:t>
      </w:r>
    </w:p>
    <w:p>
      <w:pPr>
        <w:pStyle w:val="TextBody"/>
        <w:bidi w:val="0"/>
        <w:jc w:val="center"/>
        <w:rPr>
          <w:rFonts w:ascii="Times New Roman" w:hAnsi="Times New Roman"/>
          <w:sz w:val="20"/>
        </w:rPr>
      </w:pPr>
      <w:r>
        <w:rPr>
          <w:rFonts w:ascii="Times New Roman" w:hAnsi="Times New Roman"/>
          <w:b/>
          <w:color w:val="000000"/>
          <w:sz w:val="20"/>
        </w:rPr>
        <w:t>Combined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As of and for the years ended December 31, 2024 and 2023</w:t>
      </w:r>
    </w:p>
    <w:p>
      <w:pPr>
        <w:pStyle w:val="TextBody"/>
        <w:bidi w:val="0"/>
        <w:jc w:val="center"/>
        <w:rPr/>
      </w:pPr>
      <w:r>
        <w:rPr/>
        <w:t> </w:t>
      </w:r>
    </w:p>
    <w:tbl>
      <w:tblPr>
        <w:tblW w:w="7284" w:type="dxa"/>
        <w:jc w:val="left"/>
        <w:tblInd w:w="0" w:type="dxa"/>
        <w:tblLayout w:type="fixed"/>
        <w:tblCellMar>
          <w:top w:w="28" w:type="dxa"/>
          <w:left w:w="28" w:type="dxa"/>
          <w:bottom w:w="28" w:type="dxa"/>
          <w:right w:w="28" w:type="dxa"/>
        </w:tblCellMar>
      </w:tblPr>
      <w:tblGrid>
        <w:gridCol w:w="6226"/>
        <w:gridCol w:w="146"/>
        <w:gridCol w:w="146"/>
        <w:gridCol w:w="766"/>
      </w:tblGrid>
      <w:tr>
        <w:trPr/>
        <w:tc>
          <w:tcPr>
            <w:tcW w:w="6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622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groupby_audit_mnp_report">
              <w:r>
                <w:rPr>
                  <w:rStyle w:val="InternetLink"/>
                  <w:rFonts w:ascii="Times New Roman" w:hAnsi="Times New Roman"/>
                  <w:color w:val="0000FF"/>
                  <w:sz w:val="20"/>
                  <w:u w:val="single"/>
                </w:rPr>
                <w:t>Independent Auditor's Report</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F-41</w:t>
            </w:r>
          </w:p>
        </w:tc>
      </w:tr>
      <w:tr>
        <w:trPr/>
        <w:tc>
          <w:tcPr>
            <w:tcW w:w="622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balance_sheets">
              <w:r>
                <w:rPr>
                  <w:rStyle w:val="InternetLink"/>
                  <w:rFonts w:ascii="Times New Roman" w:hAnsi="Times New Roman"/>
                  <w:color w:val="0000FF"/>
                  <w:sz w:val="20"/>
                  <w:u w:val="single"/>
                </w:rPr>
                <w:t>Combined Consolidated Statement of Financial Position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F-43</w:t>
            </w:r>
          </w:p>
        </w:tc>
      </w:tr>
      <w:tr>
        <w:trPr/>
        <w:tc>
          <w:tcPr>
            <w:tcW w:w="622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of_operations">
              <w:r>
                <w:rPr>
                  <w:rStyle w:val="InternetLink"/>
                  <w:rFonts w:ascii="Times New Roman" w:hAnsi="Times New Roman"/>
                  <w:color w:val="0000FF"/>
                  <w:sz w:val="20"/>
                  <w:u w:val="single"/>
                </w:rPr>
                <w:t>Combined Consolidated Statements of Loss and Comprehensive Loss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F-44</w:t>
            </w:r>
          </w:p>
        </w:tc>
      </w:tr>
      <w:tr>
        <w:trPr/>
        <w:tc>
          <w:tcPr>
            <w:tcW w:w="622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of_changes_in">
              <w:r>
                <w:rPr>
                  <w:rStyle w:val="InternetLink"/>
                  <w:rFonts w:ascii="Times New Roman" w:hAnsi="Times New Roman"/>
                  <w:color w:val="0000FF"/>
                  <w:sz w:val="20"/>
                  <w:u w:val="single"/>
                </w:rPr>
                <w:t>Combined Consolidated Statements of Changes in Stockholders’ Deficit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F-45</w:t>
            </w:r>
          </w:p>
        </w:tc>
      </w:tr>
      <w:tr>
        <w:trPr/>
        <w:tc>
          <w:tcPr>
            <w:tcW w:w="622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of_cash_flows">
              <w:r>
                <w:rPr>
                  <w:rStyle w:val="InternetLink"/>
                  <w:rFonts w:ascii="Times New Roman" w:hAnsi="Times New Roman"/>
                  <w:color w:val="0000FF"/>
                  <w:sz w:val="20"/>
                  <w:u w:val="single"/>
                </w:rPr>
                <w:t>Combined 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F-46</w:t>
            </w:r>
          </w:p>
        </w:tc>
      </w:tr>
      <w:tr>
        <w:trPr/>
        <w:tc>
          <w:tcPr>
            <w:tcW w:w="622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notes_to_financial_statements_">
              <w:r>
                <w:rPr>
                  <w:rStyle w:val="InternetLink"/>
                  <w:rFonts w:ascii="Times New Roman" w:hAnsi="Times New Roman"/>
                  <w:color w:val="0000FF"/>
                  <w:sz w:val="20"/>
                  <w:u w:val="single"/>
                </w:rPr>
                <w:t>Notes to Combined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F-47</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8" w:name="report_independent_registered_public_acc"/>
      <w:bookmarkEnd w:id="28"/>
      <w:r>
        <w:rPr>
          <w:rFonts w:ascii="Times New Roman" w:hAnsi="Times New Roman"/>
          <w:b/>
          <w:smallCaps/>
          <w:color w:val="000000"/>
          <w:sz w:val="20"/>
        </w:rPr>
        <w:t>REPORT OF INDEPENDENT REGISTERED PUBLIC ACCOUNTING FIRM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Board of Directors and Stockholders of Rezolve AI plc and Subsidiaries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audited the accompanying consolidated balance sheets of Rezolve AI PLC and Subsidiaries (the Company) as of December 31, 2024 and 2023, and the related consolidated statements of operations, comprehensive loss, stockholders’ deficit and cash flows for each of the years in the two year period ended December 31, 2024, and the related notes (collectively referred to as the consolidated financial statements). In our opinion, the consolidated financial statements present fairly, in all material respects, the consolidated financial position of the Company as December 31, 2024 and 2023, and the results of its operations and its cash flows for each of the years in the two – year period ended December 31, 2024, in conformity with accounting principles generally accepted in the United States of America.</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We conducted our audits in accordance with the standards of the PCAOB and in accordance with auditing standards generally accepted in the United States of America. Those standards require that we plan and perform the audit to obtain reasonable assurance about whether the carve-out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12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 Grassi &amp; Co., CPAs, P.C.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served as the Company’s auditor since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Jericho, New York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April 23,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sz w:val="20"/>
        </w:rPr>
      </w:pPr>
      <w:bookmarkStart w:id="29" w:name="balance_sheet_20f"/>
      <w:bookmarkEnd w:id="29"/>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82"/>
        <w:gridCol w:w="199"/>
        <w:gridCol w:w="148"/>
        <w:gridCol w:w="1085"/>
        <w:gridCol w:w="166"/>
        <w:gridCol w:w="199"/>
        <w:gridCol w:w="148"/>
        <w:gridCol w:w="1085"/>
        <w:gridCol w:w="393"/>
      </w:tblGrid>
      <w:tr>
        <w:trPr/>
        <w:tc>
          <w:tcPr>
            <w:tcW w:w="678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Current assets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9,450,944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10,441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Accounts receivable</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12,534</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299,013</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Derivative asset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2,587,581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 current assets</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13,020,647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321,988</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Non-current assets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79,593</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6,750,178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2,134,903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 non-current assets</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6,767,510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2,214,496</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19,788,157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2,536,484</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Shareholders’ deficit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Current liabilities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Accounts payable</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7,303,060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4,569,703</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Due to related party (refer to note 13)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1,054,429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777,576</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Accrued expenses and other payables</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9,513,932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4,492,790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Short term debt to related party (refer to note 13)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5,102,211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6,225,815</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Short term convertible debt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10,288,123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31,088,259</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Short term convertible debt to related party (refer to note 13)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132,269</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Convertible promissory notes</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6,428,825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Ordinary Shares Payable</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1,206,609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8,223,928</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Share-based payment liability</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1,311,028</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Advisors loans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12,812,366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Derivative liabilities</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2,579,875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 current liabilities</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57,784,739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56,821,368</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57,784,739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56,821,368</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18"/>
              </w:rPr>
              <w:t>Commitments</w:t>
            </w:r>
            <w:r>
              <w:rPr>
                <w:rFonts w:ascii="Times New Roman" w:hAnsi="Times New Roman"/>
                <w:color w:val="000000"/>
                <w:sz w:val="20"/>
              </w:rPr>
              <w:t> </w:t>
            </w:r>
            <w:r>
              <w:rPr>
                <w:rFonts w:ascii="Times New Roman" w:hAnsi="Times New Roman"/>
                <w:b/>
                <w:color w:val="000000"/>
                <w:sz w:val="18"/>
              </w:rPr>
              <w:t>(refer to note 16)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Shareholders’ deficit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Ordinary shares, £0.0001</w:t>
            </w:r>
            <w:r>
              <w:rPr>
                <w:rFonts w:ascii="Times New Roman" w:hAnsi="Times New Roman"/>
                <w:color w:val="000000"/>
                <w:sz w:val="20"/>
              </w:rPr>
              <w:t> </w:t>
            </w:r>
            <w:r>
              <w:rPr>
                <w:rFonts w:ascii="Times New Roman" w:hAnsi="Times New Roman"/>
                <w:color w:val="000000"/>
                <w:sz w:val="18"/>
              </w:rPr>
              <w:t>nominal value 208,260,754</w:t>
            </w:r>
            <w:r>
              <w:rPr>
                <w:rFonts w:ascii="Times New Roman" w:hAnsi="Times New Roman"/>
                <w:color w:val="000000"/>
                <w:sz w:val="20"/>
              </w:rPr>
              <w:t> </w:t>
            </w:r>
            <w:r>
              <w:rPr>
                <w:rFonts w:ascii="Times New Roman" w:hAnsi="Times New Roman"/>
                <w:color w:val="000000"/>
                <w:sz w:val="18"/>
              </w:rPr>
              <w:t>shares issued and outstanding as of December 31, 2024; 152,262,295</w:t>
            </w:r>
            <w:r>
              <w:rPr>
                <w:rFonts w:ascii="Times New Roman" w:hAnsi="Times New Roman"/>
                <w:color w:val="000000"/>
                <w:sz w:val="20"/>
              </w:rPr>
              <w:t> </w:t>
            </w:r>
            <w:r>
              <w:rPr>
                <w:rFonts w:ascii="Times New Roman" w:hAnsi="Times New Roman"/>
                <w:color w:val="000000"/>
                <w:sz w:val="18"/>
              </w:rPr>
              <w:t>shares issued and outstanding as of December 31, 2023; 256,365,817</w:t>
            </w:r>
            <w:r>
              <w:rPr>
                <w:rFonts w:ascii="Times New Roman" w:hAnsi="Times New Roman"/>
                <w:color w:val="000000"/>
                <w:sz w:val="20"/>
              </w:rPr>
              <w:t> </w:t>
            </w:r>
            <w:r>
              <w:rPr>
                <w:rFonts w:ascii="Times New Roman" w:hAnsi="Times New Roman"/>
                <w:color w:val="000000"/>
                <w:sz w:val="18"/>
              </w:rPr>
              <w:t>and 161,710,480</w:t>
            </w:r>
            <w:r>
              <w:rPr>
                <w:rFonts w:ascii="Times New Roman" w:hAnsi="Times New Roman"/>
                <w:color w:val="000000"/>
                <w:sz w:val="20"/>
              </w:rPr>
              <w:t> </w:t>
            </w:r>
            <w:r>
              <w:rPr>
                <w:rFonts w:ascii="Times New Roman" w:hAnsi="Times New Roman"/>
                <w:color w:val="000000"/>
                <w:sz w:val="18"/>
              </w:rPr>
              <w:t>shares authorized as of December 31, 2024 and 2023 (refer to note 2.19)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127,310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Series A shares, £0.0001</w:t>
            </w:r>
            <w:r>
              <w:rPr>
                <w:rFonts w:ascii="Times New Roman" w:hAnsi="Times New Roman"/>
                <w:color w:val="000000"/>
                <w:sz w:val="20"/>
              </w:rPr>
              <w:t> </w:t>
            </w:r>
            <w:r>
              <w:rPr>
                <w:rFonts w:ascii="Times New Roman" w:hAnsi="Times New Roman"/>
                <w:color w:val="000000"/>
                <w:sz w:val="18"/>
              </w:rPr>
              <w:t>nominal value 4,575,983</w:t>
            </w:r>
            <w:r>
              <w:rPr>
                <w:rFonts w:ascii="Times New Roman" w:hAnsi="Times New Roman"/>
                <w:color w:val="000000"/>
                <w:sz w:val="20"/>
              </w:rPr>
              <w:t> </w:t>
            </w:r>
            <w:r>
              <w:rPr>
                <w:rFonts w:ascii="Times New Roman" w:hAnsi="Times New Roman"/>
                <w:color w:val="000000"/>
                <w:sz w:val="18"/>
              </w:rPr>
              <w:t>shares issued, authorized and outstanding as of December 31, 2023 (refer to note 2.19)</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3,868</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Additional paid-in capital</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194,062,767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172,204,832</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Share subscription receivable</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(178,720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Accumulated deficit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(232,075,815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(226,291,430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Accumulated other comprehensive loss</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(150,744</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stockholders’ deficit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(37,996,582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(54,284,884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67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 and stockholders’ deficit</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19,788,157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2,536,484</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sz w:val="20"/>
        </w:rPr>
      </w:pPr>
      <w:bookmarkStart w:id="30" w:name="operations_20f"/>
      <w:bookmarkEnd w:id="30"/>
      <w:r>
        <w:rPr>
          <w:rFonts w:ascii="Times New Roman" w:hAnsi="Times New Roman"/>
          <w:b/>
          <w:color w:val="000000"/>
          <w:sz w:val="20"/>
        </w:rPr>
        <w:t>Consolidated Statements of Operations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53"/>
        <w:gridCol w:w="146"/>
        <w:gridCol w:w="218"/>
        <w:gridCol w:w="1245"/>
        <w:gridCol w:w="166"/>
        <w:gridCol w:w="146"/>
        <w:gridCol w:w="224"/>
        <w:gridCol w:w="1214"/>
        <w:gridCol w:w="393"/>
      </w:tblGrid>
      <w:tr>
        <w:trPr/>
        <w:tc>
          <w:tcPr>
            <w:tcW w:w="64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145,051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revenue (see note 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and marketing expenses (including related party transactions of $1,011,119 and $2,072,224, see note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6,731,254</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 expenses (including related party transactions of $68,413,399 and $4,830,987, see note 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131,430,412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17,986,528</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1,156,316</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242,436</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138,230,574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26,151,325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(138,042,786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(26,006,274</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(10,557,714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(4,791,782</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Gain/(loss) on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19,001,681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Gain/(loss) on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(44,332,819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non-operating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125,366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(34,559,071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(4,666,416</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(172,601,857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(30,672,690</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(63,408</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(172,646,790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(30,736,098</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(0.20</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162,855,146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151,256,853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bookmarkStart w:id="31" w:name="consolidated_statements_of_comprehensive"/>
      <w:bookmarkEnd w:id="31"/>
      <w:r>
        <w:rPr>
          <w:rFonts w:ascii="Times New Roman" w:hAnsi="Times New Roman"/>
          <w:b/>
          <w:color w:val="000000"/>
          <w:sz w:val="20"/>
        </w:rPr>
        <w:t>Consolidated Statements of Comprehensive Loss</w:t>
      </w:r>
    </w:p>
    <w:p>
      <w:pPr>
        <w:pStyle w:val="TextBody"/>
        <w:bidi w:val="0"/>
        <w:spacing w:before="40" w:after="283"/>
        <w:jc w:val="left"/>
        <w:rPr/>
      </w:pPr>
      <w:r>
        <w:rPr/>
        <w:t> </w:t>
      </w:r>
    </w:p>
    <w:tbl>
      <w:tblPr>
        <w:tblW w:w="6985" w:type="dxa"/>
        <w:jc w:val="left"/>
        <w:tblInd w:w="0" w:type="dxa"/>
        <w:tblLayout w:type="fixed"/>
        <w:tblCellMar>
          <w:top w:w="28" w:type="dxa"/>
          <w:left w:w="28" w:type="dxa"/>
          <w:bottom w:w="28" w:type="dxa"/>
          <w:right w:w="28" w:type="dxa"/>
        </w:tblCellMar>
      </w:tblPr>
      <w:tblGrid>
        <w:gridCol w:w="3316"/>
        <w:gridCol w:w="146"/>
        <w:gridCol w:w="224"/>
        <w:gridCol w:w="1276"/>
        <w:gridCol w:w="166"/>
        <w:gridCol w:w="146"/>
        <w:gridCol w:w="242"/>
        <w:gridCol w:w="1258"/>
        <w:gridCol w:w="21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(172,646,790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(30,736,098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gain/(loss)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(69,565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(172,506,316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(30,805,663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sz w:val="20"/>
        </w:rPr>
      </w:pPr>
      <w:bookmarkStart w:id="32" w:name="stockholders_equity_20f"/>
      <w:bookmarkEnd w:id="32"/>
      <w:r>
        <w:rPr>
          <w:rFonts w:ascii="Times New Roman" w:hAnsi="Times New Roman"/>
          <w:b/>
          <w:color w:val="000000"/>
          <w:sz w:val="20"/>
        </w:rPr>
        <w:t>Consolidated Statements of Stockholders’ Deficit</w:t>
      </w:r>
      <w:r>
        <w:rPr>
          <w:rFonts w:ascii="Times New Roman" w:hAnsi="Times New Roman"/>
          <w:color w:val="000000"/>
          <w:sz w:val="20"/>
        </w:rPr>
        <w:t xml:space="preserve"> </w:t>
      </w:r>
    </w:p>
    <w:p>
      <w:pPr>
        <w:pStyle w:val="TextBody"/>
        <w:bidi w:val="0"/>
        <w:jc w:val="left"/>
        <w:rPr/>
      </w:pPr>
      <w:r>
        <w:rPr/>
        <w:t> </w:t>
      </w:r>
    </w:p>
    <w:tbl>
      <w:tblPr>
        <w:tblW w:w="13389" w:type="dxa"/>
        <w:jc w:val="left"/>
        <w:tblInd w:w="0" w:type="dxa"/>
        <w:tblLayout w:type="fixed"/>
        <w:tblCellMar>
          <w:top w:w="28" w:type="dxa"/>
          <w:left w:w="28" w:type="dxa"/>
          <w:bottom w:w="28" w:type="dxa"/>
          <w:right w:w="28" w:type="dxa"/>
        </w:tblCellMar>
      </w:tblPr>
      <w:tblGrid>
        <w:gridCol w:w="1066"/>
        <w:gridCol w:w="146"/>
        <w:gridCol w:w="146"/>
        <w:gridCol w:w="841"/>
        <w:gridCol w:w="146"/>
        <w:gridCol w:w="146"/>
        <w:gridCol w:w="241"/>
        <w:gridCol w:w="146"/>
        <w:gridCol w:w="631"/>
        <w:gridCol w:w="151"/>
        <w:gridCol w:w="146"/>
        <w:gridCol w:w="146"/>
        <w:gridCol w:w="736"/>
        <w:gridCol w:w="151"/>
        <w:gridCol w:w="146"/>
        <w:gridCol w:w="241"/>
        <w:gridCol w:w="146"/>
        <w:gridCol w:w="481"/>
        <w:gridCol w:w="151"/>
        <w:gridCol w:w="146"/>
        <w:gridCol w:w="241"/>
        <w:gridCol w:w="146"/>
        <w:gridCol w:w="886"/>
        <w:gridCol w:w="151"/>
        <w:gridCol w:w="146"/>
        <w:gridCol w:w="241"/>
        <w:gridCol w:w="146"/>
        <w:gridCol w:w="886"/>
        <w:gridCol w:w="151"/>
        <w:gridCol w:w="146"/>
        <w:gridCol w:w="241"/>
        <w:gridCol w:w="146"/>
        <w:gridCol w:w="631"/>
        <w:gridCol w:w="151"/>
        <w:gridCol w:w="146"/>
        <w:gridCol w:w="241"/>
        <w:gridCol w:w="146"/>
        <w:gridCol w:w="631"/>
        <w:gridCol w:w="151"/>
        <w:gridCol w:w="146"/>
        <w:gridCol w:w="241"/>
        <w:gridCol w:w="146"/>
        <w:gridCol w:w="886"/>
        <w:gridCol w:w="196"/>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Ordinary 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Series A 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w:t>
              <w:br/>
              <w:t>subscription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Shareholders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receivable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at January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151,419,672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126,677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4,575,983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3,868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163,165,083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(195,555,332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(178,720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(81,179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(32,519,603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 to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26,634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199,954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199,974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 from exercise of share-options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815,989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 in lieu of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115,190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115,190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3,646,017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3,646,017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Employee 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5,079,201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5,079,201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(30,736,098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(30,736,098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Foreign currency translation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(69,565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(69,565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152,262,295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127,310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4,575,983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3,868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172,204,832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(226,291,430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(178,720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(150,744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(54,284,884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 in lieu of cash payment for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304,137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304,152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 issued with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Recapitalization upon demerger of Rezolve Limited to Rezolve AI plc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4,575,983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(107,368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(4,575,983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(176,274,941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176,207,457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178,720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 - employees shares restrictions lifted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9,512,821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18,834,889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18,836,099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 -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63,001,392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63,001,392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 employees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4,314,649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4,314,649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payments for consultancy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217,365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217,365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 in lieu of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1,275,000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1,275,000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ordinary shares upon acquisition of Armada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5,826,796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(9,345,052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(9,344,318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574,993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575,000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 on conversion of advisors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1,930,036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17,949,335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17,949,589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16,241,547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16,242,944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issued under the rights issue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11,053,076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9,009,884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9,011,193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 on conversion of senior secured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12,035,025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52,399,823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52,401,332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 on conversion of convertible promissory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4,310,208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14,008,078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14,008,437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(172,646,790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(172,646,790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Foreign currency translation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140,474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140,474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208,260,754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26,816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194,062,767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(232,075,815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(10,270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(37,996,582</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consolidated financial statements</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sz w:val="20"/>
        </w:rPr>
      </w:pPr>
      <w:bookmarkStart w:id="33" w:name="cash_flows_20f"/>
      <w:bookmarkEnd w:id="33"/>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spacing w:before="40" w:after="283"/>
        <w:jc w:val="center"/>
        <w:rPr/>
      </w:pPr>
      <w:r>
        <w:rPr/>
        <w:t> </w:t>
      </w:r>
    </w:p>
    <w:tbl>
      <w:tblPr>
        <w:tblW w:w="9870" w:type="dxa"/>
        <w:jc w:val="left"/>
        <w:tblInd w:w="0" w:type="dxa"/>
        <w:tblLayout w:type="fixed"/>
        <w:tblCellMar>
          <w:top w:w="28" w:type="dxa"/>
          <w:left w:w="28" w:type="dxa"/>
          <w:bottom w:w="28" w:type="dxa"/>
          <w:right w:w="28" w:type="dxa"/>
        </w:tblCellMar>
      </w:tblPr>
      <w:tblGrid>
        <w:gridCol w:w="5721"/>
        <w:gridCol w:w="196"/>
        <w:gridCol w:w="180"/>
        <w:gridCol w:w="1320"/>
        <w:gridCol w:w="166"/>
        <w:gridCol w:w="196"/>
        <w:gridCol w:w="195"/>
        <w:gridCol w:w="1305"/>
        <w:gridCol w:w="591"/>
      </w:tblGrid>
      <w:tr>
        <w:trPr/>
        <w:tc>
          <w:tcPr>
            <w:tcW w:w="5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(172,646,790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(30,736,098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242,436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Impairment of loans receivable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1,156,316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Share-based compensation - employees shares restrictions lifted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18,836,099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 based compensation for employees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4,314,649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5,079,201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 based compensation issued to related parties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63,001,392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3,646,017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 based compensation for consultancy services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Ordinary shares issued in lieu of cash payment for services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Advisor loan issued for services - Northlands Securities (refer to note 7.7)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5,141,250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Advisor loan issued for services - J.V.B. Financial Group (refer to note 7.7)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Advisor loan issued for services- Cantor Fitzgerald (refer to note 7.7)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10,557,714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4,791,782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on derivatives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(19,001,681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extinguishment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44,332,819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foreign exchange (gain)/loss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(1,329,775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375,298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non-cash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Changes in operating assets and liabilities: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(Increase) in accounts receivable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(Increase) in prepaid expense and other current assets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(906,198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(416,069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Increase in accounts payable, accrued expenses and other payables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2,310,465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Increase in payables due to related parties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209,997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552,456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Net cash used in operating activities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(21,642,715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(13,001,875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 of property and equipment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(14,376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Development of intangible assets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(3,523,852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(1,767,148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Net cash (used in) investing activities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(3,528,626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(1,781,524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merger with Armada</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rights issuance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1,405,592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7,767,674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short-term debt from related party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6,623,541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4,369,413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 of short-term debt obligation from related parties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(1,153,750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convertible promissory loans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11,859,249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 of promissory notes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(1,471,852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promissory notes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 to related parties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199,974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Repayments of rights issue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ordinary shares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16,444,773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exercise of warrants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long-term debt obligation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2,625,000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Net cash flow generated from financing activities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34,585,896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14,712,061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exchange rate changes on cash</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42,399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change in cash</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9,440,503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(28,939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 beginning of year</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39,380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and cash equivalents, end of year</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9,450,944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10,441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Share-based payment for development of intangible asset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115,190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Cash paid for interest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Cash paid for taxes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interest payable converted to principal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4,040,989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jc w:val="center"/>
        <w:rPr/>
      </w:pPr>
      <w:bookmarkStart w:id="34" w:name="notes_to_consolidated_financial_statemnt"/>
      <w:bookmarkEnd w:id="34"/>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b/>
          <w:color w:val="000000"/>
          <w:sz w:val="20"/>
        </w:rPr>
        <w:t>Organization</w:t>
      </w:r>
      <w:r>
        <w:rPr>
          <w:color w:val="000000"/>
        </w:rPr>
        <w:t xml:space="preserve"> </w:t>
      </w:r>
      <w:r>
        <w:rPr>
          <w:rFonts w:ascii="Times New Roman" w:hAnsi="Times New Roman"/>
          <w:b/>
          <w:color w:val="000000"/>
          <w:sz w:val="20"/>
        </w:rPr>
        <w:t xml:space="preserve">and nature of operations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Group Limited (“Rezolve” or “the Company”) was incorporated in England and Wales on January 5, 2023 and changed its name on June 5, 2023 to Rezolve AI Limited. On March 28, 2025, the Company altered its legal status under English law from a private limited company and re-registered as a public limited company. In connection with the re-registration as a public limited company, the Company changed its name from Rezolve AI Limited to Rezolve AI plc.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Rezolve is a mobile commerce and engagement platform that enables retailers and brands to deliver rich and engaging mobile experiences to consumers. The mailing address of Rezolve’s registered office is 21 Sackville Street, London, W1S 3DN, United Kingdom. </w:t>
      </w:r>
    </w:p>
    <w:p>
      <w:pPr>
        <w:pStyle w:val="TextBody"/>
        <w:bidi w:val="0"/>
        <w:spacing w:before="24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Basis of presentation and summary of significant accounting policies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Consolidated Financial Statements of Rezolve AI plc and subsidiaries (together “the Company” or “we”) have been prepared in accordance with accounting principles generally accepted in the United States of America (“US GAAP”). The consolidated financial statements have been prepared using the United Stated Dollar (“$” or “US dollar”) as the reporting currency.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accompanying Consolidated Financial Statements include the financial statements of Rezolve AI plc,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Chinese Business”) which were abandoned on January 3, 2023 (see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3, 2023, the Company’s directors approved a plan to abandon its operations in China completely. Subsequently, on January 5, 2023, the Company’s directors approved an application to the United Kingdom (the “UK”) tax authorities requesting tax clearance for a solvent demerger (the “Pre-Closing Demerger” or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Pre-Closing Demerger was completed on July 4, 2024. A new holding company Rezolve AI plc was established.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Therefore upon the completion of the Pre-Closing Demerger, Rezolve AI plc ended up with the same business as Rezolve Limited but without the Chinese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15, 2024, Armada Acquisition Corp. I, a Delaware corporation (“Armada”), Rezolve AI plc and Rezolve Merger Sub, Inc., a Delaware corporation (“Rezolve Merger Sub”), consummated a business combination (the “Business Combination”) pursuant to which the Company effected a company reorganization whereby the Company’s series A shares were reclassified as ordinary shares and Armada merged with and into Rezolve Merger Sub, with Armada surviving as a wholly owned subsidiary of Rezolve, with shareholders of Armada receiving ordinary shares of the Company in exchange for their existing Armada common stock and Armada warrant holders having their warrants automatically exchanged for warrants of the Company (see note 8). Upon the closing of the Business Combination, the Company became the direct parent of Armada. The Business Combination was accounted for as a reverse merger under ASC 805, whereby Rezolve AI plc was deemed to be the accounting acquirer for financial reporting purposes and Armada was treated as the accounting acquiree. This determination was primarily based on the expectation that, immediately following the reverse merger: former Rezolve AI plc’s stockholders own a substantial majority of the voting rights in the combined company; former Rezolve AI plc’s largest stockholders retain the largest interest in the combined company and former Rezolve AI plc’s executive management team became the management team of the combined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accounting purposes the Business Combination, accounted for as a reverse merger, was treated as the equivalent of Rezolve AI plc issuing 5,827,796 ordinary shares to acquire the net liabilities of Armada. The excess amount paid by an investor over the par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value of ordinary shares issued usually is allocated to additional paid-in capital, however as the Business Combination resulted in the issuance of ordinary shares to acquire the net liabilities of Armada, it rendered a negative amount of additional paid-in capital. In accordance with ASC 505-30-30-8, the Company made an accounting policy election that additional paid-in capital cannot be a negative amount and therefore the negative amount was allocated to accumulated deficit.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net liabilities of Armada are recorded at their acquisition-date fair value in the Consolidated Financial Statements as follows:</w:t>
      </w:r>
    </w:p>
    <w:p>
      <w:pPr>
        <w:pStyle w:val="TextBody"/>
        <w:bidi w:val="0"/>
        <w:spacing w:before="240" w:after="283"/>
        <w:jc w:val="left"/>
        <w:rPr/>
      </w:pPr>
      <w:r>
        <w:rPr/>
        <w:t> </w:t>
      </w:r>
    </w:p>
    <w:tbl>
      <w:tblPr>
        <w:tblW w:w="4935" w:type="dxa"/>
        <w:jc w:val="left"/>
        <w:tblInd w:w="0" w:type="dxa"/>
        <w:tblLayout w:type="fixed"/>
        <w:tblCellMar>
          <w:top w:w="28" w:type="dxa"/>
          <w:left w:w="28" w:type="dxa"/>
          <w:bottom w:w="28" w:type="dxa"/>
          <w:right w:w="28" w:type="dxa"/>
        </w:tblCellMar>
      </w:tblPr>
      <w:tblGrid>
        <w:gridCol w:w="3376"/>
        <w:gridCol w:w="211"/>
        <w:gridCol w:w="146"/>
        <w:gridCol w:w="991"/>
        <w:gridCol w:w="211"/>
      </w:tblGrid>
      <w:tr>
        <w:trPr/>
        <w:tc>
          <w:tcPr>
            <w:tcW w:w="3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and accrued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(4,873,019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(promissory notes)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(3,144,883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(1,499,936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liabilities acquired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(9,345,052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Deficit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(9,345,052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Consolidated Financial Statements of Rezolve AI plc and subsidiaries have been prepared on the following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Pre-Closing Demerger was completed retrospectively on December 31, 2021, and thus reflects the predecessor company, Rezolve Limited, prior to completion of the Pre-Closing Demerger. These Consolidated Financial Statements are therefore prepared on a carve-out basis. All costs of doing business in Rezolve Limited have been reflected in Rezolve AI plc on a 100% allocation basis since management feels that this fully reflects the Consolidated Financial Statements had the Demerger completed on December 31, 2022. Investments made in the China Business by Rezolve Limited in the People’s Republic of China (“China”) for the years ending December 31, 2024 and December 31, 2023 have been recorded as “Business development expenses”, a component of General and Administrative expenses within the Company’s Consolidated Statement of Operations in accordance with </w:t>
      </w:r>
      <w:r>
        <w:rPr>
          <w:rFonts w:ascii="Times New Roman" w:hAnsi="Times New Roman"/>
          <w:i/>
          <w:color w:val="000000"/>
          <w:sz w:val="20"/>
        </w:rPr>
        <w:t>Staff Accounting Bulletin Topic 1-B1, Costs Reflected in Historical Financial Statements</w:t>
      </w:r>
      <w:r>
        <w:rPr>
          <w:rFonts w:ascii="Times New Roman" w:hAnsi="Times New Roman"/>
          <w:color w:val="000000"/>
          <w:sz w:val="20"/>
        </w:rPr>
        <w:t xml:space="preserve"> (“SAB 1-B1”). Management asserts that this method used is reasonable.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the ownership structure of Rezolve Limited and Rezolve AI plc, the Pre-Closing Demerger was accounted for as a common control transaction in accordance with the common control guidance in ASC 805. The net liabilities of Rezolve Limited were transferred to Rezolve AI plc at their carrying values immediately prior to the Pre-Closing Demerger transaction, with an offsetting impact to Additional Paid in Capital which was then recapitalized to Accumulated Deficit. The Consolidated Financial Statements as of and for the year ended December 31, 2023 and the period January 1, 2024 to July 4, 2024 for Rezolve Limited have been aggregated with the Consolidated Financial Statements of the Company for the period July 5, 2024 to December 31, 2024.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shares issued in Rezolve AI plc to the shareholders of Rezolve Limited pursuant to the Pre-Closing Demerger was in the order of 1 share in Rezolve AI plc for each 6.13 shares held in Rezolve Limited. This adjustment in share numbers enabled the issuance of the appropriate number of shares in Rezolve AI plc so that each Company Shareholder will after the Pre-Closing Demerger hold their applicable pro rata portion of the aggregate stock consideration in accordance with the terms of the Pre-Closing Demerger transaction. All share and per share amounts in these Consolidated Financial Statements and notes thereto have been retroactively adjusted for all periods presented to give effect to the Pre-Closing Demerger transaction. Additionally, holders of Series A shares of Rezolve AI plc received one Ordinary share in the Company for each Series A share held in Rezolve AI plc.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 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with the most significant impact on the entity’s economic performance, and (2) the right to receive benefits or the obligation to absorb losses from the entity which could potentially be significant to the entity.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intercompany balances and transactions have been eliminated.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list of subsidiaries and Rezolve AI plc’s holding as of December 31, 2024 and 2023 is as follows: </w:t>
      </w:r>
    </w:p>
    <w:p>
      <w:pPr>
        <w:pStyle w:val="TextBody"/>
        <w:bidi w:val="0"/>
        <w:jc w:val="left"/>
        <w:rPr/>
      </w:pPr>
      <w:r>
        <w:rPr/>
        <w:t> </w:t>
      </w:r>
    </w:p>
    <w:tbl>
      <w:tblPr>
        <w:tblW w:w="9037" w:type="dxa"/>
        <w:jc w:val="left"/>
        <w:tblInd w:w="0" w:type="dxa"/>
        <w:tblLayout w:type="fixed"/>
        <w:tblCellMar>
          <w:top w:w="28" w:type="dxa"/>
          <w:left w:w="28" w:type="dxa"/>
          <w:bottom w:w="28" w:type="dxa"/>
          <w:right w:w="28" w:type="dxa"/>
        </w:tblCellMar>
      </w:tblPr>
      <w:tblGrid>
        <w:gridCol w:w="3721"/>
        <w:gridCol w:w="146"/>
        <w:gridCol w:w="1681"/>
        <w:gridCol w:w="146"/>
        <w:gridCol w:w="2116"/>
        <w:gridCol w:w="146"/>
        <w:gridCol w:w="108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the entity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of</w:t>
              <w:br/>
              <w:t>incorporation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Country of</w:t>
              <w:br/>
              <w:t>incorporation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Group</w:t>
              <w:br/>
              <w:t>shareholding</w:t>
              <w:br/>
              <w:t>(%)</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Rezolve Taiwan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9, 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Taiwan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Rezolve Technology (India) Private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19,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Rezolve Mobile Commerce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20, 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States of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Rezolve Technology S.L.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25,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Spain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Rezolve AI IP Holdings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19,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Armada Acquisition Corp. 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15,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States of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Consolidated Financial Statements have been prepared using the United Stated Dollar ($) as its reporting currency.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Emerging Growth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provided that early adoption is permitted by the new or revised accounting standard. The Company has elected to not opt out of such extended transition period, 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ASC 205-40, Presentation of Financial Statements—Going Concern (“ASC 205-40”), management must evaluate whether there are conditions and events, considered in aggregate, that raise substantial doubt about the Company’s ability to continue as a going concern for one year after the date that these Consolidated Financial Statements are issued. In accordance with ASC 205-40, management’s analysis can only include the potential mitigating impact of management’s plans that have not been fully implemented as of the issuance date if (a) it is probable that management’s plans will be effectively implemented on a timely basis, and (b) it is probable that the plans, when implemented, will alleviate the relevant conditions or events that raise substantial doubt about the Company’s ability to continue as a going concern.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2024, the Company had an accumulated deficit of $232.1 million. For the year ended December 31, 2024, the Company incurred a net loss of $172.6 million and net cash used in operating activities was $21.6 million. Cash and cash equivalents totaled $9.5 million as of December 31, 2024, an increase of $9.4 million from December 31, 2023. The Company has a working capital deficit of $44.8 million as at December 31, 2024. The Company continues to incur losses while it develops technological services, targets customers and incurs costs for an initial public offering or business combination. Our sources of cash for these activities rely on debt and equity funding.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Seeking additional capital through the issuance of debt or equity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Generating revenue by execution of successful trials and long-term partner arrangements.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generate revenue from our technology.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Assumptions underlying the Company’s business plan are highly sensitive to the signing of revenue generating contracts, the successful outcome of trials for our services and the ability to control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the review of the strategic plan and budget, including expected developments in liquidity and capital from definitive agreements entered into, were considered. As of the date of issuance of these consolidated financial statements, the Company has a further $234.4 million remaining on the Standby Equity Purchase Agreement ("SEPA") capital commitment facility with YA II PN, LTD ("YA"), a Cayman Island exempt limited company. The SEPA is a share subscription facility which was signed and executed on February 23, 2023 and amended and restated on February 2, 2024 to provide for, inter alia, Rezolve AI Limited joining as a party to the agreement and the subscription by YA of a promissory convertible note (“YA Agreement”, note 7.6). The Company may continue to seek capital through the issuance of equity securities using the remaining undrawn capital commitment facility. Consequently, it has been concluded that adequate resources and liquidity to meet the cash flow requirements for the next twelve months are present, and it is reasonable to apply the going concern basis as the underlying assumption for the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long-lived assets, capitalized software and share-based compensation. Management believes that the estimates used in the preparation of the consolidated financial statements are prudent and reasonable. Although these estimates are based upon management’s best knowledge of current events and actions, actual results could differ from estimates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Foreign currency translation and transactions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functional currency of the Company is the US dollar, being the currency in which the Company and its predecessor company, Rezolve Limited, predominantly generates cash through financing transactions and expended cash in. The subsidiaries have different functional currencies such as the Euro, Indian Rupee and New Taiwan Dollar which have been determined on the basis of the primary economic environment in which each entity of the Company operates. Management believes that each individual entity’s functional currency reflects the transactions, events and conditions under which the entity conducts its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Transactions denominated in currencies other than our or our subsidiaries’ functional currencies are recorded based on exchange rates at the time such transactions arise. Assets and liabilities denominated in currencies other than the functional currency are remeasured using the current exchange rate for monetary accounts and historical exchange rates for non-monetary accounts, with exchange differences on remeasurement included in other income (expense), net in our consolidated statements of operations. Foreign subsidiaries that utilize foreign currency as their functional currency translate such currency into U.S. dollars using (i) the exchange rate on the balance sheet dates for assets and liabilities, (ii) the average exchange rates prevailing during the period for revenues and expenses, and (iii) historical exchange rates for equity. Any translation adjustments resulting from this process are shown separately as a component of accumulated other comprehensive income (loss) within shareholder’s deficit in the consolidated balance sheets and statement of comprehensive income (loss).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effects of exchange rates on cash balances held in foreign currencies are separately reported in our consolidated statements of cash flows.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Cash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comprises cash on hand and in current accounts which are readily available. Our cash is held in creditworthy financial institutions and is insured up to £85,000 in accordance with the regulations of the United Kingdom’s Financial Conduct Authority. The Company has not experienced any losses associated with cash held with financial institutions.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Accounts receivable, net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 receivable consists primarily of amounts related to fees charged to customers. Credit is extended based on evaluation of a customer’s financial condition and generally collateral is not required. Accounts receivable is stated at amounts due from customers net of an allowance for expected credit losses. The allowance for doubtful accounts is based upon our current estimate of lifetime expected credit losses related to uncollectible accounts receivable. The Company evaluates the need for an allowance for doubtful accounts based on historical collection trends, prevailing and anticipated macroeconomic conditions and specific customer credit risk. Accounts receivable in the accompanying consolidated financial statements does not have any allowances created for doubtful accounts.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Property and equipment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are stated at cost of acquisition less accumulated depreciation and accumulated impairment provisions, however, there have been no indicators identified during the reporting periods.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 item of property and equipment is derecognized upon disposal or when no future economic benefits are expected from its use. Any gain or loss arising on derecognition of the asset (calculated as the difference between the net disposal proceeds and the net carrying amount of the asset) is included in the consolidated statement of comprehensive operations, in the year the asset is derecognized.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Depreciation on property and equipment is charged to expense on a systematic basis over the useful life of assets as estimated by the management. Depreciation is computed using the straight-line method. The useful lives estimated by the management are as follows: </w:t>
      </w:r>
    </w:p>
    <w:p>
      <w:pPr>
        <w:pStyle w:val="TextBody"/>
        <w:bidi w:val="0"/>
        <w:jc w:val="left"/>
        <w:rPr/>
      </w:pPr>
      <w:r>
        <w:rPr/>
        <w:t> </w:t>
      </w:r>
    </w:p>
    <w:tbl>
      <w:tblPr>
        <w:tblW w:w="2548" w:type="dxa"/>
        <w:jc w:val="left"/>
        <w:tblInd w:w="0" w:type="dxa"/>
        <w:tblLayout w:type="fixed"/>
        <w:tblCellMar>
          <w:top w:w="28" w:type="dxa"/>
          <w:left w:w="28" w:type="dxa"/>
          <w:bottom w:w="28" w:type="dxa"/>
          <w:right w:w="28" w:type="dxa"/>
        </w:tblCellMar>
      </w:tblPr>
      <w:tblGrid>
        <w:gridCol w:w="1531"/>
        <w:gridCol w:w="146"/>
        <w:gridCol w:w="87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Repairs and maintenance of property and equipment are expensed as incurred; enhancements and improvements that extend the life of property and equipment are capitalized into their cost.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Intangible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Intangible assets consist of computer software and internal-use software. </w:t>
      </w:r>
    </w:p>
    <w:p>
      <w:pPr>
        <w:pStyle w:val="TextBody"/>
        <w:bidi w:val="0"/>
        <w:spacing w:before="360" w:after="283"/>
        <w:jc w:val="left"/>
        <w:rPr>
          <w:rFonts w:ascii="Times New Roman" w:hAnsi="Times New Roman"/>
          <w:sz w:val="20"/>
        </w:rPr>
      </w:pPr>
      <w:r>
        <w:rPr>
          <w:rFonts w:ascii="Times New Roman" w:hAnsi="Times New Roman"/>
          <w:i/>
          <w:color w:val="000000"/>
          <w:sz w:val="20"/>
        </w:rPr>
        <w:t>Computer software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Computer software acquired separately is measured on initial recognition at cost. Following initial recognition, such assets are carried at cost less any accumulated amortization and any accumulated impairment losses, however, there have been no indicators of impairment identified during the years ended 2024 and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Computer software assets are amortized over their useful economic life less their estimated residual value and assessed for impairment whenever there is an indication that the intangible asset may be impaired. Gains or losses arising from de-recognition of an intangible asset are measured as the difference between the net disposal proceeds and the net carrying amount of the asset and are recognized in profit or loss in the consolidated statement of operations when the asset is derecognized.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initial useful lives of computer software assets as estimated by management are summarized as follows: </w:t>
      </w:r>
    </w:p>
    <w:p>
      <w:pPr>
        <w:pStyle w:val="TextBody"/>
        <w:bidi w:val="0"/>
        <w:jc w:val="left"/>
        <w:rPr/>
      </w:pPr>
      <w:r>
        <w:rPr/>
        <w:t> </w:t>
      </w:r>
    </w:p>
    <w:tbl>
      <w:tblPr>
        <w:tblW w:w="1843" w:type="dxa"/>
        <w:jc w:val="left"/>
        <w:tblInd w:w="0" w:type="dxa"/>
        <w:tblLayout w:type="fixed"/>
        <w:tblCellMar>
          <w:top w:w="28" w:type="dxa"/>
          <w:left w:w="28" w:type="dxa"/>
          <w:bottom w:w="28" w:type="dxa"/>
          <w:right w:w="28" w:type="dxa"/>
        </w:tblCellMar>
      </w:tblPr>
      <w:tblGrid>
        <w:gridCol w:w="826"/>
        <w:gridCol w:w="146"/>
        <w:gridCol w:w="871"/>
      </w:tblGrid>
      <w:tr>
        <w:trPr/>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Internal-use software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capitalize internal and external costs directly associated with the development of internal-use software. Maintenance and training costs, as well as costs incurred during the preliminary stage of an internal-use software development project, are expensed as incurred. The Company has not commenced amortizing the in-development software as it not yet ready for its intended use. The Company reviews internal-use software for impairment when an event or changes in business circumstances indicate that the carrying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amount of the asset may not be fully recoverable. There were no indicators of impairment for internal-use software as of December 31, 2024 and December 31, 2023 and the years then ended.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Impairment of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reviews assets, including the property and equipment and definite-life intangible assets, for impairment when an event or changes in business circumstances indicate that the carrying amount of the asset may not be fully recoverable. An impairment loss is recognized when estimated undiscounted future cash flows expected to result from use of the asset and its eventual disposition are less than the carrying amount. Impairment loss, if any, is measured as the difference between the fair value of an asset, as measured by discounted cash flows and the asset’s carrying value.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were no indicators of impairment for any of the long-lived assets as of December 31, 2024 and December 31, 2023 and the years then ended.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Convertible Debt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Convertible notes are regarded as hybrid instruments, consisting of a liability component and an equity component.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host instrument (i.e., convertible note or debt element of the outstanding instruments) is classified as a financial liability and recorded at the present value of the Company’s obligation to make future interest payments in cash and settle the redemption value of the instrument in cash. The carrying value of the host instrument is accounted for at amortized cost and is therefore accreted to the original face value of the instrument, over the life, using the effective interest method.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When the Company issues debt with a conversion feature, we assess, in accordance with ASC 480-10 -Distinguishing Liabilities from Equity and ASC 815 - Derivatives and Hedging, whether the conversion feature meets the requirements to be treated as a derivative, as follows: (a) one or more underlying’s, typically the price of our common stock; (b) one or more notional amounts or payment provisions or both, generally the number of shares upon conversion; (c) no initial net investment, which typically excludes the amount borrowed; and (d) net settlement provisions, which in the case of convertible debt generally means the stock received upon conversion can be readily sold for cash.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conversion features of convertible debt instruments issued by the Company, that meet the requirements to be bifurcated and treated as derivatives, are recorded as either financial assets or financial liabilities, in accordance with the substance of the contractual arrangements and the definitions of either a financial asset or a financial liability. These financial assets or a financial liabilities are initially recognized at fair value and classified as derivative assets or liabilities in the consolidated balance sheet. Changes in the fair value of the derivative assets or liabilities are subsequently accounted for directly through the consolidated statements of operations and comprehensive income (loss) and are included in operating activities in the consolidated statements of cash flows as non-cash adjustment.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conversion options are valued using certain directly and indirectly observable inputs and are classified as Level 2 in the fair value hierarchy in accordance with ASC 820 - Fair Value Measurement. The Company utilizes a third party valuation expert to determine the estimated fair value of the derivatives. The third party valuation expert estimates the fair value of the derivative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 The derivative is revalued at the end of each reporting period and any change in fair value is recorded as a gain or loss in the statement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also considers the impact, if any, of the dilutive effect of the shares of its common stock issuable upon conversion of the outstanding convertible debt in its diluted income per share, see note 2.20.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Deferred financing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Deferred financing costs include debt discounts and debt issuance costs related to a recognized debt liability and are presented in the balance sheet as a direct reduction from the carrying value of the debt liability. Amortization of deferred financing costs are included as a component of interest expense. Deferred financing costs are amortized using the effective interest method.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Revenue recognition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ASC 606, the Company determines revenue recognition through the following steps: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the contract, or contracts, with the customer;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the performance obligations in the contract;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Determining the transaction price;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Allocating the transaction price to performance obligations in the contract;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Recognizing revenue when, or as, the Company satisfies performance obligations by transferring the promised goods or services. </w:t>
      </w:r>
    </w:p>
    <w:p>
      <w:pPr>
        <w:pStyle w:val="TextBody"/>
        <w:bidi w:val="0"/>
        <w:spacing w:before="360" w:after="283"/>
        <w:jc w:val="left"/>
        <w:rPr>
          <w:rFonts w:ascii="Times New Roman" w:hAnsi="Times New Roman"/>
          <w:sz w:val="20"/>
        </w:rPr>
      </w:pPr>
      <w:r>
        <w:rPr>
          <w:rFonts w:ascii="Times New Roman" w:hAnsi="Times New Roman"/>
          <w:i/>
          <w:color w:val="000000"/>
          <w:sz w:val="20"/>
        </w:rPr>
        <w:t>Ticketing Commissions (Spain)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single source of revenue is for the commission from sales of football tickets for La Liga in Spain through our platform technology. La Liga pays a commission for each football ticket sold through our platform technology.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Revenue is recognized in accordance with ASC 606 “Revenue from Contracts with Customers” at the point in time when a football ticket is sold on our platform technology.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Cost of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revenues consists of expenses incurred directly in relation to the earning of revenues such as partner’s fees and the impairment of current assets (see note 2.11).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Operating segments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Group’s Chief Executive Officer is the Company’s CODM. The CODM reviews financial information presented on a consolidated basis for purposes of making operating decisions, allocating resources, and evaluating financial performance. The Company has determined that it operates as one operating segment.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the Company operates as one operating segment, financial data provided in the consolidated financial statements, including total revenues of $187,788 (2023:$145,051), total operating expenses of $138,230,574 (2023:$26,151,325), consolidated net loss of $172,646,790 (2023: $30,736,098), and total assets of $19,788,157 (2023: $2,536,484), represent the performance of our single reportable segment. The consolidated statements of operations reflect the same level of significant expense categories regularly provided to the CODM for decision-making purposes. Sales and marketing expenses reported in the consolidated statements of operations includes advertising expenses, payroll expenses, and consultancy charges (see note 12). General and administrative expenses reported in the consolidated statements of operations includes IT expenses, legal and professional expenses, payroll expenses and consultancy charges (see note 12).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does not review segment assets at a different level or category than those disclosed in the consolidated balance sheet.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Research and development credits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Credits for research and development activities relate to government incentives on qualifying research and development expenditures in the United Kingdom. These refundable credits are recognized within other non-operating income when they are filed with the government authorities and there is no uncertainty on the realization of the credits until they are refundable.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Share-based compensation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measures the cost of share-based awards granted to employees, non-employees and directors based on the grant-date fair value of the awards. The grant-date fair value of the share options is calculated using a Black-Scholes Merton option pricing model. The value of the portion of the award, after considering potential forfeitures, that is ultimately expected to vest is recognized as expense in our statements of operations on a over the requisite service periods. The Company elected to recognize the effect of forfeitures in the period that they occur.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Shareholders’ deficit and reserves </w:t>
      </w:r>
    </w:p>
    <w:p>
      <w:pPr>
        <w:pStyle w:val="TextBody"/>
        <w:bidi w:val="0"/>
        <w:spacing w:before="120" w:after="283"/>
        <w:jc w:val="left"/>
        <w:rPr>
          <w:rFonts w:ascii="Times New Roman" w:hAnsi="Times New Roman"/>
          <w:sz w:val="20"/>
        </w:rPr>
      </w:pPr>
      <w:r>
        <w:rPr>
          <w:rFonts w:ascii="Times New Roman" w:hAnsi="Times New Roman"/>
          <w:b/>
          <w:color w:val="000000"/>
          <w:sz w:val="20"/>
        </w:rPr>
        <w:t>Authorized and Outstanding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2024, the Company has one class of issued shares, ordinary shares. As of December 31, 2023, the Company had two classes of issued shares, ordinary shares and Series A preferred shares. On August 15, 2024, the Company’s series A shares were reclassified as Ordinary Shares, see note 2.1.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series A preferred and ordinary shareholder are entitled to one vote per share. Holders of ordinary shares are entitled to receive dividends out of any asset legally available for payment of dividends only when such dividends are declared by the Board of Directors and approved by the majority of the shareholders. As of December 31, 2024 and 2023, the Company’s Board of Directors had not declared any dividends for ordinary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authorized and outstanding shares as of December 31, 2024 and December 31, 2023 as are follows, reflecting the impact of the Pre-Closing Demerger transaction whereby one share in Rezolve AI plc was issued to shareholders of Rezolve Limited for each 6.13 shares held (see note 2.1):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Ordinary shares: £0.0001 nominal value 208,260,754 shares issued and outstanding as of December 31, 2024; 152,262,295 shares issued and outstanding as of December 31, 2023; 256,365,817 and 161,710,480 shares authorized as of December 31, 2024 and 2023.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Series A shares: £0.0001 nominal value 4,575,983 shares issued, authorized and outstanding as of December 31,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9,513,181 restricted employee shares were outstanding due to an unofficial and unapproved equity incentive plan. These shares par value of £0.0001 per share were unpaid by the employees. The employee shares had significant restrictions including management’s and or the board’s rights to cancel the shares any time, restrictions on right to transfer, to vote and cumulative dividends. There were no vesting conditions including service conditions in relation to the shares issued. Considering the restrictions imposed on these shares, these shares were considered to be ungranted to the employees. The amount receivable for these employee shares and such employee shares issued were adjusted from the share subscription receivable and number of ordinary shares, respectively in the Company’s consolidated statement of changes in shareholder’s deficit as of and for the year ended December 31, 2023. The articles of incorporation of the Company were amended to remove these restrictions prior to the completion of the Pre-Closing Demerger transaction. The removal of these restrictions triggered a “grant date” as defined in ASC 718. As there were no vesting conditions, the shares were fully vested at grant date. The Company recognized a share-based payment expense of $18,836,099 during the year ended December 31, 2024 using a fair value of ordinary shares of $1.98. The fair value of the ordinary shares was estimated using a recent funding of the Company, historical discounts to share prices following an initial public offering through a Special Purpose Acquisition Corp ("SPAC"), while also considering the risk that the Company may not successfully close its Business Combination with Armada or complete the Demerger. The valuation used an estimated discount for lack of marketability using an average from the results of a Black-Scholes Protective Put Option Analysis, Asian Put Option Analysis and the Finnerty Put Option Analysis.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2.20.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Fair value measurement and concentration of credit risk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1—Inputs are quoted prices (unadjusted) in active markets for identical assets or liabilities that the Company has the ability to access at the measurement 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3—Inputs are unobservable inputs for the asset or liability.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level in the fair value hierarchy within which a fair value measurement in its entirety falls is based on the lowest-level input that is significant to the fair value measurement in its entirety.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Fair value measurement at reporting date: </w:t>
      </w:r>
    </w:p>
    <w:p>
      <w:pPr>
        <w:pStyle w:val="TextBody"/>
        <w:bidi w:val="0"/>
        <w:jc w:val="left"/>
        <w:rPr/>
      </w:pPr>
      <w:r>
        <w:rPr/>
        <w:t> </w:t>
      </w:r>
    </w:p>
    <w:tbl>
      <w:tblPr>
        <w:tblW w:w="6576" w:type="dxa"/>
        <w:jc w:val="left"/>
        <w:tblInd w:w="0" w:type="dxa"/>
        <w:tblLayout w:type="fixed"/>
        <w:tblCellMar>
          <w:top w:w="28" w:type="dxa"/>
          <w:left w:w="28" w:type="dxa"/>
          <w:bottom w:w="28" w:type="dxa"/>
          <w:right w:w="28" w:type="dxa"/>
        </w:tblCellMar>
      </w:tblPr>
      <w:tblGrid>
        <w:gridCol w:w="2821"/>
        <w:gridCol w:w="211"/>
        <w:gridCol w:w="631"/>
        <w:gridCol w:w="211"/>
        <w:gridCol w:w="146"/>
        <w:gridCol w:w="931"/>
        <w:gridCol w:w="146"/>
        <w:gridCol w:w="211"/>
        <w:gridCol w:w="146"/>
        <w:gridCol w:w="931"/>
        <w:gridCol w:w="191"/>
      </w:tblGrid>
      <w:tr>
        <w:trPr/>
        <w:tc>
          <w:tcPr>
            <w:tcW w:w="2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Fair value on recurring basis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Share-based payment liability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Derivative liability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Derivative asset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Fair value on recurring basis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Share-based payment liability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1,311,028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fair value of the share-based payment liability was valued using a discounted cash flow method using a risk adjusted discount rate of 10.8%. See note 7.5.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derivative asset and the derivative liability were valued by a third party valuation expert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 The derivative is revalued at the end of each reporting period and any change in fair value is recorded as a gain or loss in the statement of operations. See note 2.12.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derivative asset pertains to an option held by the Company to convert a promissory note payable to Northland Securities (see note 7.7).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derivative liabilities were triggered by conversion features embedded in promissory notes held by investors Cohen &amp; Company Financial Management LLC (note 7.6), J.V.B. Financial Group and Northlands Securities (see note 7.7). On August 15, 2024, the Company recognized derivative liabilities and an offsetting debt discount associated with the embedded conversion features in its senior secured convertible notes (see note 7.3), convertible promissory notes (see note 7.6) and advisors loans (see note 7.7). The Company previously did not bifurcate the embedded conversion features as derivatives due to the lack of an underlying share price prior to the Company's acquisition of Armada and listing of its Ordinary Shares on the NASDAQ. The Company no longer recognizes a derivative liability associated with the following debt liabilities due to the investors having exercised their conversion features by December 31,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Senior secured convertible notes (note 7.3);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YA notes (note 7.6);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Promissory notes (note 7.6)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carrying amount of the Company’s cash, accounts receivable, accounts payable and accrued expenses approximated their fair values due to their short term to maturity.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Accounts receivable and loan notes receivable are potentially subject to credit risk concentration. The Company has not experienced any material losses related to concentrations during the years presented. The Company, however, has a concentration risk related to its contract with its only customer such that at December 31, 2024, 100% of the Company’s accounts receivable is through its sole revenue generating agreement. If the sole agreement was terminated then such losses due to concentration risk may be material in the future and management makes no assurance that these losses may be avoided.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Accounts payable include balances for work incurred by third parties for the benefit of the company. At December 31, 2024 and 2023, the following vendors represented more than 10% of total accounts payable. </w:t>
      </w:r>
    </w:p>
    <w:p>
      <w:pPr>
        <w:pStyle w:val="TextBody"/>
        <w:bidi w:val="0"/>
        <w:jc w:val="left"/>
        <w:rPr/>
      </w:pPr>
      <w:r>
        <w:rPr/>
        <w:t> </w:t>
      </w:r>
    </w:p>
    <w:tbl>
      <w:tblPr>
        <w:tblW w:w="6278" w:type="dxa"/>
        <w:jc w:val="left"/>
        <w:tblInd w:w="0" w:type="dxa"/>
        <w:tblLayout w:type="fixed"/>
        <w:tblCellMar>
          <w:top w:w="28" w:type="dxa"/>
          <w:left w:w="28" w:type="dxa"/>
          <w:bottom w:w="28" w:type="dxa"/>
          <w:right w:w="28" w:type="dxa"/>
        </w:tblCellMar>
      </w:tblPr>
      <w:tblGrid>
        <w:gridCol w:w="2941"/>
        <w:gridCol w:w="146"/>
        <w:gridCol w:w="1215"/>
        <w:gridCol w:w="285"/>
        <w:gridCol w:w="146"/>
        <w:gridCol w:w="1214"/>
        <w:gridCol w:w="33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DLA Piper LLP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Donnelley Financial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Less than 10%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KPMG LLP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Less than 10%</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Taylor Wessing LLP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Less than 10%</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Wilson Sonsini Goodrich &amp; Rosati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Less than 10%</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Foreign currency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of the Company’s revenue is denominated in the Euro (“EUR”) since the sales of the Company are in Spain. Based upon the Company’s level of operations for the year ended December 31, 2024 and 2023, a sensitivity analysis shows that a 10% appreciation or depreciation in the EUR against the dollar would have increased or decreased, respectively, the Company’s revenue for the years ended December 31, 2024 and 2023 by approximately $18,779 and $14,505 respectively. </w:t>
      </w:r>
    </w:p>
    <w:p>
      <w:pPr>
        <w:pStyle w:val="TextBody"/>
        <w:bidi w:val="0"/>
        <w:spacing w:before="360" w:after="283"/>
        <w:jc w:val="left"/>
        <w:rPr>
          <w:rFonts w:ascii="Times New Roman" w:hAnsi="Times New Roman"/>
          <w:sz w:val="20"/>
        </w:rPr>
      </w:pPr>
      <w:r>
        <w:rPr>
          <w:rFonts w:ascii="Times New Roman" w:hAnsi="Times New Roman"/>
          <w:b/>
          <w:color w:val="000000"/>
          <w:sz w:val="20"/>
        </w:rPr>
        <w:t>Revenue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generate a significant portion of our revenue from a single agreement with La Liga from which we expect to generate most of our revenues in the near future. 100% of our revenue was derived from commission from the sale of La Liga football tickets for the year ended December 31, 2024 and 2023, respectively, and we anticipate that a significant portion of our revenue will continue to be derived from this agreement in the near future. The sudden loss of the agreement with La Liga or their decision not to renew the agreement could harm our business, results, operations and condition.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2.21.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income taxes and the related accounts in accordance with ASC 740, Income Taxes. Deferred income tax assets and liabilities are computed annually, for differences between the carrying amounts and the tax basis of assets and liabilities that will result in taxable or deductible amounts in the future based on enacted tax laws and rates applicable to the periods in which the differences are expected to affect taxable income. Valuation allowances are established when it is necessary to reduce deferred tax assets to the amount expected to be realized. The provision for income taxes includes both current taxes for the period plus or minus the change during the period in deferred tax assets and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Tax benefits from uncertain tax position are recognized for financial statement purposes only when it is more-likely-than-not that the position will be sustained with the local taxing authority. Measurement of the tax effects of positions that meet this recognition threshold is based on the largest amount of tax benefit that is greater than 50 percent likely of being realized upon settlement with the taxing authorities.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of operating losses in most of the geographies where the Company operates, we concluded that our deferred tax assets on unutilized tax losses were not more likely than not to be realized in the future and a full valuation allowance has been recorded.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2.22.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Loss and earnings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accordance with ASC 260 Earnings Per Share, basic earnings per share, basic net loss per share is based on the weighted average number of ordinary shares issued and outstanding and is calculated by dividing net loss attributable to ordinary shareholders by the weighted average shares outstanding during the period.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 the effect of dilutive ordinary share equivalents, as their effect would be antidilutive. Diluted loss per share is equal to the net loss per share as all potentially dilutive securities are anti-dilutive in the periods presented. For the years ended December 31, 2024 and 2023 the Company incurred net losses and therefore no potential dilutive ordinary share were utilized in the calculation of losses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the potential shares of ordinary shares outstanding that were excluded from the computation of diluted net loss per share of ordinary shares as of the periods presented because including them would have been antidilutive: </w:t>
      </w:r>
    </w:p>
    <w:p>
      <w:pPr>
        <w:pStyle w:val="TextBody"/>
        <w:bidi w:val="0"/>
        <w:jc w:val="left"/>
        <w:rPr/>
      </w:pPr>
      <w:r>
        <w:rPr/>
        <w:t> </w:t>
      </w:r>
    </w:p>
    <w:tbl>
      <w:tblPr>
        <w:tblW w:w="6150" w:type="dxa"/>
        <w:jc w:val="left"/>
        <w:tblInd w:w="0" w:type="dxa"/>
        <w:tblLayout w:type="fixed"/>
        <w:tblCellMar>
          <w:top w:w="28" w:type="dxa"/>
          <w:left w:w="28" w:type="dxa"/>
          <w:bottom w:w="28" w:type="dxa"/>
          <w:right w:w="28" w:type="dxa"/>
        </w:tblCellMar>
      </w:tblPr>
      <w:tblGrid>
        <w:gridCol w:w="2521"/>
        <w:gridCol w:w="146"/>
        <w:gridCol w:w="185"/>
        <w:gridCol w:w="1315"/>
        <w:gridCol w:w="146"/>
        <w:gridCol w:w="146"/>
        <w:gridCol w:w="185"/>
        <w:gridCol w:w="1315"/>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debt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10,944,628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3,929,566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payable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13,019,976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3,521,846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17,559,511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848,287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promissory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preferred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4,574,146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Advisors Loans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2,335,092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48,042,040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13,013,845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uses the “if converted” method for calculating the dilutive effect of the convertible debt, shares payable and series A preferred shares and the treasury share method for calculating the dilutive effect of the options and warrants. The series A preferred shares are convertible at the rate of one series A preferred share into one ordinary share in the event of an initial public offering. The Company included the deferred shares as they are expected to be converted to ordinary shares in the future.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Recently issued and adopted accounting pronouncements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March 2024, Financial Accounting Standards Board (the “FASB”) issued Accounting Standards Update (“ASU”) 2024-02, Codification Improvements—Amendments to Remove References to the Concepts Statements (“ASU 2024-02”), which is intended to simplify the Codification and draw a distinction between authoritative and non-authoritative literature. ASU 2024-02 is effective for annual reporting periods beginning after December 15, 2024, with early adoption permitted and can be applied on either a prospective or retroactive basis. The Company is currently assessing the impact of ASU 2024-02 on its consolidated financial statements.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2023, the FASB issued Accounting Standards Update No. 2023-09, </w:t>
      </w:r>
      <w:r>
        <w:rPr>
          <w:rFonts w:ascii="Times New Roman" w:hAnsi="Times New Roman"/>
          <w:i/>
          <w:color w:val="000000"/>
          <w:sz w:val="20"/>
        </w:rPr>
        <w:t>Income Taxes (Topic 740): Improvements to Income Tax Disclosures</w:t>
      </w:r>
      <w:r>
        <w:rPr>
          <w:rFonts w:ascii="Times New Roman" w:hAnsi="Times New Roman"/>
          <w:color w:val="000000"/>
          <w:sz w:val="20"/>
        </w:rPr>
        <w:t xml:space="preserve"> (“ASU 2023-09”). ASU 2023-09 requires additional disclosures related to rate reconciliation, income taxes paid, and other disclosures. Under ASU 2023-09, for each annual periods presented, public entities are required to (1) disclose specific categories in the tabular rate reconciliation and (2) provide additional information for reconciling items that meet a quantitative threshold. In addition, ASU 2023-09 requires all reporting entities to disclose on an annual basis the amount of income taxes paid disaggregated by federal, state, and foreign taxes as well as the amount of income taxes paid by individual jurisdiction. ASU 2023-09 is effective for public business entities for annual periods beginning after December 15, 2024, and can be applied on a prospective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basis with an option to apply the standard retrospectively. Early adoption is permitted. The Company is currently evaluating the impact of ASU 2023-09 on its consolidated financial statements and related disclosures.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2023, the FASB issued Accounting Standards Update 2023-07, </w:t>
      </w:r>
      <w:r>
        <w:rPr>
          <w:rFonts w:ascii="Times New Roman" w:hAnsi="Times New Roman"/>
          <w:i/>
          <w:color w:val="000000"/>
          <w:sz w:val="20"/>
        </w:rPr>
        <w:t>Segment Reporting—Improvements to Reportable Segment Disclosures</w:t>
      </w:r>
      <w:r>
        <w:rPr>
          <w:rFonts w:ascii="Times New Roman" w:hAnsi="Times New Roman"/>
          <w:color w:val="000000"/>
          <w:sz w:val="20"/>
        </w:rPr>
        <w:t xml:space="preserve"> (“ASU 2023-07”), which requires incremental disclosures related to a public entity’s reportable segments. Required disclosures include, on an annual and interim basis, significant segment expenses that are regularly provided to the chief operating decision maker (“CODM”) and included within each reported measure of segment profit or loss, an amount for other segment items (which is the difference between segment revenue less segment expenses and less segment profit or loss) and a description of its composition, the title and position of the CODM, and an explanation of how the CODM uses the reported measure(s) of segment profit or loss in assessing segment performance and deciding how to allocate resources. The standard also permits disclosure of more than one measure of segment profit. ASU 2023-07 is effective for fiscal years beginning after December 15, 2023, and interim periods within fiscal years beginning after December 15, 2024.The adoption had no impact on the reportable segment the Company has identified, and additional required disclosures have been included in Note 2.16.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2023, the FASB issued Accounting Standards Update 2023-06, Disclosure Improvements (“ASU 2023-06”), to clarify or improve disclosure and presentation requirements of a variety of topics and align the requirements in the FASB ASC with the SEC’s regulations. The amendments in ASU 2023-06 will become effective on the date the related disclosures are removed from Regulation S-X or Regulation S-K by the SEC, and will no longer be effective if the SEC has not removed the applicable disclosure requirement by June 30, 2027. Early adoption is prohibited. The Company is currently evaluating the impact of ASU 2023-06 on its consolidated financial statements and disclosures.</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Prepayments and other current assets </w:t>
      </w:r>
    </w:p>
    <w:p>
      <w:pPr>
        <w:pStyle w:val="TextBody"/>
        <w:bidi w:val="0"/>
        <w:jc w:val="left"/>
        <w:rPr/>
      </w:pPr>
      <w:r>
        <w:rPr/>
        <w:t> </w:t>
      </w:r>
    </w:p>
    <w:tbl>
      <w:tblPr>
        <w:tblW w:w="7020" w:type="dxa"/>
        <w:jc w:val="left"/>
        <w:tblInd w:w="0" w:type="dxa"/>
        <w:tblLayout w:type="fixed"/>
        <w:tblCellMar>
          <w:top w:w="28" w:type="dxa"/>
          <w:left w:w="28" w:type="dxa"/>
          <w:bottom w:w="28" w:type="dxa"/>
          <w:right w:w="28" w:type="dxa"/>
        </w:tblCellMar>
      </w:tblPr>
      <w:tblGrid>
        <w:gridCol w:w="3391"/>
        <w:gridCol w:w="146"/>
        <w:gridCol w:w="278"/>
        <w:gridCol w:w="192"/>
        <w:gridCol w:w="1030"/>
        <w:gridCol w:w="146"/>
        <w:gridCol w:w="146"/>
        <w:gridCol w:w="278"/>
        <w:gridCol w:w="192"/>
        <w:gridCol w:w="1030"/>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 from government authorities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Input tax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960,848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299,013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Property and equipment, net </w:t>
      </w:r>
    </w:p>
    <w:p>
      <w:pPr>
        <w:pStyle w:val="TextBody"/>
        <w:bidi w:val="0"/>
        <w:jc w:val="left"/>
        <w:rPr/>
      </w:pPr>
      <w:r>
        <w:rPr/>
        <w:t> </w:t>
      </w:r>
    </w:p>
    <w:tbl>
      <w:tblPr>
        <w:tblW w:w="6912" w:type="dxa"/>
        <w:jc w:val="left"/>
        <w:tblInd w:w="0" w:type="dxa"/>
        <w:tblLayout w:type="fixed"/>
        <w:tblCellMar>
          <w:top w:w="28" w:type="dxa"/>
          <w:left w:w="28" w:type="dxa"/>
          <w:bottom w:w="28" w:type="dxa"/>
          <w:right w:w="28" w:type="dxa"/>
        </w:tblCellMar>
      </w:tblPr>
      <w:tblGrid>
        <w:gridCol w:w="2821"/>
        <w:gridCol w:w="146"/>
        <w:gridCol w:w="211"/>
        <w:gridCol w:w="222"/>
        <w:gridCol w:w="1278"/>
        <w:gridCol w:w="166"/>
        <w:gridCol w:w="146"/>
        <w:gridCol w:w="211"/>
        <w:gridCol w:w="222"/>
        <w:gridCol w:w="1278"/>
        <w:gridCol w:w="21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(115,837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17,332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79,593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Depreciation expense for the years ended December 31, 2024 and 2023 was $41,673 and $44,556 respectively.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Intangible assets, net </w:t>
      </w:r>
    </w:p>
    <w:p>
      <w:pPr>
        <w:pStyle w:val="TextBody"/>
        <w:bidi w:val="0"/>
        <w:jc w:val="left"/>
        <w:rPr/>
      </w:pPr>
      <w:r>
        <w:rPr/>
        <w:t> </w:t>
      </w:r>
    </w:p>
    <w:tbl>
      <w:tblPr>
        <w:tblW w:w="7523" w:type="dxa"/>
        <w:jc w:val="left"/>
        <w:tblInd w:w="0" w:type="dxa"/>
        <w:tblLayout w:type="fixed"/>
        <w:tblCellMar>
          <w:top w:w="28" w:type="dxa"/>
          <w:left w:w="28" w:type="dxa"/>
          <w:bottom w:w="28" w:type="dxa"/>
          <w:right w:w="28" w:type="dxa"/>
        </w:tblCellMar>
      </w:tblPr>
      <w:tblGrid>
        <w:gridCol w:w="3856"/>
        <w:gridCol w:w="146"/>
        <w:gridCol w:w="245"/>
        <w:gridCol w:w="170"/>
        <w:gridCol w:w="1084"/>
        <w:gridCol w:w="166"/>
        <w:gridCol w:w="146"/>
        <w:gridCol w:w="245"/>
        <w:gridCol w:w="170"/>
        <w:gridCol w:w="1084"/>
        <w:gridCol w:w="21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1,009,272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In-development intangible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6,655,623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1,862,465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7,670,590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2,871,737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Less—Accumulated amortization for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(920,412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(736,834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6,750,178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2,134,903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Amortization expense for software for the years ended December 31, 2024 and 2023 was $183,578 and $197,800 respectively. The Company has not commenced amortizing the in-development intangible asset as it not yet ready for its intended use.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2024, expected amortization expense for Software over its remaining life is as follows: </w:t>
      </w:r>
    </w:p>
    <w:p>
      <w:pPr>
        <w:pStyle w:val="TextBody"/>
        <w:bidi w:val="0"/>
        <w:jc w:val="left"/>
        <w:rPr/>
      </w:pPr>
      <w:r>
        <w:rPr/>
        <w:t> </w:t>
      </w:r>
    </w:p>
    <w:tbl>
      <w:tblPr>
        <w:tblW w:w="2316" w:type="dxa"/>
        <w:jc w:val="left"/>
        <w:tblInd w:w="0" w:type="dxa"/>
        <w:tblLayout w:type="fixed"/>
        <w:tblCellMar>
          <w:top w:w="28" w:type="dxa"/>
          <w:left w:w="28" w:type="dxa"/>
          <w:bottom w:w="28" w:type="dxa"/>
          <w:right w:w="28" w:type="dxa"/>
        </w:tblCellMar>
      </w:tblPr>
      <w:tblGrid>
        <w:gridCol w:w="946"/>
        <w:gridCol w:w="146"/>
        <w:gridCol w:w="211"/>
        <w:gridCol w:w="146"/>
        <w:gridCol w:w="676"/>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94,555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Debt and other liabilities </w:t>
      </w:r>
    </w:p>
    <w:p>
      <w:pPr>
        <w:pStyle w:val="TextBody"/>
        <w:bidi w:val="0"/>
        <w:jc w:val="left"/>
        <w:rPr/>
      </w:pPr>
      <w:r>
        <w:rPr/>
        <w:t> </w:t>
      </w:r>
    </w:p>
    <w:tbl>
      <w:tblPr>
        <w:tblW w:w="7373" w:type="dxa"/>
        <w:jc w:val="left"/>
        <w:tblInd w:w="0" w:type="dxa"/>
        <w:tblLayout w:type="fixed"/>
        <w:tblCellMar>
          <w:top w:w="28" w:type="dxa"/>
          <w:left w:w="28" w:type="dxa"/>
          <w:bottom w:w="28" w:type="dxa"/>
          <w:right w:w="28" w:type="dxa"/>
        </w:tblCellMar>
      </w:tblPr>
      <w:tblGrid>
        <w:gridCol w:w="4036"/>
        <w:gridCol w:w="227"/>
        <w:gridCol w:w="157"/>
        <w:gridCol w:w="1116"/>
        <w:gridCol w:w="146"/>
        <w:gridCol w:w="227"/>
        <w:gridCol w:w="157"/>
        <w:gridCol w:w="1116"/>
        <w:gridCol w:w="191"/>
      </w:tblGrid>
      <w:tr>
        <w:trPr/>
        <w:tc>
          <w:tcPr>
            <w:tcW w:w="403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Short-term debt and other liabilities</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debt to related parties (7.1)</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5,102,211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6,225,815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Ordinary shares payable (7.2)</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1,206,609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8,223,928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debt (7.3)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10,288,123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31,088,259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 term convertible debt to related party (7.4)</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 liability (7.5)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1,311,028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promissory notes (7.6)</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6,428,825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Advisors loans (7.7)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12,812,366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37,333,443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46,981,299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462" w:type="dxa"/>
        <w:jc w:val="left"/>
        <w:tblInd w:w="0" w:type="dxa"/>
        <w:tblLayout w:type="fixed"/>
        <w:tblCellMar>
          <w:top w:w="28" w:type="dxa"/>
          <w:left w:w="28" w:type="dxa"/>
          <w:bottom w:w="28" w:type="dxa"/>
          <w:right w:w="28" w:type="dxa"/>
        </w:tblCellMar>
      </w:tblPr>
      <w:tblGrid>
        <w:gridCol w:w="3106"/>
        <w:gridCol w:w="227"/>
        <w:gridCol w:w="157"/>
        <w:gridCol w:w="1116"/>
        <w:gridCol w:w="166"/>
        <w:gridCol w:w="448"/>
        <w:gridCol w:w="310"/>
        <w:gridCol w:w="741"/>
        <w:gridCol w:w="191"/>
      </w:tblGrid>
      <w:tr>
        <w:trPr/>
        <w:tc>
          <w:tcPr>
            <w:tcW w:w="310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(Gain)/loss on extinguishment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 (7.3)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39,658,290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secured convertible debt (7.3)</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promissory notes (7.6)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Advisors loans (7.7)</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1,804,814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44,332,819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7.1</w:t>
      </w:r>
    </w:p>
    <w:p>
      <w:pPr>
        <w:pStyle w:val="TextBody"/>
        <w:bidi w:val="0"/>
        <w:jc w:val="left"/>
        <w:rPr/>
      </w:pPr>
      <w:r>
        <w:rPr>
          <w:rFonts w:ascii="Times New Roman" w:hAnsi="Times New Roman"/>
          <w:color w:val="000000"/>
          <w:sz w:val="20"/>
        </w:rPr>
        <w:t>Unsecured interest free loans taken from related parties DBLP Sea Cow Ltd of $447,067</w:t>
      </w:r>
      <w:r>
        <w:rPr>
          <w:color w:val="000000"/>
        </w:rPr>
        <w:t xml:space="preserve"> </w:t>
      </w:r>
      <w:r>
        <w:rPr>
          <w:rFonts w:ascii="Times New Roman" w:hAnsi="Times New Roman"/>
          <w:color w:val="000000"/>
          <w:sz w:val="20"/>
        </w:rPr>
        <w:t>and Daniel Wagner of $4,655,144</w:t>
      </w:r>
      <w:r>
        <w:rPr>
          <w:color w:val="000000"/>
        </w:rPr>
        <w:t xml:space="preserve"> </w:t>
      </w:r>
      <w:r>
        <w:rPr>
          <w:rFonts w:ascii="Times New Roman" w:hAnsi="Times New Roman"/>
          <w:color w:val="000000"/>
          <w:sz w:val="20"/>
        </w:rPr>
        <w:t xml:space="preserve">are repayable on demand.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were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The loan principal and accrued borrowing fees were rounded to a sum of $8,000,000. The key terms of the loan amendment include that of the senior secured convertible notes, as noted below: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maturity date was extended to three years from the date of an IPO or Business Combination, or December 31, 2024 if an IPO or Business Combination with a publicly listed company has not yet occurred by December 31, 2024.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interest rate was reduced to 7.5% per annum from the date that the amendment was executed.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Conversion into ordinary shares of the Company is at the option of the investor from any date of an IPO or Business Combination with a publicly listed company.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conversion price has been amended to seventy</w:t>
      </w:r>
      <w:r>
        <w:rPr>
          <w:color w:val="000000"/>
        </w:rPr>
        <w:t xml:space="preserve"> </w:t>
      </w:r>
      <w:r>
        <w:rPr>
          <w:rFonts w:ascii="Times New Roman" w:hAnsi="Times New Roman"/>
          <w:color w:val="000000"/>
          <w:sz w:val="20"/>
        </w:rPr>
        <w:t xml:space="preserve">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of the loan amendment and addition to the Company’s senior secured convertible notes, the default was remediated.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7.2.</w:t>
      </w:r>
    </w:p>
    <w:p>
      <w:pPr>
        <w:pStyle w:val="TextBody"/>
        <w:bidi w:val="0"/>
        <w:spacing w:before="120" w:after="283"/>
        <w:jc w:val="left"/>
        <w:rPr/>
      </w:pPr>
      <w:r>
        <w:rPr>
          <w:rFonts w:ascii="Times New Roman" w:hAnsi="Times New Roman"/>
          <w:color w:val="000000"/>
          <w:sz w:val="20"/>
        </w:rPr>
        <w:t>On May 25, 2023, the Company offered to all existing investors and employees of the Company an advanced subscription agreement for ordinary shares of the Company at a discount from the pre-close equity value of the Company per share (“the Rights Issue”) in connection with its business combination with Armada Acquisition Corp I (refer to note 2.1). The Company issued 11,052,716</w:t>
      </w:r>
      <w:r>
        <w:rPr>
          <w:color w:val="000000"/>
        </w:rPr>
        <w:t xml:space="preserve"> </w:t>
      </w:r>
      <w:r>
        <w:rPr>
          <w:rFonts w:ascii="Times New Roman" w:hAnsi="Times New Roman"/>
          <w:color w:val="000000"/>
          <w:sz w:val="20"/>
        </w:rPr>
        <w:t>ordinary shares in December 2024 to subscribers of the rights issue. On January 24, 2025, the Company issued a further 171,429</w:t>
      </w:r>
      <w:r>
        <w:rPr>
          <w:color w:val="000000"/>
        </w:rPr>
        <w:t xml:space="preserve"> </w:t>
      </w:r>
      <w:r>
        <w:rPr>
          <w:rFonts w:ascii="Times New Roman" w:hAnsi="Times New Roman"/>
          <w:color w:val="000000"/>
          <w:sz w:val="20"/>
        </w:rPr>
        <w:t xml:space="preserve">ordinary shares to a subscriber of the rights issue to whom they were owed ordinary shares payable as at December 31, 2024.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7.3.</w:t>
      </w:r>
    </w:p>
    <w:p>
      <w:pPr>
        <w:pStyle w:val="TextBody"/>
        <w:bidi w:val="0"/>
        <w:spacing w:before="120" w:after="283"/>
        <w:jc w:val="left"/>
        <w:rPr/>
      </w:pPr>
      <w:r>
        <w:rPr>
          <w:rFonts w:ascii="Times New Roman" w:hAnsi="Times New Roman"/>
          <w:color w:val="000000"/>
          <w:sz w:val="20"/>
        </w:rPr>
        <w:t>On December 17, 2021, the Company and Armada Acquisition Corp I, a special purpose acquisition company (“SPAC”) listed on the Nasdaq Capital Market (“NASDAQ”), and certain other parties entered into a definitive agreement for a business combination that would result in Rezolve becoming a publicly listed company upon completion of the aforementioned transaction. The transaction included a $41</w:t>
      </w:r>
      <w:r>
        <w:rPr>
          <w:color w:val="000000"/>
        </w:rPr>
        <w:t xml:space="preserve"> </w:t>
      </w:r>
      <w:r>
        <w:rPr>
          <w:rFonts w:ascii="Times New Roman" w:hAnsi="Times New Roman"/>
          <w:color w:val="000000"/>
          <w:sz w:val="20"/>
        </w:rPr>
        <w:t>million fully committed private placement of ordinary shares of the combined company (the “PIPE”), $20</w:t>
      </w:r>
      <w:r>
        <w:rPr>
          <w:color w:val="000000"/>
        </w:rPr>
        <w:t xml:space="preserve"> </w:t>
      </w:r>
      <w:r>
        <w:rPr>
          <w:rFonts w:ascii="Times New Roman" w:hAnsi="Times New Roman"/>
          <w:color w:val="000000"/>
          <w:sz w:val="20"/>
        </w:rPr>
        <w:t xml:space="preserve">million of which has been advanced to Rezolve pursuant to a secured convertible loan note as further described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accordance with the executed subscription agreements, the investors that pre-funded the PIPE entered into an agreement to purchase secured convertible notes of the Company for a total of $20 million. Prior to amending the terms on May 23, 2023 (further below), these notes were due to mature on December 16, 2023, and were redeemable by the noteholder on the occurrence 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maturity, with interest accrued at 20% per annum,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Immediately prior to an IPO or SPAC transaction, the principal amount and accrued interest is converted into ordinary shares at a 30% discount to the pre-close equity value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interest rate is 20% per annum, and is reduced in the following events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10% per annum if the IPO or SPAC transaction occurred prior to December 16, 2022,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15% per annum if the IPO or SPAC transaction occurs between December 16, 2022 and June 16,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the issuance of the notes, the amount pre-funded by each participating investor reduces their remaining respective commitment in the PIPE.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secured convertible notes has been accounted for as a liability in accordance with ASC 470–20. The Company has adopted ASU 2020-06,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on a straight line basis over the contractual terms of the secured convertible loan notes until May 23, 2023. The Company estimated that the difference between amortizing the debt discounts and the issuance costs using the straight line method as compared to using effective interest rate method was immaterial. As noted below, senior secured convertible note has been accounted for as a troubled debt restructuring since May 23, 2023 and as a result the effective interest rate method has been applied prospectively from this date.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not incurred any significant debt issuance costs and has expensed them as incurred.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23, 2023, the Company executed a further amendment to the secured convertible loan notes.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amendments are as follows: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An additional $15,625,000</w:t>
      </w:r>
      <w:r>
        <w:rPr>
          <w:color w:val="000000"/>
        </w:rPr>
        <w:t xml:space="preserve"> </w:t>
      </w:r>
      <w:r>
        <w:rPr>
          <w:rFonts w:ascii="Times New Roman" w:hAnsi="Times New Roman"/>
          <w:color w:val="000000"/>
          <w:sz w:val="20"/>
        </w:rPr>
        <w:t xml:space="preserve">commitment has been added to the principal amount of the notes, split between a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Conversion of accrued interest of $3,000,000</w:t>
      </w:r>
      <w:r>
        <w:rPr>
          <w:color w:val="000000"/>
        </w:rPr>
        <w:t xml:space="preserve"> </w:t>
      </w:r>
      <w:r>
        <w:rPr>
          <w:rFonts w:ascii="Times New Roman" w:hAnsi="Times New Roman"/>
          <w:color w:val="000000"/>
          <w:sz w:val="20"/>
        </w:rPr>
        <w:t>into loan principal. Additionally $1.5m of Loans for no value , plus $1,040,989</w:t>
      </w:r>
      <w:r>
        <w:rPr>
          <w:color w:val="000000"/>
        </w:rPr>
        <w:t xml:space="preserve"> </w:t>
      </w:r>
      <w:r>
        <w:rPr>
          <w:rFonts w:ascii="Times New Roman" w:hAnsi="Times New Roman"/>
          <w:color w:val="000000"/>
          <w:sz w:val="20"/>
        </w:rPr>
        <w:t>of interest foregone giving total of $4,041,989</w:t>
      </w:r>
      <w:r>
        <w:rPr>
          <w:color w:val="000000"/>
        </w:rPr>
        <w:t xml:space="preserve"> </w:t>
      </w:r>
      <w:r>
        <w:rPr>
          <w:rFonts w:ascii="Times New Roman" w:hAnsi="Times New Roman"/>
          <w:color w:val="000000"/>
          <w:sz w:val="20"/>
        </w:rPr>
        <w:t xml:space="preserve">of total interest capitalized.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$1,250,000</w:t>
      </w:r>
      <w:r>
        <w:rPr>
          <w:color w:val="000000"/>
        </w:rPr>
        <w:t xml:space="preserve"> </w:t>
      </w:r>
      <w:r>
        <w:rPr>
          <w:rFonts w:ascii="Times New Roman" w:hAnsi="Times New Roman"/>
          <w:color w:val="000000"/>
          <w:sz w:val="20"/>
        </w:rPr>
        <w:t xml:space="preserve">of loan principal previously advanced in February 2023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$125,000</w:t>
      </w:r>
      <w:r>
        <w:rPr>
          <w:color w:val="000000"/>
        </w:rPr>
        <w:t xml:space="preserve"> </w:t>
      </w:r>
      <w:r>
        <w:rPr>
          <w:rFonts w:ascii="Times New Roman" w:hAnsi="Times New Roman"/>
          <w:color w:val="000000"/>
          <w:sz w:val="20"/>
        </w:rPr>
        <w:t xml:space="preserve">of loan principal advanced by a director and related party in February 2023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An additional $2,750,000</w:t>
      </w:r>
      <w:r>
        <w:rPr>
          <w:color w:val="000000"/>
        </w:rPr>
        <w:t xml:space="preserve"> </w:t>
      </w:r>
      <w:r>
        <w:rPr>
          <w:rFonts w:ascii="Times New Roman" w:hAnsi="Times New Roman"/>
          <w:color w:val="000000"/>
          <w:sz w:val="20"/>
        </w:rPr>
        <w:t xml:space="preserve">of loan notes to be advanced, and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$8,500,000</w:t>
      </w:r>
      <w:r>
        <w:rPr>
          <w:color w:val="000000"/>
        </w:rPr>
        <w:t xml:space="preserve"> </w:t>
      </w:r>
      <w:r>
        <w:rPr>
          <w:rFonts w:ascii="Times New Roman" w:hAnsi="Times New Roman"/>
          <w:color w:val="000000"/>
          <w:sz w:val="20"/>
        </w:rPr>
        <w:t xml:space="preserve">in notes upon completion of the Demerger, for which no monetary consideration will be received by the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maturity date was extended to three years from the date of an IPO or Business Combination, or December 31, 2024 if an IPO or Business Combination with a publicly listed company has not yet occurred by December 31, 2024.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interest rate was reduced to 7.5% per annum from the date that the amendment was executed.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Conversion into ordinary shares of the Company is at the option of the investor from any date of an IPO or Business Combination with a publicly listed company.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conversion price has been amended to seventy</w:t>
      </w:r>
      <w:r>
        <w:rPr>
          <w:color w:val="000000"/>
        </w:rPr>
        <w:t xml:space="preserve"> </w:t>
      </w:r>
      <w:r>
        <w:rPr>
          <w:rFonts w:ascii="Times New Roman" w:hAnsi="Times New Roman"/>
          <w:color w:val="000000"/>
          <w:sz w:val="20"/>
        </w:rPr>
        <w:t xml:space="preserve">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Under the May 23, 2023 amendment terms of the secured convertible notes, Rezolve has given certain covenants to the noteholders which remain in force while the convertible notes are outstanding, including that the Rezolve group shall not incur any indebtedness that would rank senior to the secured convertible notes without the prior consent of holders of more than two thirds of the aggregate principal amount of the secured convertible notes outstanding from time to time (“the “Noteholder Majority”); and for so long as one or more of Apeiron Investment Group Ltd and any of their affiliates (including any other person with the prior written consent of Rezolve, not to be unreasonably withheld, delayed or conditioned) holds at least $20,000,000</w:t>
      </w:r>
      <w:r>
        <w:rPr>
          <w:color w:val="000000"/>
        </w:rPr>
        <w:t xml:space="preserve"> </w:t>
      </w:r>
      <w:r>
        <w:rPr>
          <w:rFonts w:ascii="Times New Roman" w:hAnsi="Times New Roman"/>
          <w:color w:val="000000"/>
          <w:sz w:val="20"/>
        </w:rPr>
        <w:t xml:space="preserve">in aggregate of the principal amount of the Convertible Notes from time to time, the Rezolve group shall not enter into any Extraordinary Transactions (as defined below) without the prior consent of a Noteholder Majority.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execution of the amendment the secured convertible notes are then referred to as “the senior secured convertible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execution of the senior secured convertible note has been accounted for as a troubled debt restructuring since May 23, 2023. No gain has been recognized.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carrying value of the convertible debt as at December 31, 2023 does not include the $8,500,000 of notes issuable upon completion of the Demerger. These were contingent upon completion of the Demerger therefore upon close of the Demerger on July 4, 2024, they were issued. The issuance of the Demerger notes do no result in any further cash to be received by the Company, rather they are treated as interest payable at maturity. The Demerger notes trigger a remeasurement of the senior secured convertible notes and the effective interest rate used to account for the senior secured convertible notes as a troubled debt restructuring.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5, 2024, pursuant to the terms of the Loan Note Instrument, one of the holders of the Senior Secured Convertible Notes converted all of their $8,000,000 outstanding Convertible Notes at a conversion price of $7 per ordinary share. The Company recognized a gain on extinguishment of $1,306,077, equal to the book value of the debt less the fair value of the ordinary shares issued on conversion.</w:t>
      </w:r>
    </w:p>
    <w:p>
      <w:pPr>
        <w:pStyle w:val="TextBody"/>
        <w:bidi w:val="0"/>
        <w:spacing w:before="240" w:after="283"/>
        <w:jc w:val="left"/>
        <w:rPr>
          <w:rFonts w:ascii="Times New Roman" w:hAnsi="Times New Roman"/>
          <w:sz w:val="20"/>
        </w:rPr>
      </w:pPr>
      <w:r>
        <w:rPr>
          <w:rFonts w:ascii="Times New Roman" w:hAnsi="Times New Roman"/>
          <w:color w:val="000000"/>
          <w:sz w:val="20"/>
        </w:rPr>
        <w:t>On December 17, 2024, the Company, Apeiron Investment Group Ltd. and Bradley Wickens, the beneficial holders of the majority of Senior Secured Convertible Notes entered into an agreement (the “</w:t>
      </w:r>
      <w:r>
        <w:rPr>
          <w:rFonts w:ascii="Times New Roman" w:hAnsi="Times New Roman"/>
          <w:b/>
          <w:i/>
          <w:color w:val="000000"/>
          <w:sz w:val="20"/>
        </w:rPr>
        <w:t>Agreement</w:t>
      </w:r>
      <w:r>
        <w:rPr>
          <w:rFonts w:ascii="Times New Roman" w:hAnsi="Times New Roman"/>
          <w:color w:val="000000"/>
          <w:sz w:val="20"/>
        </w:rPr>
        <w:t>”) to amend the Loan Note Instrument (the “</w:t>
      </w:r>
      <w:r>
        <w:rPr>
          <w:rFonts w:ascii="Times New Roman" w:hAnsi="Times New Roman"/>
          <w:b/>
          <w:i/>
          <w:color w:val="000000"/>
          <w:sz w:val="20"/>
        </w:rPr>
        <w:t>Amendment</w:t>
      </w:r>
      <w:r>
        <w:rPr>
          <w:rFonts w:ascii="Times New Roman" w:hAnsi="Times New Roman"/>
          <w:color w:val="000000"/>
          <w:sz w:val="20"/>
        </w:rPr>
        <w:t>”) and that the beneficial holders shall procure that the registered nominees holding their Convertible Notes provide the necessary consents to the Amendment. Pursuant to the Amendment, the conversion price with respect to approximately $41,892,080 million of outstanding Senior Secured Convertible Notes was revised to equal $2 per ordinary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Agreement, Apeiron Investment Group and Bradley Wickens will also procure that the registered nominees holding $41,512,877 of outstanding Convertible Notes and accrued interest of $1,851,020 (on behalf of Apeiron Investment Group Ltd. and Bradley Wickens) will exercise their option to convert all such outstanding Convertible Notes, at a conversion price of $2 per ordinary share. On December 27, 2024, 10,840,974 ordinary shares were issued to settle $20,756,439 and $925,510 of interest, respectively. The Company recorded a debt conversion expense of $39,658,290, equal to the fair value of the ordinary shares given up less the carrying value of the debt including accrued interest. On January 15, 2025 and February 13, 2025, respectively, a further 3,009,849 and 7,987,374 ordinary shares were issued to settle $20,756,439 and $925,510 of principle and interest. Following such conversions, there remains $0.4 million of Senior Secured Convertible Notes outstanding under the Loan Note Instrument.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carrying amount of the convertible debt was as follows: </w:t>
      </w:r>
    </w:p>
    <w:p>
      <w:pPr>
        <w:pStyle w:val="TextBody"/>
        <w:bidi w:val="0"/>
        <w:jc w:val="left"/>
        <w:rPr/>
      </w:pPr>
      <w:r>
        <w:rPr/>
        <w:t> </w:t>
      </w:r>
    </w:p>
    <w:tbl>
      <w:tblPr>
        <w:tblW w:w="8233" w:type="dxa"/>
        <w:jc w:val="left"/>
        <w:tblInd w:w="0" w:type="dxa"/>
        <w:tblLayout w:type="fixed"/>
        <w:tblCellMar>
          <w:top w:w="28" w:type="dxa"/>
          <w:left w:w="28" w:type="dxa"/>
          <w:bottom w:w="28" w:type="dxa"/>
          <w:right w:w="28" w:type="dxa"/>
        </w:tblCellMar>
      </w:tblPr>
      <w:tblGrid>
        <w:gridCol w:w="4876"/>
        <w:gridCol w:w="227"/>
        <w:gridCol w:w="157"/>
        <w:gridCol w:w="1116"/>
        <w:gridCol w:w="166"/>
        <w:gridCol w:w="227"/>
        <w:gridCol w:w="157"/>
        <w:gridCol w:w="1116"/>
        <w:gridCol w:w="191"/>
      </w:tblGrid>
      <w:tr>
        <w:trPr/>
        <w:tc>
          <w:tcPr>
            <w:tcW w:w="487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Convertible debt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 term convertible debt to related party</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7,176,741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on convertible debt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(7,401,611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debt under troubled debt restructuring</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12,103,565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31,088,259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convertible debt under troubled debt restructuring</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10,383,432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31,220,528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has not incurred any material debt issuance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the interest expense recognized related to the senior secured convertible notes and unsecured convertible loans: </w:t>
      </w:r>
    </w:p>
    <w:p>
      <w:pPr>
        <w:pStyle w:val="TextBody"/>
        <w:bidi w:val="0"/>
        <w:jc w:val="left"/>
        <w:rPr/>
      </w:pPr>
      <w:r>
        <w:rPr/>
        <w:t> </w:t>
      </w:r>
    </w:p>
    <w:tbl>
      <w:tblPr>
        <w:tblW w:w="5901" w:type="dxa"/>
        <w:jc w:val="left"/>
        <w:tblInd w:w="0" w:type="dxa"/>
        <w:tblLayout w:type="fixed"/>
        <w:tblCellMar>
          <w:top w:w="28" w:type="dxa"/>
          <w:left w:w="28" w:type="dxa"/>
          <w:bottom w:w="28" w:type="dxa"/>
          <w:right w:w="28" w:type="dxa"/>
        </w:tblCellMar>
      </w:tblPr>
      <w:tblGrid>
        <w:gridCol w:w="2566"/>
        <w:gridCol w:w="245"/>
        <w:gridCol w:w="170"/>
        <w:gridCol w:w="1084"/>
        <w:gridCol w:w="146"/>
        <w:gridCol w:w="245"/>
        <w:gridCol w:w="170"/>
        <w:gridCol w:w="1084"/>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Convertible debt</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4,872,506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3,067,309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discount</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2,113,742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491,928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6,986,248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3,559,237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7.4</w:t>
      </w:r>
    </w:p>
    <w:p>
      <w:pPr>
        <w:pStyle w:val="TextBody"/>
        <w:bidi w:val="0"/>
        <w:jc w:val="left"/>
        <w:rPr/>
      </w:pPr>
      <w:r>
        <w:rPr>
          <w:rFonts w:ascii="Times New Roman" w:hAnsi="Times New Roman"/>
          <w:color w:val="000000"/>
          <w:sz w:val="20"/>
        </w:rPr>
        <w:t>A Short term convertible debt to a related party of $132,269</w:t>
      </w:r>
      <w:r>
        <w:rPr>
          <w:color w:val="000000"/>
        </w:rPr>
        <w:t xml:space="preserve"> </w:t>
      </w:r>
      <w:r>
        <w:rPr>
          <w:rFonts w:ascii="Times New Roman" w:hAnsi="Times New Roman"/>
          <w:color w:val="000000"/>
          <w:sz w:val="20"/>
        </w:rPr>
        <w:t>was also added to the Company’s senior secured convertible note including $125,000</w:t>
      </w:r>
      <w:r>
        <w:rPr>
          <w:color w:val="000000"/>
        </w:rPr>
        <w:t xml:space="preserve"> </w:t>
      </w:r>
      <w:r>
        <w:rPr>
          <w:rFonts w:ascii="Times New Roman" w:hAnsi="Times New Roman"/>
          <w:color w:val="000000"/>
          <w:sz w:val="20"/>
        </w:rPr>
        <w:t>of convertible debt and $7,269</w:t>
      </w:r>
      <w:r>
        <w:rPr>
          <w:color w:val="000000"/>
        </w:rPr>
        <w:t xml:space="preserve"> </w:t>
      </w:r>
      <w:r>
        <w:rPr>
          <w:rFonts w:ascii="Times New Roman" w:hAnsi="Times New Roman"/>
          <w:color w:val="000000"/>
          <w:sz w:val="20"/>
        </w:rPr>
        <w:t xml:space="preserve">of interest.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7.5</w:t>
      </w:r>
    </w:p>
    <w:p>
      <w:pPr>
        <w:pStyle w:val="TextBody"/>
        <w:bidi w:val="0"/>
        <w:spacing w:before="240" w:after="283"/>
        <w:jc w:val="left"/>
        <w:rPr/>
      </w:pPr>
      <w:r>
        <w:rPr>
          <w:rFonts w:ascii="Times New Roman" w:hAnsi="Times New Roman"/>
          <w:color w:val="000000"/>
          <w:sz w:val="20"/>
        </w:rPr>
        <w:t>On October 7, 2021, the Group acquired Jaymax International Service Inc. (“Jaymax”) (later renamed to “Rezolve Taiwan Limited”). As part of the acquisition of Jaymax, the Company agreed to issue $1,400,000</w:t>
      </w:r>
      <w:r>
        <w:rPr>
          <w:color w:val="000000"/>
        </w:rPr>
        <w:t xml:space="preserve"> </w:t>
      </w:r>
      <w:r>
        <w:rPr>
          <w:rFonts w:ascii="Times New Roman" w:hAnsi="Times New Roman"/>
          <w:color w:val="000000"/>
          <w:sz w:val="20"/>
        </w:rPr>
        <w:t>in Rezolve ordinary shares to Jaymax’s former owner for completion of a 3-year noncompete period which began on the October 7, 2021. The cost of the share-based payment is considered to have vested immediately upon commencement of the non-compete period as the Company’s assumption is that it is more likely than not that the former owner will not breach the non-compete agreement. The share-based payment liability is to be settled by a fixed dollar amount of shares and therefore represents a liability in accordance with ASC 480. As at December 31, 2023, the liability has been measured at fair value using a discounted cash-flow model and a market participant borrowing rate of 10.8%. At December 31, 2024 the liability is equal its present value of $1,400,000</w:t>
      </w:r>
      <w:r>
        <w:rPr>
          <w:color w:val="000000"/>
        </w:rPr>
        <w:t xml:space="preserve"> </w:t>
      </w:r>
      <w:r>
        <w:rPr>
          <w:rFonts w:ascii="Times New Roman" w:hAnsi="Times New Roman"/>
          <w:color w:val="000000"/>
          <w:sz w:val="20"/>
        </w:rPr>
        <w:t xml:space="preserve">as the term of the non-compete agreement ended on October 7, 2024. The Company has yet to settle it in ordinary shares as at December 31, 2024.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Convertible Promissory notes</w:t>
      </w:r>
    </w:p>
    <w:p>
      <w:pPr>
        <w:pStyle w:val="TextBody"/>
        <w:bidi w:val="0"/>
        <w:spacing w:before="240" w:after="283"/>
        <w:jc w:val="left"/>
        <w:rPr/>
      </w:pPr>
      <w:r>
        <w:rPr/>
        <w:t> </w:t>
      </w:r>
    </w:p>
    <w:tbl>
      <w:tblPr>
        <w:tblW w:w="5961" w:type="dxa"/>
        <w:jc w:val="left"/>
        <w:tblInd w:w="0" w:type="dxa"/>
        <w:tblLayout w:type="fixed"/>
        <w:tblCellMar>
          <w:top w:w="28" w:type="dxa"/>
          <w:left w:w="28" w:type="dxa"/>
          <w:bottom w:w="28" w:type="dxa"/>
          <w:right w:w="28" w:type="dxa"/>
        </w:tblCellMar>
      </w:tblPr>
      <w:tblGrid>
        <w:gridCol w:w="2626"/>
        <w:gridCol w:w="245"/>
        <w:gridCol w:w="170"/>
        <w:gridCol w:w="1084"/>
        <w:gridCol w:w="146"/>
        <w:gridCol w:w="448"/>
        <w:gridCol w:w="310"/>
        <w:gridCol w:w="741"/>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Convertible promissory notes</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 notes</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promissory notes</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Promissory note from sponsor</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3,031,614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6,428,825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color w:val="000000"/>
          <w:sz w:val="20"/>
          <w:u w:val="single"/>
        </w:rPr>
        <w:t>Yorkville Standby Equity Purchase Agreement (“SEPA”)</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2, 2024, the Company obtained an unsecured loan of $2,000,000 from YA II PN, LTD (“Yorkville” or “YA”) with principal amount of $2,500,000. The Yorkville Note was issued at a 20% discount to the principal amount, and has a maturity date falling 6 months from the date of issue (unless extended by Yorkville) subject to acceleration upon the occurrence of an event of default.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Yorkville Note is convertible into ordinary shares in Rezolve AI plc upon public listing (or if an event of default occurs or the note reaches maturity). Conversion is at the option of the noteholder at a conversion price calculated by reference to the lower of (i) a fixed price of $10 per share or (ii) a variable price based on 90% of the lowest daily daily volume weighted average ("VWAP") during 10 consecutive trading days immediately prior to conversion provided that such variable price shall not be lower than the floor price of $2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Yorkville note, an additional convertible promissory note (“the Other Promissory notes”) was offered to certain other investors on the same terms as the Yorkville Note. The Other Promissory Notes have a face value of $2,877,319 and were issued at a 20% discount. The interest rate was agreed at 10.0% per annum from the date the agreement was executed. Interest increases to 18% upon the occurrence of an event of default. The Other Promissory notes have a maturity date six months from issue.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Other Promissory Notes are convertible into ordinary shares in Rezolve AI plc upon public listing (or if an event of default occurs or the note reaches maturity). Conversion is at the option of the noteholder at a conversion price calculated by reference to the lower of (i) a fixed price of $10 per share or (ii) a variable price based on 90% of the lowest daily volume weighted average share price ("VWAP") during 10 consecutive trading days immediately prior to conversion provided that such variable price shall not be lower than the floor price of $2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($7,500,000), which will be in three tranches, with the first tranche in an original principal amount of Two Million Five Hundred Thousand Dollars ($2,500,000) (the "First YA Note") funded upon execution of the Second A&amp;R YA Agreement, the second tranche in an original principal amount of Two Million Five Hundred Thousand Dollars ($2,500,000) funded upon filing of the Company’s F-1 registration statement, and the third tranche in an original principal amount of Two Million Five Hundred Thousand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Dollars ($2,500,000) to be funded upon the effectiveness of the F-1 registration statement. The Second A&amp;R YA Agreement superseded the YA Agreement. The maturity date of the Yorkville Note and the Other Promissory Notes were extended to September 11th, 2025.</w:t>
      </w:r>
    </w:p>
    <w:p>
      <w:pPr>
        <w:pStyle w:val="TextBody"/>
        <w:bidi w:val="0"/>
        <w:spacing w:before="240" w:after="283"/>
        <w:jc w:val="left"/>
        <w:rPr>
          <w:rFonts w:ascii="Times New Roman" w:hAnsi="Times New Roman"/>
          <w:sz w:val="20"/>
        </w:rPr>
      </w:pPr>
      <w:r>
        <w:rPr>
          <w:rFonts w:ascii="Times New Roman" w:hAnsi="Times New Roman"/>
          <w:color w:val="000000"/>
          <w:sz w:val="20"/>
        </w:rPr>
        <w:t>In connection with the Second A&amp;R YA Agreement and upon effectiveness of the F-1 Registration Statement originally filed with U.S. Securities and Exchange Commission on September 6, 2024, and declared effective on November 27, 2024, on November 29, 2024, Rezolve issued YA a promissory note in the principal amount of $2,500,000 (the “</w:t>
      </w:r>
      <w:r>
        <w:rPr>
          <w:rFonts w:ascii="Times New Roman" w:hAnsi="Times New Roman"/>
          <w:b/>
          <w:i/>
          <w:color w:val="000000"/>
          <w:sz w:val="20"/>
        </w:rPr>
        <w:t>Third YA</w:t>
      </w:r>
      <w:r>
        <w:rPr>
          <w:rFonts w:ascii="Times New Roman" w:hAnsi="Times New Roman"/>
          <w:color w:val="000000"/>
          <w:sz w:val="20"/>
        </w:rPr>
        <w:t xml:space="preserve"> </w:t>
      </w:r>
      <w:r>
        <w:rPr>
          <w:rFonts w:ascii="Times New Roman" w:hAnsi="Times New Roman"/>
          <w:b/>
          <w:i/>
          <w:color w:val="000000"/>
          <w:sz w:val="20"/>
        </w:rPr>
        <w:t>Note</w:t>
      </w:r>
      <w:r>
        <w:rPr>
          <w:rFonts w:ascii="Times New Roman" w:hAnsi="Times New Roman"/>
          <w:color w:val="000000"/>
          <w:sz w:val="20"/>
        </w:rPr>
        <w:t xml:space="preserve">”, and together with the </w:t>
      </w:r>
      <w:r>
        <w:rPr>
          <w:rFonts w:ascii="Times New Roman" w:hAnsi="Times New Roman"/>
          <w:b/>
          <w:i/>
          <w:color w:val="000000"/>
          <w:sz w:val="20"/>
        </w:rPr>
        <w:t>First YA Note</w:t>
      </w:r>
      <w:r>
        <w:rPr>
          <w:rFonts w:ascii="Times New Roman" w:hAnsi="Times New Roman"/>
          <w:color w:val="000000"/>
          <w:sz w:val="20"/>
        </w:rPr>
        <w:t xml:space="preserve"> and </w:t>
      </w:r>
      <w:r>
        <w:rPr>
          <w:rFonts w:ascii="Times New Roman" w:hAnsi="Times New Roman"/>
          <w:b/>
          <w:i/>
          <w:color w:val="000000"/>
          <w:sz w:val="20"/>
        </w:rPr>
        <w:t>Second YA Note</w:t>
      </w:r>
      <w:r>
        <w:rPr>
          <w:rFonts w:ascii="Times New Roman" w:hAnsi="Times New Roman"/>
          <w:color w:val="000000"/>
          <w:sz w:val="20"/>
        </w:rPr>
        <w:t>, the "</w:t>
      </w:r>
      <w:r>
        <w:rPr>
          <w:rFonts w:ascii="Times New Roman" w:hAnsi="Times New Roman"/>
          <w:b/>
          <w:i/>
          <w:color w:val="000000"/>
          <w:sz w:val="20"/>
        </w:rPr>
        <w:t>YA Notes</w:t>
      </w:r>
      <w:r>
        <w:rPr>
          <w:rFonts w:ascii="Times New Roman" w:hAnsi="Times New Roman"/>
          <w:color w:val="000000"/>
          <w:sz w:val="20"/>
        </w:rPr>
        <w:t>"), reflecting the third tranche of the prepaid advances. The YA Notes bear interest at an annual rate of 10% of the outstanding principal balance of the YA Notes and mature on September 11, 2025. Under the YA Notes, YA may elect to convert all or part of the amount outstanding under the Note into ordinary shares of Rezolve at the Conversion Price (as defined in the Note), subject to certain limitations. Rezolve has the right to redeem early a portion or all amounts outstanding under the Note upon 10 days written notice upon the occurrence of certain events.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2024, the Company received the Noteholder's request to convert of all of the principal and interest outstanding under the YA Notes. In connection therewith, the Company issued an aggregate of 4,310,208 Ordinary Shares (including in payment of a fee to YA) in December 2024, and a further 1,413,946 Ordinary Shares in January 2025. A loss on extinguishment of $4,175,791 was recognized. As of December 31, 2024, $2,705,929 in principal and interest was outstanding, which was subsequently settled in Ordinary Shares on February 5, 2025, and no further amounts remain outstanding.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Promissory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certain persons (including Apeiron Investment Group Ltd and certain related parties of Rezolve) entered into Subscription Agreements to subscribe for the Promissory Notes with a total principal amount of $2,877,319 in consideration for an advance by each subscriber to Rezolve Limited the “Net Investment Amount”.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Promissory Notes were issued during the course of February, 2024, pursuant to the terms of the Promissory Note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effect from the completion of the Pre-Closing Demerger, the rights and obligations of Rezolve Limited under the Subscription Agreements and the Promissory Note Instruments were novated to Rezolve AI plc.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(except if an event of default has occurred and is continuing, an 18% interest rate will apply). The Promissory Notes are freely transferable in whole or in part, subject to the terms of the Promissory Notes Instrument.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Promissory Notes are convertible into ordinary shares in Rezolve AI plc.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has the right to redeem early a portion or all amounts outstanding under the Promissory Notes pursuant to a Redemption Notice, provided that on the date of the Redemption Notice the VWAP of the ordinary shares in Rezolve AI plc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Following the public listing of the ordinary shares in Rezolve AI plc, if a “Promissory Note Trigger Event” occurs (being where (i) the daily VWAP is less than the Floor Price for five (5) trading days during a period of seven (7) consecutive trading days (the “Promissory Note Floor Price Trigger”), or (ii) Rezolve AI plc has issued in excess of 99% of the ordinary shares available under the Exchange Cap unless Rezolve AI plc shareholders have approved such issuances, or if Rezolve AI plc is permitted to follow (and has elected to do so) its home country practices instead of the stockholder approval requirements of Nasdaq Rule 5635) (the “Promissory Note Exchange Cap Trigger”), then Rezolve AI plc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plc reduces the Floor Price (in accordance with its rights to do so under the Promissory Note Instruments), or (ii) in the event of an Exchange Cap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Trigger, the date Rezolve AI plc has obtained stockholder approval to increase the number of ordinary shares under the Exchange Cap (or if the Exchange Cap no longer applies), unless a subsequent Promissory Note Trigger Event occurs.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30, 2024, the Company repaid $1,472,231 of principal and interest to noteholders and related persons. As at December 31, 2024, certain noteholders and related parties have agreed to convert an aggregate of $1,189,096 of principal and interest into 425,288 Ordinary Shares. The outstanding balance at December 31, 2024 is $406,238, which the Company intends to settle by conversion into Ordinary Shares.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Cohen &amp; Company Financial Management LLC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14, 2024 Rezolve AI issued a promissory note to pay to Cohen &amp; Company Financial Management LLC (“Cohen”) as an agent for Armada, in the principal sum of $3,144,883 (the “Original Amount”), with the Original Amount, the accrued interest thereon and other amounts due and payable (unless prepaid earlier or converted into shares of common stock) on August 14, 2027 (the “Maturity Date’). The note bears interest at 4.95% per annum. Starting from January 31, 2025, upon Cohen’s request, Rezolve AI shall pay Cohen the principal amount plus all of the accrued interest in increments of 1/18 of the outstanding principal amount (the “Amortization Payment”) on a date determined by Cohen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Cohen shall have the right, at Cohen’s sole option, on any business day, to convert at the conversion price described in the note all or any portion of the outstanding principal amount of the note up to an amount described in the note. The promissory note was settled on February 10, 2025 by issuing ordinary shares, and no further amounts remain outstanding.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7.7</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Advisors loans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issued the following promissory notes to financial advisors for fees payable contingent on the close of the Business Combination with Armada:</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Northland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30, 2024 the Company issued a promissory note to Northland Securities, Inc. (“Northland”) for an amount of $5,141,250 and agreed to pay interest on the principal amount outstanding from time to time from July 30, 2024 until the note is fully paid, at the rate of 10% per annum, compounded annually. The timing and repayment amounts under the note will depend on the amounts of financing raised by the Company and its direct and indirect parent companies after completion of the Business Combination. If more than (a) $25,000,000 in proceeds is raised while the note is outstanding, 50% of the outstanding principal and all accrued and unpaid interest on the note shall become immediately due and payable and (b) if more than $50,000,000 in gross proceeds is raised, all of the outstanding principal and all accrued and unpaid interest shall become immediately due and payable.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 In the event the Company and its direct and indirect parent companies after completion of the Business Combination have $20,000,000 or more in cash, cash equivalents and marketable securities as of any time on or prior to December 31, 2025, Northland may, at its option on or prior to June 30, 2026, sell any or all of the shares of the Company’s common stock received pursuant to the prior sentence to the Company at a price of $10.00 per share. The note was entered into in full satisfaction of the cash payments otherwise due to Northland by the Company at the time of closing and which are described above. All of the Company’s obligations under the Note were guaranteed by Rezolve AI plc. The Company settled the promissory note with Northland on January 30, 2025 by issuing 391,681 ordinary shares and paying $3,500,000 in cash. No further amounts remain outstanding.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J.V.B. Financial Group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14, 2024 the Company issued a promissory note to J.V.B. Financial Group, LLC (“JVB”) ) for an amount of $7,500,000 and agreed to pay interest on the principal amount outstanding from time to time from August 14, 2024 until the note is 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volume weighted average share price ("VWP") for the 5 days ending on the day immediately preceding the due date of the Amortization Payment. The note was entered into in full satisfaction of the cash payments otherwise due to JVB by the Company at the time of closing and which are described above. All of the Company’s obligations under the Note were guaranteed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by Rezolve AI plc. On February 26, 2025, the Company issued 778,165 ordinary shares to settle $2,000,000 of principle outstanding to the JVB promissory note.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Cantor Fitzgerald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20, 2023, the Company engaged Cantor Fitzgerald ("Cantor") to act as its financial and capital markets advisor in connection with any transactions, placement agent and arranger in connection with any financing. A fee of $16,000,000 ("the Armada fee") contingent on the close of the Business Combination with Armada was payable in ordinary shares. The number of shares issuable in connection with the Armada fee was to be calculated using the greater of 1) 1.6 million and 2) the quotient obtained by dividing (x) $16,000,000 by (y) the daily VWAP of the ordinary shares over five trading days immediately preceding the date of the initial filing of the F-1 registration statement.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5, 2024 the Company issued 17,354,231 ordinary shares to Cantor to settle the Armada fee. A loss on extinguishment of $1,804,814 was recognized. No further amounts remain outstanding. </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amounts for advisors loans remain outstanding as of December 31, 2024:</w:t>
      </w:r>
    </w:p>
    <w:p>
      <w:pPr>
        <w:pStyle w:val="TextBody"/>
        <w:bidi w:val="0"/>
        <w:spacing w:before="120" w:after="283"/>
        <w:jc w:val="left"/>
        <w:rPr/>
      </w:pPr>
      <w:r>
        <w:rPr/>
        <w:t> </w:t>
      </w:r>
    </w:p>
    <w:tbl>
      <w:tblPr>
        <w:tblW w:w="5257" w:type="dxa"/>
        <w:jc w:val="left"/>
        <w:tblInd w:w="0" w:type="dxa"/>
        <w:tblLayout w:type="fixed"/>
        <w:tblCellMar>
          <w:top w:w="28" w:type="dxa"/>
          <w:left w:w="28" w:type="dxa"/>
          <w:bottom w:w="28" w:type="dxa"/>
          <w:right w:w="28" w:type="dxa"/>
        </w:tblCellMar>
      </w:tblPr>
      <w:tblGrid>
        <w:gridCol w:w="1921"/>
        <w:gridCol w:w="227"/>
        <w:gridCol w:w="157"/>
        <w:gridCol w:w="1116"/>
        <w:gridCol w:w="146"/>
        <w:gridCol w:w="448"/>
        <w:gridCol w:w="310"/>
        <w:gridCol w:w="741"/>
        <w:gridCol w:w="191"/>
      </w:tblGrid>
      <w:tr>
        <w:trPr/>
        <w:tc>
          <w:tcPr>
            <w:tcW w:w="192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Advisors loans</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Northland Securities</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5,491,806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J.V.B Financial Group</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7,320,560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12,812,366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Warrants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Subscription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 2024, pursuant to the Promissory notes issued to certain institutional investors (see note 7.6), each holder of a Promissory note was also granted a freely transferable warrant (“Subscription Agreement Warrants”) by Rezolve upon completion of the Business Combination. The Subscription Agreement Warrants have an exercise price of $8.00 per share and may be exercised at any time during their three year term ending on January 31, 2027.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certain circumstances, the Company may make an offer to all holders of its Ordinary Shares for the purchase by the Company of any of its Ordinary Shares. If such as offer is made by the Company, the Company shall give each holder of a Subscription Agreement Warrants at least 21 days’ notice that they are required to exercise their Subscription Agreement Warrants. If the holders of the Subscription Agreement Warrants do not exercise their Subscription Agreement Warrants within 14 days of receiving notice, the Company are authorized to execute a transaction to exercise the Subscription Agreement Warrants, deliver the Ordinary Shares to the holder and cancel the Subscription Agreement Warrants.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Subscription Agreement Warrants qualify for equity classification under ASC 815-40 as it is considered indexed to the Company's stock under ASC 815-40-15 and the Subscription Agreement Warrants permit the Company to share settle it. In no event will the Company be required to net cash settle any Subscription Agreement Warrants. The Company recorded these Subscription Agreement Warrants at fair value in equity on the date of issuance. The initial carrying amount of a freestanding equity-classified instrument is not subsequently adjusted to fair value unless, in subsequent periods, the instrument no longer qualifies for equity classification and so must be reclassified as an asset or a liability. The 569,982 Subscription Agreement Warrants outstanding at December 31, 2024 continue to qualify for equity classification. The Subscription Agreement Warrants have a remaining term of two years and one month as of December 31, 2024.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Armada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15, 2024, under the terms of the Business Combination (see note 2.1), each outstanding Armada Warrant was exchanged for a Rezolve Warrant that entitles the holder to purchase one Rezolve Ordinary Share, at an exercise price of $11.50 per share, in lieu of one share of Armada Common Stock and otherwise on substantially the same terms and conditions as the terms of the original Armada Warrants. The Rezolve Warrants have a term of five years from the consummation of the Business Combination.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Rezolve Warrants qualify for equity classification under ASC 815-40 as it is considered indexed to the Company's stock under ASC 815-40-15 and Rezolve Warrants permit the Company to share settle it. In no event will the Company be required to net cash settle any Rezolve Warrant. The Company recorded these warrants in equity on the date of issuance which was August 15, 2024 when the Business Combination was consummated (see note 2.1) as part of the accounting for the Business Combination as a reverse merger under ASC 805.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Rezolve Warrants trade under the symbol on the Nasdaq Stock Market LLC under the symbol RZLV.W. The initial carrying amount of a freestanding equity-classified instrument is not subsequently adjusted to fair value unless, in subsequent periods, the instrument no longer qualifies for equity classification and so must be reclassified as an asset or a liability. The 7,499,994 Rezolve Warrants outstanding at December 31, 2024 continue to qualify for equity classification. The Rezolve Warrants have a remaining term of four years and seven and a half months as of December 31, 2024.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Warrants issued to institutional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23, 2024, the Company completed a registered offering of (i) 5,000,000 Ordinary Shares, par value £0.0001 per share, and (ii) 5,000,000 warrants exercisable for an aggregate of 5,000,000 Ordinary Shares (the “Offering Warrants”), issued pursuant to the securities purchase agreement, dated December 19, 2024, between the Company and certain institutional investors.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offering price of each Ordinary Share and accompanying Offering Warrant was $3.00.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Offering Warrants have an exercise price of $3.00 per share, are exercisable immediately upon issuance and will expire on the earlier of (i) thirty days after the volume weighted average price of the Ordinary Shares is at or above $6.00 for five consecutive trading days and (ii) five years from the date of issuance.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consideration of H.C. Wainwright &amp; Co., LLC serving as the placement agent of this offering, the Company paid the H.C. Wainwright &amp; Co., LLC a cash fee equal to 5.5% of the aggregate gross proceeds of the Offering, and reimbursed the H.C. Wainwright &amp; Co., LLC for certain expenses and legal fees.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Ordinary Shares and Offering Warrants were offered pursuant to a registration statement on Form F-1 (File No. 333-283622), as amended, which was declared effective by the Securities and Exchange Commission on December 19,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received net proceeds of approximately $13.8 million from this offering, after deducting offering expenses payable by the Company, including H.C. Wainwright &amp; Co., LLC’s commissions and fees. The Company intends to use the net proceeds from the Offering for working capital, repayment of convertible debt and for general corporate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Offering Warrants qualify for equity classification under ASC 815-40 as it is considered indexed to the Company's stock under ASC 815-40-15 and the Offering Warrants permit the Company to share settle it. In no event will the Company be required to net cash settle any Offering Warrants. The Company recorded these Offering Warrants at fair value in equity on the date of issuance. The initial carrying amount of a freestanding equity-classified instrument is not subsequently adjusted to fair value unless, in subsequent periods, the instrument no longer qualifies for equity classification and so must be reclassified as an asset or a liability. The 5,000,000 Offering Warrants outstanding at December 31, 2024 continue to qualify for equity classification. The Offering Warrants have a remaining term of five years as of December 31, 2024.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Ordinary shares issued in lieu of cash payment for services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2024, the Company issued 4,514 ordinary shares to Sales Force in lieu of a cash payment for customer relationship platform services provided to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2024, the Company issued 50,000 shares to D. Boral Capital LLC in lieu of a cash payment for financial and capital raising advisory services provided to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2024, the Company issued 50,000 shares to the Maxim Group in lieu of a cash payment for advisory services provided to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accordance with the guidance in ASC 505, the ordinary shares issued in lieu of cash payment for services were measured based on the fair value of services received or the ordinary shares granted, whichever was more reliably determinable. As the ordinary shares are publicly traded, the market price of the ordinary shares were readily and reliably determinable. The Company recognized expense and equity equal to the number of ordinary shares issued multiplied by the fair value per share on date of issuance. The equity impact consisted of ordinary shares at par value and the remaining proceeds in additional paid-in capital.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Share-based Compensation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2022 LTIP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2022, the Company’s Board approved the 2022 Long-Term Incentive Plan (the “2022 LTIP”). Under the 2022 LTIP, the Company was authorized to issue a maximum number of 8,596,486 ordinary shares before any grants made in the year to directors, shareholders, consultants or financers to purchase or acquire ordinary shares. After awarding 277,325 warrants (note 8), 815,661 and 4,444,773 ordinary shares to financers, a consultant and its principal shareholder and founder, respectively, the Company had 3,058,728 ordinary shares available to grant. The Company granted 2,569,331 share options under the 2022 LTIP.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share options under the terms of the 2022 LTIP have an exercise price equal to the nominal value of £0.0001 per option. Most share options granted have service-based vesting conditions with the exception of only two employees whose combined 407,830 share options vest at the earlier of a 3-year requisite service period and an IPO. The Company’s Board was required to approve the grant of the Company’s Share options and therefore as a result of some grantees who had completed their requisite service period prior to the Board’s approval, a number of grantee’s options fully vested on the grant date, while the remainder of grantees have partially completed their requisite service period. Option holders have a 5-year period to exercise the options before they expire. Forfeitures are recognized in the period of occurrence. No share options were granted by the Company prior to 2022. </w:t>
      </w:r>
    </w:p>
    <w:p>
      <w:pPr>
        <w:pStyle w:val="TextBody"/>
        <w:bidi w:val="0"/>
        <w:jc w:val="left"/>
        <w:rPr/>
      </w:pPr>
      <w:r>
        <w:rPr/>
        <w:t> </w:t>
      </w:r>
    </w:p>
    <w:tbl>
      <w:tblPr>
        <w:tblW w:w="4921" w:type="dxa"/>
        <w:jc w:val="left"/>
        <w:tblInd w:w="0" w:type="dxa"/>
        <w:tblLayout w:type="fixed"/>
        <w:tblCellMar>
          <w:top w:w="28" w:type="dxa"/>
          <w:left w:w="28" w:type="dxa"/>
          <w:bottom w:w="28" w:type="dxa"/>
          <w:right w:w="28" w:type="dxa"/>
        </w:tblCellMar>
      </w:tblPr>
      <w:tblGrid>
        <w:gridCol w:w="2116"/>
        <w:gridCol w:w="379"/>
        <w:gridCol w:w="2426"/>
      </w:tblGrid>
      <w:tr>
        <w:trPr/>
        <w:tc>
          <w:tcPr>
            <w:tcW w:w="211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Grants in 2022 under the 2022 LTIP</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Expected term—years </w:t>
            </w:r>
            <w:r>
              <w:rPr>
                <w:rFonts w:ascii="Times New Roman" w:hAnsi="Times New Roman"/>
                <w:color w:val="000000"/>
                <w:sz w:val="13"/>
              </w:rPr>
              <w:t>(1)</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 – 5.1</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share value</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1.23</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Expected volatility </w:t>
            </w:r>
            <w:r>
              <w:rPr>
                <w:rFonts w:ascii="Times New Roman" w:hAnsi="Times New Roman"/>
                <w:color w:val="000000"/>
                <w:sz w:val="13"/>
              </w:rPr>
              <w:t>(2)</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59.6% - 63.5%</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Risk-free interest rate </w:t>
            </w:r>
            <w:r>
              <w:rPr>
                <w:rFonts w:ascii="Times New Roman" w:hAnsi="Times New Roman"/>
                <w:color w:val="000000"/>
                <w:sz w:val="13"/>
              </w:rPr>
              <w:t>(3)</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 - 4.2%</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Dividend yield </w:t>
            </w:r>
            <w:r>
              <w:rPr>
                <w:rFonts w:ascii="Times New Roman" w:hAnsi="Times New Roman"/>
                <w:color w:val="000000"/>
                <w:sz w:val="13"/>
              </w:rPr>
              <w:t>(4)</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expected term is the length of time the grant is expected to be outstanding before it is exercised or terminated. This number is calculated as the midpoint between the end of the vesting term and the contractual period to exercise.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Volatility, or the standard deviation of annualized returns, was calculated based on comparable companies’ reported volatilities.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 free rate was obtained from US treasury notes for the expected terms noted as of the valuation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assumed a dividend yield of zero as it has no plans to declare dividends in the foreseeable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 </w:t>
      </w:r>
    </w:p>
    <w:p>
      <w:pPr>
        <w:pStyle w:val="TextBody"/>
        <w:bidi w:val="0"/>
        <w:spacing w:before="120" w:after="283"/>
        <w:jc w:val="left"/>
        <w:rPr>
          <w:rFonts w:ascii="Times New Roman" w:hAnsi="Times New Roman"/>
          <w:sz w:val="20"/>
        </w:rPr>
      </w:pPr>
      <w:r>
        <w:rPr>
          <w:rFonts w:ascii="Times New Roman" w:hAnsi="Times New Roman"/>
          <w:b/>
          <w:i/>
          <w:color w:val="000000"/>
          <w:sz w:val="20"/>
        </w:rPr>
        <w:t>2023 LTIP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2023, the Company’s Board approved the 2023 Long-Term Incentive Plan (the “2023 LTIP”). Under the 2023 LTIP, the Company was authorized to issue a maximum number of 8,043,318 ordinary shares before any grants made in the year to directors, shareholders, consultants or financers to purchase or acquire ordinary shares. The Company granted 8,043,318 share options in the year ended December 31, 2023 including 4,078,303 share options issued to DBLP Sea Cow Ltd. (principal shareholder, and company owned by founder, chairman and CEO Dan Wagner).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granted 13,611,563 share options in the year ended December 31, 2024 including 4,876,969 share options issued to DBLP Sea Cow Ltd. (principal shareholder, and company owned by founder, chairman and CEO Dan Wagner).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2023 LTIP also amends the 2022 LTIP (issued in November 2022) to: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Amend any who grantees whose requisite service period completes in the year 2024 to complete in the month of September 2024, and therefore consolidate the end vesting date to the month of September,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Those whose share options whose requisite service period was meant to complete in 2025 and 2026, vest in September of those years,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Amend the vesting profile from a cliff vesting to a graded vesting.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share options under the terms of the 2023 LTIP have an exercise price equal to the nominal value of £0.0001 per option. Option holders have a 5-year period to exercise the options before they expire. Forfeitures are recognized in the period of occurrence. </w:t>
      </w:r>
    </w:p>
    <w:p>
      <w:pPr>
        <w:pStyle w:val="TextBody"/>
        <w:bidi w:val="0"/>
        <w:jc w:val="left"/>
        <w:rPr/>
      </w:pPr>
      <w:r>
        <w:rPr/>
        <w:t> </w:t>
      </w:r>
    </w:p>
    <w:tbl>
      <w:tblPr>
        <w:tblW w:w="5787" w:type="dxa"/>
        <w:jc w:val="left"/>
        <w:tblInd w:w="0" w:type="dxa"/>
        <w:tblLayout w:type="fixed"/>
        <w:tblCellMar>
          <w:top w:w="28" w:type="dxa"/>
          <w:left w:w="28" w:type="dxa"/>
          <w:bottom w:w="28" w:type="dxa"/>
          <w:right w:w="28" w:type="dxa"/>
        </w:tblCellMar>
      </w:tblPr>
      <w:tblGrid>
        <w:gridCol w:w="2116"/>
        <w:gridCol w:w="892"/>
        <w:gridCol w:w="617"/>
        <w:gridCol w:w="1971"/>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Grants in 2023 and 2024 under the 2023 LTIP</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Expected term—years </w:t>
            </w:r>
            <w:r>
              <w:rPr>
                <w:rFonts w:ascii="Times New Roman" w:hAnsi="Times New Roman"/>
                <w:color w:val="000000"/>
                <w:sz w:val="13"/>
              </w:rPr>
              <w:t>(1)</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8"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 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share value</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Expected volatility </w:t>
            </w:r>
            <w:r>
              <w:rPr>
                <w:rFonts w:ascii="Times New Roman" w:hAnsi="Times New Roman"/>
                <w:color w:val="000000"/>
                <w:sz w:val="13"/>
              </w:rPr>
              <w:t>(2)</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8"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59.6% - 63.5%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Risk-free interest rate </w:t>
            </w:r>
            <w:r>
              <w:rPr>
                <w:rFonts w:ascii="Times New Roman" w:hAnsi="Times New Roman"/>
                <w:color w:val="000000"/>
                <w:sz w:val="13"/>
              </w:rPr>
              <w:t>(3)</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 - 4.2%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Dividend yield </w:t>
            </w:r>
            <w:r>
              <w:rPr>
                <w:rFonts w:ascii="Times New Roman" w:hAnsi="Times New Roman"/>
                <w:color w:val="000000"/>
                <w:sz w:val="13"/>
              </w:rPr>
              <w:t>(4)</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8"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expected term is the length of time the grant is expected to be outstanding before it is exercised or terminated. This number is calculated as the midpoint between the end of the vesting term and the contractual period to exercise.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Volatility, or the standard deviation of annualized returns, was calculated based on comparable companies’ reported volatilities.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 free rate was obtained from US treasury notes for the expected terms noted as of the valuation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pPr>
      <w:r>
        <w:rPr>
          <w:rFonts w:ascii="Times New Roman" w:hAnsi="Times New Roman"/>
          <w:color w:val="000000"/>
          <w:sz w:val="20"/>
        </w:rPr>
        <w:t>The Company has assumed a dividend yield of zero as it has no plans to declare dividends in the foreseeable future.</w:t>
      </w:r>
      <w:r>
        <w:rPr>
          <w:color w:val="00000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 </w:t>
      </w:r>
    </w:p>
    <w:p>
      <w:pPr>
        <w:pStyle w:val="TextBody"/>
        <w:bidi w:val="0"/>
        <w:spacing w:before="120" w:after="283"/>
        <w:jc w:val="left"/>
        <w:rPr>
          <w:rFonts w:ascii="Times New Roman" w:hAnsi="Times New Roman"/>
          <w:sz w:val="20"/>
        </w:rPr>
      </w:pPr>
      <w:r>
        <w:rPr>
          <w:rFonts w:ascii="Times New Roman" w:hAnsi="Times New Roman"/>
          <w:b/>
          <w:i/>
          <w:color w:val="000000"/>
          <w:sz w:val="20"/>
        </w:rPr>
        <w:t>Share option activity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share option activity for the year ended December 31, 2024 was as follows: </w:t>
      </w:r>
    </w:p>
    <w:p>
      <w:pPr>
        <w:pStyle w:val="TextBody"/>
        <w:bidi w:val="0"/>
        <w:jc w:val="left"/>
        <w:rPr/>
      </w:pPr>
      <w:r>
        <w:rPr/>
        <w:t> </w:t>
      </w:r>
    </w:p>
    <w:tbl>
      <w:tblPr>
        <w:tblW w:w="8566" w:type="dxa"/>
        <w:jc w:val="left"/>
        <w:tblInd w:w="0" w:type="dxa"/>
        <w:tblLayout w:type="fixed"/>
        <w:tblCellMar>
          <w:top w:w="28" w:type="dxa"/>
          <w:left w:w="28" w:type="dxa"/>
          <w:bottom w:w="28" w:type="dxa"/>
          <w:right w:w="28" w:type="dxa"/>
        </w:tblCellMar>
      </w:tblPr>
      <w:tblGrid>
        <w:gridCol w:w="3256"/>
        <w:gridCol w:w="146"/>
        <w:gridCol w:w="146"/>
        <w:gridCol w:w="1036"/>
        <w:gridCol w:w="166"/>
        <w:gridCol w:w="146"/>
        <w:gridCol w:w="211"/>
        <w:gridCol w:w="146"/>
        <w:gridCol w:w="676"/>
        <w:gridCol w:w="146"/>
        <w:gridCol w:w="146"/>
        <w:gridCol w:w="285"/>
        <w:gridCol w:w="706"/>
        <w:gridCol w:w="146"/>
        <w:gridCol w:w="146"/>
        <w:gridCol w:w="255"/>
        <w:gridCol w:w="177"/>
        <w:gridCol w:w="439"/>
        <w:gridCol w:w="1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 (In</w:t>
              <w:br/>
              <w:t>millions)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10,612,649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13,611,563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(587,296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23,636,916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0.0001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17,559,511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Vested and expected to vest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23,636,916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0.0001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weighted-average grant date fair-value per share of the options granted during the year December 31, 2024 and December 31, 2023 was $5.10 and $0.61, respectively. The total fair value of the options that vested during the year ended December 31, 2024 and December 31, 2023 was $68.8 million and $8,725,218,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31,2024, the Company had $6.1 million of unrecognized share-based compensation expense related to share options. This cost is expected to be recognized over a weighted-average period of 3 years and 9 months. </w:t>
      </w:r>
    </w:p>
    <w:p>
      <w:pPr>
        <w:pStyle w:val="TextBody"/>
        <w:bidi w:val="0"/>
        <w:spacing w:before="36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Accrued expenses and other payables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tbl>
      <w:tblPr>
        <w:tblW w:w="6216" w:type="dxa"/>
        <w:jc w:val="left"/>
        <w:tblInd w:w="0" w:type="dxa"/>
        <w:tblLayout w:type="fixed"/>
        <w:tblCellMar>
          <w:top w:w="28" w:type="dxa"/>
          <w:left w:w="28" w:type="dxa"/>
          <w:bottom w:w="28" w:type="dxa"/>
          <w:right w:w="28" w:type="dxa"/>
        </w:tblCellMar>
      </w:tblPr>
      <w:tblGrid>
        <w:gridCol w:w="2881"/>
        <w:gridCol w:w="245"/>
        <w:gridCol w:w="170"/>
        <w:gridCol w:w="1084"/>
        <w:gridCol w:w="146"/>
        <w:gridCol w:w="245"/>
        <w:gridCol w:w="170"/>
        <w:gridCol w:w="1084"/>
        <w:gridCol w:w="191"/>
      </w:tblGrid>
      <w:tr>
        <w:trPr/>
        <w:tc>
          <w:tcPr>
            <w:tcW w:w="288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related payables</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2,632,334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5,694,788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1,323,842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VAT, duty and excise tax liability</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347,848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9,513,932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4,492,790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Expenses and other non-operating income/(expense), net </w:t>
      </w:r>
    </w:p>
    <w:p>
      <w:pPr>
        <w:pStyle w:val="TextBody"/>
        <w:bidi w:val="0"/>
        <w:spacing w:before="120" w:after="283"/>
        <w:jc w:val="left"/>
        <w:rPr>
          <w:rFonts w:ascii="Times New Roman" w:hAnsi="Times New Roman"/>
          <w:sz w:val="20"/>
        </w:rPr>
      </w:pPr>
      <w:r>
        <w:rPr>
          <w:rFonts w:ascii="Times New Roman" w:hAnsi="Times New Roman"/>
          <w:i/>
          <w:color w:val="000000"/>
          <w:sz w:val="20"/>
        </w:rPr>
        <w:t>Sales and marketing expenses</w:t>
      </w:r>
      <w:r>
        <w:rPr>
          <w:rFonts w:ascii="Times New Roman" w:hAnsi="Times New Roman"/>
          <w:color w:val="000000"/>
          <w:sz w:val="20"/>
        </w:rPr>
        <w:t xml:space="preserve"> </w:t>
      </w:r>
    </w:p>
    <w:p>
      <w:pPr>
        <w:pStyle w:val="TextBody"/>
        <w:bidi w:val="0"/>
        <w:jc w:val="left"/>
        <w:rPr/>
      </w:pPr>
      <w:r>
        <w:rPr/>
        <w:t> </w:t>
      </w:r>
    </w:p>
    <w:tbl>
      <w:tblPr>
        <w:tblW w:w="6943" w:type="dxa"/>
        <w:jc w:val="left"/>
        <w:tblInd w:w="0" w:type="dxa"/>
        <w:tblLayout w:type="fixed"/>
        <w:tblCellMar>
          <w:top w:w="28" w:type="dxa"/>
          <w:left w:w="28" w:type="dxa"/>
          <w:bottom w:w="28" w:type="dxa"/>
          <w:right w:w="28" w:type="dxa"/>
        </w:tblCellMar>
      </w:tblPr>
      <w:tblGrid>
        <w:gridCol w:w="3316"/>
        <w:gridCol w:w="146"/>
        <w:gridCol w:w="245"/>
        <w:gridCol w:w="170"/>
        <w:gridCol w:w="1084"/>
        <w:gridCol w:w="146"/>
        <w:gridCol w:w="146"/>
        <w:gridCol w:w="245"/>
        <w:gridCol w:w="170"/>
        <w:gridCol w:w="1084"/>
        <w:gridCol w:w="19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Advertisement and publicity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salaries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1,371,468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Consultancy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1,602,332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 to employees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2,649,012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 to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963,858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6,285,446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6,731,254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jc w:val="left"/>
        <w:rPr/>
      </w:pPr>
      <w:r>
        <w:rPr/>
        <w:t> </w:t>
      </w:r>
    </w:p>
    <w:tbl>
      <w:tblPr>
        <w:tblW w:w="6945" w:type="dxa"/>
        <w:jc w:val="left"/>
        <w:tblInd w:w="0" w:type="dxa"/>
        <w:tblLayout w:type="fixed"/>
        <w:tblCellMar>
          <w:top w:w="28" w:type="dxa"/>
          <w:left w:w="28" w:type="dxa"/>
          <w:bottom w:w="28" w:type="dxa"/>
          <w:right w:w="28" w:type="dxa"/>
        </w:tblCellMar>
      </w:tblPr>
      <w:tblGrid>
        <w:gridCol w:w="3316"/>
        <w:gridCol w:w="146"/>
        <w:gridCol w:w="211"/>
        <w:gridCol w:w="146"/>
        <w:gridCol w:w="1143"/>
        <w:gridCol w:w="146"/>
        <w:gridCol w:w="146"/>
        <w:gridCol w:w="227"/>
        <w:gridCol w:w="157"/>
        <w:gridCol w:w="1116"/>
        <w:gridCol w:w="19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1,135,355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and professional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36,486,915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2,274,891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777,161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salaries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17,511,920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4,340,558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Consultancy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3,249,635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 to employees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3,806,361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2,543,621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 to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62,611,948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2,306,182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 for consultancy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1,600,599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874,045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131,430,412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17,986,528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Other non-operating income (expense), net</w:t>
      </w:r>
      <w:r>
        <w:rPr>
          <w:rFonts w:ascii="Times New Roman" w:hAnsi="Times New Roman"/>
          <w:color w:val="000000"/>
          <w:sz w:val="20"/>
        </w:rPr>
        <w:t xml:space="preserve"> </w:t>
      </w:r>
    </w:p>
    <w:p>
      <w:pPr>
        <w:pStyle w:val="TextBody"/>
        <w:bidi w:val="0"/>
        <w:jc w:val="left"/>
        <w:rPr/>
      </w:pPr>
      <w:r>
        <w:rPr/>
        <w:t> </w:t>
      </w:r>
    </w:p>
    <w:tbl>
      <w:tblPr>
        <w:tblW w:w="6123" w:type="dxa"/>
        <w:jc w:val="left"/>
        <w:tblInd w:w="0" w:type="dxa"/>
        <w:tblLayout w:type="fixed"/>
        <w:tblCellMar>
          <w:top w:w="28" w:type="dxa"/>
          <w:left w:w="28" w:type="dxa"/>
          <w:bottom w:w="28" w:type="dxa"/>
          <w:right w:w="28" w:type="dxa"/>
        </w:tblCellMar>
      </w:tblPr>
      <w:tblGrid>
        <w:gridCol w:w="2476"/>
        <w:gridCol w:w="146"/>
        <w:gridCol w:w="245"/>
        <w:gridCol w:w="170"/>
        <w:gridCol w:w="1084"/>
        <w:gridCol w:w="146"/>
        <w:gridCol w:w="146"/>
        <w:gridCol w:w="264"/>
        <w:gridCol w:w="182"/>
        <w:gridCol w:w="1053"/>
        <w:gridCol w:w="21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gain/(loss)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497,978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1,329,781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125,366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Related party disclosures </w:t>
      </w:r>
    </w:p>
    <w:p>
      <w:pPr>
        <w:pStyle w:val="TextBody"/>
        <w:bidi w:val="0"/>
        <w:spacing w:before="120" w:after="283"/>
        <w:jc w:val="left"/>
        <w:rPr>
          <w:rFonts w:ascii="Times New Roman" w:hAnsi="Times New Roman"/>
          <w:sz w:val="20"/>
        </w:rPr>
      </w:pPr>
      <w:r>
        <w:rPr>
          <w:rFonts w:ascii="Times New Roman" w:hAnsi="Times New Roman"/>
          <w:b/>
          <w:color w:val="000000"/>
          <w:sz w:val="20"/>
          <w:u w:val="single"/>
        </w:rPr>
        <w:t>Key managerial personnel (KMP) and Members of their immediate families</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tbl>
      <w:tblPr>
        <w:tblW w:w="6223" w:type="dxa"/>
        <w:jc w:val="left"/>
        <w:tblInd w:w="0" w:type="dxa"/>
        <w:tblLayout w:type="fixed"/>
        <w:tblCellMar>
          <w:top w:w="28" w:type="dxa"/>
          <w:left w:w="28" w:type="dxa"/>
          <w:bottom w:w="28" w:type="dxa"/>
          <w:right w:w="28" w:type="dxa"/>
        </w:tblCellMar>
      </w:tblPr>
      <w:tblGrid>
        <w:gridCol w:w="1351"/>
        <w:gridCol w:w="146"/>
        <w:gridCol w:w="4726"/>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6"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Dan Wagner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 and chief executive officer</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Richard Burchill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financial officer</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Sauvik Banerjjee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executive officer, products, technology and digital services</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Salman Ahmad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technical officer</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Peter Vesco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commercial officer</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Arthur Yao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executive officer, Rezolve China</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Anthony Sharp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Non-executive deputy chairman</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Sir David Wright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Non-executive director</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Steve Perry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Non-executive director</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Derek Smith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Non-executive director</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Igor Lychagov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Non-Executive director (resigned May 19, 2023)</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Susan Wagner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Member</w:t>
            </w:r>
          </w:p>
        </w:tc>
      </w:tr>
    </w:tbl>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Transactions and outstanding balances of related parties were as follows: </w:t>
      </w:r>
    </w:p>
    <w:p>
      <w:pPr>
        <w:pStyle w:val="TextBody"/>
        <w:bidi w:val="0"/>
        <w:spacing w:before="120" w:after="283"/>
        <w:jc w:val="left"/>
        <w:rPr>
          <w:rFonts w:ascii="Times New Roman" w:hAnsi="Times New Roman"/>
          <w:sz w:val="20"/>
        </w:rPr>
      </w:pPr>
      <w:r>
        <w:rPr>
          <w:rFonts w:ascii="Times New Roman" w:hAnsi="Times New Roman"/>
          <w:b/>
          <w:color w:val="000000"/>
          <w:sz w:val="20"/>
          <w:u w:val="single"/>
        </w:rPr>
        <w:t>Transactions during the year</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tbl>
      <w:tblPr>
        <w:tblW w:w="6298" w:type="dxa"/>
        <w:jc w:val="left"/>
        <w:tblInd w:w="0" w:type="dxa"/>
        <w:tblLayout w:type="fixed"/>
        <w:tblCellMar>
          <w:top w:w="28" w:type="dxa"/>
          <w:left w:w="28" w:type="dxa"/>
          <w:bottom w:w="28" w:type="dxa"/>
          <w:right w:w="28" w:type="dxa"/>
        </w:tblCellMar>
      </w:tblPr>
      <w:tblGrid>
        <w:gridCol w:w="3061"/>
        <w:gridCol w:w="146"/>
        <w:gridCol w:w="210"/>
        <w:gridCol w:w="169"/>
        <w:gridCol w:w="925"/>
        <w:gridCol w:w="146"/>
        <w:gridCol w:w="146"/>
        <w:gridCol w:w="225"/>
        <w:gridCol w:w="181"/>
        <w:gridCol w:w="898"/>
        <w:gridCol w:w="19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Share Capital Issued at nominal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Brooks Newmark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Igor Lychagov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Convertible promissory notes repaid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DBLP Sea Cow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Adam Wagner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John Wagner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Arthur Yao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Loans Repaid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DBLP Sea Cow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Convertible promissory notes taken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DBLP Sea Cow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Adam Wagner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John Wagner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Arthur Yao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Debt converted into shares, including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Igor Lychagov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3,559,380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Convertible Loans taken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Steve Perry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132,269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Loans Taken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Dan Wagner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4,463,322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191,405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Igor Lychagov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5,587,343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Managerial remuneration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Key Management Personnel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Dan Wagner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306,725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296,067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Salman Ahmad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230,044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222,535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Richard Burchill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281,164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271,395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Sauvik Banerjee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393,440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817,933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1,183,437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393,440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817,933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789,997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817,933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1,183,437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DBLP Sea Cow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61,230,453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756,944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Richard Burchill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1,153,439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1,326,703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Salman Ahmad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228,056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222,535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Peter Vesco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194,722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60,556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Arthur Yao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194,722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60,556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Sauvik Banerjee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842,746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63,001,392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3,270,040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389,444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963,858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62,611,948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2,306,182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63,001,392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3,270,040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Consulting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DBLP Sea Cow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Peter Vesco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321,675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414,926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Arthur Yao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921,675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1,014,926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621,675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714,926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921,675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1,014,926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Director remuneration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Sir David Wright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92,521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Anthony Sharp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383,406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380,084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Steve Perry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92,521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Derek Smith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95,852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92,521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670,961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657,647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670,961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657,647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670,961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657,647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Management remuneration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1,011,119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2,072,224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64,400,841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4,053,826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65,411,960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6,126,050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Business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Rezolve China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4,750,430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777,161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Amounts paid to Arthur Yao were paid out of Rezolve Limited in the UK. The Company’s operations in China have since been liquidated through the Demerger (Refer to Note 2.1—Basis of presentation).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DBLP Sea Cow Ltd. (a company incorporated in the Seychelles) (“DBLP Sea Cow”) is wholly legally owned by Dan Wagner, Chief Executive Officer of Rezolve.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expensed all cash transferred to its former subsidiary Rezolve China (Refer to Note 2.1—Basis of presentation).</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u w:val="single"/>
        </w:rPr>
        <w:t>Outstanding balances as at reporting date</w:t>
      </w:r>
      <w:r>
        <w:rPr>
          <w:rFonts w:ascii="Times New Roman" w:hAnsi="Times New Roman"/>
          <w:color w:val="000000"/>
          <w:sz w:val="20"/>
        </w:rPr>
        <w:t xml:space="preserve"> </w:t>
      </w:r>
    </w:p>
    <w:p>
      <w:pPr>
        <w:pStyle w:val="TextBody"/>
        <w:bidi w:val="0"/>
        <w:jc w:val="left"/>
        <w:rPr/>
      </w:pPr>
      <w:r>
        <w:rPr/>
        <w:t> </w:t>
      </w:r>
    </w:p>
    <w:tbl>
      <w:tblPr>
        <w:tblW w:w="6208" w:type="dxa"/>
        <w:jc w:val="left"/>
        <w:tblInd w:w="0" w:type="dxa"/>
        <w:tblLayout w:type="fixed"/>
        <w:tblCellMar>
          <w:top w:w="28" w:type="dxa"/>
          <w:left w:w="28" w:type="dxa"/>
          <w:bottom w:w="28" w:type="dxa"/>
          <w:right w:w="28" w:type="dxa"/>
        </w:tblCellMar>
      </w:tblPr>
      <w:tblGrid>
        <w:gridCol w:w="2581"/>
        <w:gridCol w:w="146"/>
        <w:gridCol w:w="251"/>
        <w:gridCol w:w="187"/>
        <w:gridCol w:w="1061"/>
        <w:gridCol w:w="146"/>
        <w:gridCol w:w="146"/>
        <w:gridCol w:w="251"/>
        <w:gridCol w:w="187"/>
        <w:gridCol w:w="1061"/>
        <w:gridCol w:w="19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Short term debt to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DBLP Sea Cow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447,067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Daniel Wagner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4,655,144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191,405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Igor Lychagov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5,587,343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5,102,211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6,225,815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Due to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DBLP Sea Cow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Daniel Wagner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899,978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147,605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Arthur Yao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Peter Vesco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Steve Perry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Sauvik Banerjjee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Anthony Sharp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127,325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1,054,429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777,576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Short term convertible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Steve Perry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132,269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Share Subscription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Daniel Wagner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111,845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DBLP Sea Cow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119,844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DBLP Sea Cow Ltd. (a company incorporated in the Seychelles) (“DBLP Sea Cow”) is wholly legally owned by Dan Wagner, Chief Executive Officer of Rezolve.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Operating leases as lessee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of the Company's lease arrangements in place during the years ended December 31, 2024 and 2023 are short-term leases as they have lease terms of 12 months or less and do not include options to purchase the underlying assets. Upon adoption of ASC 842, the Company elected not to record short-term leases on its consolidated balance sheet and instead recognize lease payments in its consolidated statement of operations on a straight-line basis over the lease term. </w:t>
      </w:r>
    </w:p>
    <w:p>
      <w:pPr>
        <w:pStyle w:val="TextBody"/>
        <w:bidi w:val="0"/>
        <w:spacing w:before="12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Income taxes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files its primary tax return in the United Kingdom (“the UK”). Its subsidiaries file income tax returns in the United States (“the US”), Spain, India and Taiwan. The income taxes of the Company are presented on a separate return basis for each tax-paying entity.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components of the Company's loss (income) before income taxes are as follows: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tbl>
      <w:tblPr>
        <w:tblW w:w="4098" w:type="dxa"/>
        <w:jc w:val="left"/>
        <w:tblInd w:w="0" w:type="dxa"/>
        <w:tblLayout w:type="fixed"/>
        <w:tblCellMar>
          <w:top w:w="28" w:type="dxa"/>
          <w:left w:w="28" w:type="dxa"/>
          <w:bottom w:w="28" w:type="dxa"/>
          <w:right w:w="28" w:type="dxa"/>
        </w:tblCellMar>
      </w:tblPr>
      <w:tblGrid>
        <w:gridCol w:w="721"/>
        <w:gridCol w:w="211"/>
        <w:gridCol w:w="146"/>
        <w:gridCol w:w="1143"/>
        <w:gridCol w:w="166"/>
        <w:gridCol w:w="227"/>
        <w:gridCol w:w="157"/>
        <w:gridCol w:w="1116"/>
        <w:gridCol w:w="211"/>
      </w:tblGrid>
      <w:tr>
        <w:trPr/>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171,670,156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29,427,631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994,933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Spain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Taiwan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172,601,857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30,672,690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Current and deferred income tax expense consist of: </w:t>
      </w:r>
    </w:p>
    <w:p>
      <w:pPr>
        <w:pStyle w:val="TextBody"/>
        <w:bidi w:val="0"/>
        <w:jc w:val="left"/>
        <w:rPr/>
      </w:pPr>
      <w:r>
        <w:rPr/>
        <w:t> </w:t>
      </w:r>
    </w:p>
    <w:tbl>
      <w:tblPr>
        <w:tblW w:w="4073" w:type="dxa"/>
        <w:jc w:val="left"/>
        <w:tblInd w:w="0" w:type="dxa"/>
        <w:tblLayout w:type="fixed"/>
        <w:tblCellMar>
          <w:top w:w="28" w:type="dxa"/>
          <w:left w:w="28" w:type="dxa"/>
          <w:bottom w:w="28" w:type="dxa"/>
          <w:right w:w="28" w:type="dxa"/>
        </w:tblCellMar>
      </w:tblPr>
      <w:tblGrid>
        <w:gridCol w:w="736"/>
        <w:gridCol w:w="306"/>
        <w:gridCol w:w="212"/>
        <w:gridCol w:w="982"/>
        <w:gridCol w:w="146"/>
        <w:gridCol w:w="306"/>
        <w:gridCol w:w="212"/>
        <w:gridCol w:w="982"/>
        <w:gridCol w:w="191"/>
      </w:tblGrid>
      <w:tr>
        <w:trPr/>
        <w:tc>
          <w:tcPr>
            <w:tcW w:w="73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India</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63,408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44,933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63,408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63,408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44,933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63,408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Income tax benefit attributable to our loss before income taxes differs from the amounts computed using the applicable income tax rate as a result of the following factors: </w:t>
      </w:r>
    </w:p>
    <w:p>
      <w:pPr>
        <w:pStyle w:val="TextBody"/>
        <w:bidi w:val="0"/>
        <w:jc w:val="left"/>
        <w:rPr/>
      </w:pPr>
      <w:r>
        <w:rPr/>
        <w:t> </w:t>
      </w:r>
    </w:p>
    <w:tbl>
      <w:tblPr>
        <w:tblW w:w="9200" w:type="dxa"/>
        <w:jc w:val="left"/>
        <w:tblInd w:w="0" w:type="dxa"/>
        <w:tblLayout w:type="fixed"/>
        <w:tblCellMar>
          <w:top w:w="28" w:type="dxa"/>
          <w:left w:w="28" w:type="dxa"/>
          <w:bottom w:w="28" w:type="dxa"/>
          <w:right w:w="28" w:type="dxa"/>
        </w:tblCellMar>
      </w:tblPr>
      <w:tblGrid>
        <w:gridCol w:w="5401"/>
        <w:gridCol w:w="211"/>
        <w:gridCol w:w="162"/>
        <w:gridCol w:w="1338"/>
        <w:gridCol w:w="166"/>
        <w:gridCol w:w="211"/>
        <w:gridCol w:w="176"/>
        <w:gridCol w:w="1324"/>
        <w:gridCol w:w="211"/>
      </w:tblGrid>
      <w:tr>
        <w:trPr/>
        <w:tc>
          <w:tcPr>
            <w:tcW w:w="54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(172,601,857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(30,672,690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at statutory tax rates (a)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43,150,464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7,208,082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or non-taxable foreign currency exchange results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rate differences (b)</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(29,893,933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(2,050,426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(12,858,776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(4,996,208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tax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44,933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63,408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statutory or “expected” tax rates are the U.K. rates of 25% for 2024 and 23.5% for 2023. The 2023 statutory rate represents that blended rate in effect for the year ended December 31, 2023 based on the 19.0% statutory rate that was in effect for the first quarter of 2023 and the 25.0% statutory rate that was in effect for the remainder of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pPr>
      <w:r>
        <w:rPr>
          <w:rFonts w:ascii="Times New Roman" w:hAnsi="Times New Roman"/>
          <w:color w:val="000000"/>
          <w:sz w:val="20"/>
        </w:rPr>
        <w:t>Amounts reflect adjustments (either a benefit or expense) to the “expected” tax expense for statutory rates in jurisdictions in which we operate outside of the UK.</w:t>
      </w:r>
      <w:r>
        <w:rPr>
          <w:color w:val="00000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and its subsidiaries are liable to income taxes in their respective jurisdiction. The Company has unused tax losses as follows as at December 31, 2024: </w:t>
      </w:r>
    </w:p>
    <w:p>
      <w:pPr>
        <w:pStyle w:val="TextBody"/>
        <w:bidi w:val="0"/>
        <w:jc w:val="left"/>
        <w:rPr/>
      </w:pPr>
      <w:r>
        <w:rPr/>
        <w:t> </w:t>
      </w:r>
    </w:p>
    <w:tbl>
      <w:tblPr>
        <w:tblW w:w="3697" w:type="dxa"/>
        <w:jc w:val="left"/>
        <w:tblInd w:w="0" w:type="dxa"/>
        <w:tblLayout w:type="fixed"/>
        <w:tblCellMar>
          <w:top w:w="28" w:type="dxa"/>
          <w:left w:w="28" w:type="dxa"/>
          <w:bottom w:w="28" w:type="dxa"/>
          <w:right w:w="28" w:type="dxa"/>
        </w:tblCellMar>
      </w:tblPr>
      <w:tblGrid>
        <w:gridCol w:w="721"/>
        <w:gridCol w:w="211"/>
        <w:gridCol w:w="146"/>
        <w:gridCol w:w="1036"/>
        <w:gridCol w:w="146"/>
        <w:gridCol w:w="146"/>
        <w:gridCol w:w="1291"/>
      </w:tblGrid>
      <w:tr>
        <w:trPr/>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 loss</w:t>
              <w:br/>
              <w:t>carryforward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Expiration date</w:t>
            </w:r>
          </w:p>
        </w:tc>
      </w:tr>
      <w:tr>
        <w:trPr/>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UK (1)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41,980,917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US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6,238,596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Indefinite</w:t>
            </w:r>
          </w:p>
        </w:tc>
      </w:tr>
      <w:tr>
        <w:trPr/>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Spain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1,106,475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Indefinite</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India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N/A</w:t>
            </w:r>
          </w:p>
        </w:tc>
      </w:tr>
      <w:tr>
        <w:trPr/>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Taiwan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2,421,606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 years</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Tax losses carried forward in Rezolve Limited were not transferred to Rezolve AI plc in the Pre-Closing Demerger. As a result, all tax losses previously created in the UK was lost upon completion of the Pre-Closing Demerger, see note 2.1. Tax losses incurred subsequent to the Pre-Closing Demerger have an indefinite life.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created a valuation allowance against the deferred tax asset resulting from such losses due to the Company’s history of past losses and lack of conclusive evidence to support the view that sufficient taxable profit will be generated in the future by the operating entities to offset such losses.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changes in our unrecognized tax benefits for the indicated periods are summarized below: </w:t>
      </w:r>
    </w:p>
    <w:p>
      <w:pPr>
        <w:pStyle w:val="TextBody"/>
        <w:bidi w:val="0"/>
        <w:jc w:val="left"/>
        <w:rPr/>
      </w:pPr>
      <w:r>
        <w:rPr/>
        <w:t> </w:t>
      </w:r>
    </w:p>
    <w:tbl>
      <w:tblPr>
        <w:tblW w:w="7809" w:type="dxa"/>
        <w:jc w:val="left"/>
        <w:tblInd w:w="0" w:type="dxa"/>
        <w:tblLayout w:type="fixed"/>
        <w:tblCellMar>
          <w:top w:w="28" w:type="dxa"/>
          <w:left w:w="28" w:type="dxa"/>
          <w:bottom w:w="28" w:type="dxa"/>
          <w:right w:w="28" w:type="dxa"/>
        </w:tblCellMar>
      </w:tblPr>
      <w:tblGrid>
        <w:gridCol w:w="4606"/>
        <w:gridCol w:w="211"/>
        <w:gridCol w:w="146"/>
        <w:gridCol w:w="1096"/>
        <w:gridCol w:w="166"/>
        <w:gridCol w:w="211"/>
        <w:gridCol w:w="146"/>
        <w:gridCol w:w="1036"/>
        <w:gridCol w:w="191"/>
      </w:tblGrid>
      <w:tr>
        <w:trPr/>
        <w:tc>
          <w:tcPr>
            <w:tcW w:w="46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33,754,069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24,388,433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rate changes: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based on tax positions related to current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10,719,324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6,882,336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to provision (based on tax return)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16,505,726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losses lost on demerger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(47,942,752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2,483,300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13,624,502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33,754,069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No assurance can be given that any of these tax benefits will be recognized or realized.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2025, we do not expect any material reductions to our unrecognized tax benefits related to tax positions taken as of December 31, 2024. No assurance can be given as to the nature or impact of any changes in our unrecognized tax positions during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tax effects of temporary differences that give rise to the significant portions of our deferred tax assets and liabilities are presented below: </w:t>
      </w:r>
    </w:p>
    <w:p>
      <w:pPr>
        <w:pStyle w:val="TextBody"/>
        <w:bidi w:val="0"/>
        <w:jc w:val="left"/>
        <w:rPr/>
      </w:pPr>
      <w:r>
        <w:rPr/>
        <w:t> </w:t>
      </w:r>
    </w:p>
    <w:tbl>
      <w:tblPr>
        <w:tblW w:w="7632" w:type="dxa"/>
        <w:jc w:val="left"/>
        <w:tblInd w:w="0" w:type="dxa"/>
        <w:tblLayout w:type="fixed"/>
        <w:tblCellMar>
          <w:top w:w="28" w:type="dxa"/>
          <w:left w:w="28" w:type="dxa"/>
          <w:bottom w:w="28" w:type="dxa"/>
          <w:right w:w="28" w:type="dxa"/>
        </w:tblCellMar>
      </w:tblPr>
      <w:tblGrid>
        <w:gridCol w:w="4276"/>
        <w:gridCol w:w="217"/>
        <w:gridCol w:w="150"/>
        <w:gridCol w:w="1132"/>
        <w:gridCol w:w="166"/>
        <w:gridCol w:w="227"/>
        <w:gridCol w:w="157"/>
        <w:gridCol w:w="1116"/>
        <w:gridCol w:w="191"/>
      </w:tblGrid>
      <w:tr>
        <w:trPr/>
        <w:tc>
          <w:tcPr>
            <w:tcW w:w="427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assets:</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 and other carryforwards</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13,624,502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33,754,069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PP&amp;E</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debt to related party</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1,556,454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 liability</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debt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7,382,329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8,110,222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22,001,800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43,748,501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liabilities:</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asset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(485,477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(1,132,372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Deferred tax asset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20,869,428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(20,869,428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Deferred tax asset, net of valuation allowance</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 files income tax returns as prescribed by the tax laws of its operating jurisdictions. In the normal course of business, the Company is subject to examination by tax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not recognized any uncertain tax position for the year ended December 31, 2024 and December 31, 2023, respectively. </w:t>
      </w:r>
    </w:p>
    <w:p>
      <w:pPr>
        <w:pStyle w:val="TextBody"/>
        <w:bidi w:val="0"/>
        <w:spacing w:before="24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16. Commitments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3, 2024, the Company announced that it entered into a commercial agreement with Microsoft Corporation. Through this collaboration, Rezolve’s Brain Suite, including Brain Commerce, Brain Checkout, and Brain Assistant, will be powered by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Microsoft Azure and available globally via Microsoft’s Azure Marketplace and co-sell channels. The Company is committed to spend £117.98 million (approximately $147.66 million at December 31, 2024) under this agreement to purchase eligible services and offerings from Microsoft over the next 5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20, 2024, the Company announced that it entered into a commercial agreement with Google Cloud EMEA Ltd (“Google”). Through this collaboration, Google will resell Rezolve AI’s Brain Suite. The Company’s commitments to purchase eligible services and offerings from Google is summarized in the table below:</w:t>
      </w:r>
    </w:p>
    <w:p>
      <w:pPr>
        <w:pStyle w:val="TextBody"/>
        <w:bidi w:val="0"/>
        <w:spacing w:before="120" w:after="283"/>
        <w:jc w:val="left"/>
        <w:rPr/>
      </w:pPr>
      <w:r>
        <w:rPr/>
        <w:t> </w:t>
      </w:r>
    </w:p>
    <w:tbl>
      <w:tblPr>
        <w:tblW w:w="4163" w:type="dxa"/>
        <w:jc w:val="left"/>
        <w:tblInd w:w="0" w:type="dxa"/>
        <w:tblLayout w:type="fixed"/>
        <w:tblCellMar>
          <w:top w:w="28" w:type="dxa"/>
          <w:left w:w="28" w:type="dxa"/>
          <w:bottom w:w="28" w:type="dxa"/>
          <w:right w:w="28" w:type="dxa"/>
        </w:tblCellMar>
      </w:tblPr>
      <w:tblGrid>
        <w:gridCol w:w="2176"/>
        <w:gridCol w:w="146"/>
        <w:gridCol w:w="250"/>
        <w:gridCol w:w="173"/>
        <w:gridCol w:w="1227"/>
        <w:gridCol w:w="191"/>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Commitment 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 period 1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 period 2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 period 3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Commitment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10,000,000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The period starting on November 15, 2024 and continuing for 12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The period starting at the end of Commitment Period 1 and continuing for 12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The period starting at the end of Commitment Period 2 and continuing for 12 months.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Subsequent events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financial statements as of December 31, 2024, we have evaluated subsequent events through April 23, 2025, which is the date such financial statements are available to be issued. </w:t>
      </w:r>
    </w:p>
    <w:p>
      <w:pPr>
        <w:pStyle w:val="TextBody"/>
        <w:bidi w:val="0"/>
        <w:spacing w:before="360" w:after="283"/>
        <w:jc w:val="left"/>
        <w:rPr>
          <w:rFonts w:ascii="Times New Roman" w:hAnsi="Times New Roman"/>
          <w:sz w:val="20"/>
        </w:rPr>
      </w:pPr>
      <w:r>
        <w:rPr>
          <w:rFonts w:ascii="Times New Roman" w:hAnsi="Times New Roman"/>
          <w:i/>
          <w:color w:val="000000"/>
          <w:sz w:val="20"/>
        </w:rPr>
        <w:t>Senior-secured term-loan facility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23, 2025, the Company entered into a senior-secured term-loan facility (the “Facility”) with Joh. Berenberg, Gossler &amp; Co. KG, a financial institution established under the laws of the Federal Republic of Germany (the “Lender”). Capitalized terms used but not defined herein shall have the meanings ascribed to them in the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committed amount of the Facility is $30,000,000 (the “Committed Amount”). The Company may draw the Committed Amount, in full but not in part, until February 20, 2025 upon the satisfaction or waiver of certain customary conditions precedent.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Following a draw of the Committed Amount, the Company must repay the Facility in five (5) monthly installments of $6,000,000 beginning on August 15, 2025. If the Company fails to make a scheduled repayment, a 5% fee will be added to the outstanding balance remaining under the Facility. The Company may, in its sole discretion, make prepayments of at least $3,000,000.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Facility bears no interest. However, the Company will pay a $3,000,000 arrangement fee to the Lender on the earlier of (i) the drawing the Committed Amount and (ii) February 21, 2025. The arrangement fee will be deducted from the Committed Amount disbursed to the Company. As set forth in the Facility, the arrangement fee will be reduced in connection with any prepayments made by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Facility, the Company has made certain customary representations and warranties and is required to comply with various covenants, reporting requirements and other customary requirements for similar facilities. The Company has also agreed to repay the Facility in accordance with the amortization schedule described above, beginning on August 15, 2025, and may use the proceeds it receives under or in connection with that certain Second Amended and Restated Standby Equity Purchase Agreement entered with YA II PN, Ltd. on September 6, 2024 to do so.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Facility contains customary events of default for similar financing transactions, including, among other things, if a change of control of the Company occurs. At any time after an event of default, the Lender may accelerate and make payable all or part of the Facility. The Facility is governed by the laws of Germany, and the courts of Hamburg have exclusive jurisdiction over any disputes arising out of or in connection with the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Lender or its affiliates have in the past provided and may from time to time in the future provide, investment banking and other services to the Company.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Bluedot Acquisition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4, 2025, the Company entered into a purchase agreement with DBLP Sea Cow Ltd (“DBLP”), to acquire the entire issued and to be issued share capital of each of Bluedot Industries, Inc. and Bluedot Industries Pty. Ltd. As consideration for this acquisition, the Company issued 819,737 ordinary shares of the Company to DBLP.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DBLP is a related party and is wholly legally owned by Daniel Wagner and beneficially owned by John Wagner. Both Daniel Wagner and John Wagner are directors of DBLP.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17, 2025, the Company entered into a share purchase agreement with Tanist Group Limited (“Tanist Group”) pursuant to which the Company acquired 100% of the issued and outstanding shares of Bluedot Innovation Pty. Ltd. As consideration for this acquisition, the Company issued 1,941,111 ordinary shares of the Company to the Tanist Group.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Bluedot Industries, Inc., Bluedot Industries Pty. Ltd.and Bluedot Innovation Pty. Ltd, together “Bluedot”, is a developer of mobile location technology to enhance customer experiences.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20, 2025 and March 17, 2025, the Company closed the Bluedot Acquisition and issued the above mentioned ordinary shares as consideration to DBLP and the Tanist Group,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utilizes the services of an independent valuation consultant, along with estimates and assumptions determined by management, to estimate the fair value of the assets acquired and liabilities assumed. Given the timing of the Bluedot Acquisition, the assets acquired are still in process of being valued by an independent valuation consultant. The liabilities assumed are also preliminary until the contractual post-closing adjustments are finalized. The final determination of the fair value of assets acquired and liabilities assumed will be completed within the one-year measurement period as allowed by ASC 805. Therefore the initial accounting for this acquisition is incomplete as of the date of issuance of these consolidated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acquisition of Bluedot was not deemed significant under Rule 3-05 of Regulation S-X (“Rule 3-05”).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GroupBy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11, 2025, the Company entered into a purchase agreement with GroupBy Inc., GroupBy International Ltd., and Fortis Advisors LLC, as the representative of the sellers party thereto (“the Sellers”), to acquire the entire issued and to be issued share capital of each of GroupBy Inc., GroupBy International Ltd., GroupBy USA Inc., and GroupBy UK Ltd (together “GroupBy”).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GroupBy is an eCommerce Search and Product Discovery SaaS technology provider that powers some of the largest B2B and B2C brands.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25, 2025, Rezolve closed the GroupBy acquisition. As consideration for the GroupBy acquisition, the Company issued an aggregate of 3,999,902 of its ordinary shares of the Company in a private placement to the Sellers.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utilizes the services of an independent valuation consultant, along with estimates and assumptions determined by management, to estimate the fair value of the assets acquired and liabilities assumed. Given the timing of the GroupBy Acquisition, the assets acquired are still in process of being valued by an independent valuation consultant. The liabilities assumed are also preliminary until the contractual post-closing adjustments are finalized. The final determination of the fair value of assets acquired and liabilities assumed will be completed within the one-year measurement period as allowed by ASC 805. Therefore the initial accounting for this acquisition is incomplete as of the date of issuance of these consolidated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acquisition of GroupBy was deemed significant under Rule 3-05 and separate financial statements for GroupBy are included elsewhere in this prospectus.</w:t>
      </w:r>
    </w:p>
    <w:p>
      <w:pPr>
        <w:pStyle w:val="TextBody"/>
        <w:bidi w:val="0"/>
        <w:jc w:val="left"/>
        <w:rPr>
          <w:rFonts w:ascii="Times New Roman" w:hAnsi="Times New Roman"/>
          <w:i/>
          <w:color w:val="000000"/>
          <w:sz w:val="20"/>
        </w:rPr>
      </w:pPr>
      <w:r>
        <w:rPr>
          <w:rFonts w:ascii="Times New Roman" w:hAnsi="Times New Roman"/>
          <w:i/>
          <w:color w:val="000000"/>
          <w:sz w:val="20"/>
        </w:rPr>
        <w:t>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21, 2025, the Company entered into a Securities Purchase Agreement (the “SPA”) with each of the investors listed on the Schedule of Buyers attached thereto (the “Buyers”). Capitalized terms used but not defined herein shall have the meanings ascribed to them in the SPA or the form of Convertible Note (as defined below), as applicable.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SPA, the Company has agreed to sell to the Buyers up to $1 billion of Convertible Notes. The Company has agreed to use all of the proceeds it receives from the sale of the Convertible Notes to cause a newly formed, wholly owned subsidiary of the Company (the “New SPV Subsidiary”), to purchase and hold Bitcoin, subject to certain conditions being met, as set out in the terms of the Convertible Notes.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Subject to the satisfaction or waiver of certain conditions to closing set forth in the SPA, the Company will initially sell $100 million of Convertible Notes (the “Initial Notes”) to the Buyers (the “Initial Closing”). In connection with the Initial Closing, the Company will also issue a number of ordinary shares (“Closing Commitment Shares”) of the Company, par value £0.0001 (“Ordinary Shares”) equal to the applicable Commitment Shares Calculation set forth in the SPA. The Closing Commitment Shares shall be purchased for a price of £0.0001 per Closing Commitment Share and shall be delivered to the Buyers as set forth in the Schedule of Buyers on the date the Closing Commitment Shares are registered for resale under the Securities Exchange Act of 1934, as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Subject to the satisfaction or waiver of certain conditions to closing set forth in the SPA, beginning on June 25, 2025 and until February 21, 2028, the Lead Buyer may cause the Company to participate in additional closings (each, an “Additional Closing”) for up to $900 million of additional Convertible Notes (the “Additional Notes” and, together with the Initial Notes, the “Convertible Notes”) with a conversion price equal to the 20-day VWAP of the Ordinary Shares on the date of the applicable Additional Closing. In connection with each Additional Closing, the Company will sell Additional Notes to the Buyers and issue a number of Ordinary Shares (“Additional Commitment Shares” and, together with Closing Commitment Shares, “Commitment Shares”) to the Buyers equal to the applicable Commitment Shares Calculation set forth in the SPA. The Additional Commitment Shares shall be purchased for a price of £0.0001 per Additional Commitment Share and shall be delivered to the Buyers on a pro rata basis upon the delivery of the Conversion Notice associated with the Additional Notes purchased at the respective Additional Closing.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Notwithstanding the foregoing, in the event that the Lead Buyer does not purchase any Additional Notes on or prior to the earlier of (i) the Company meeting the Equity Conditions or (ii) December 24, 2025, the Company may reduce the maximum number Additional Notes purchasable by the Buyers from $900 million to $500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Convertible Note shall mature on the fifth anniversary of its issuance date, subject to acceleration through full redemption or conversion pursuant to its terms, and shall accrue interest at the Effective Federal Funds Rate. Upon the option of the Buyers, (i) the Initial Notes will be convertible into Ordinary Shares at a conversion price of $3 per share and (ii) the Additional Notes will be convertible into Ordinary Shares at a conversion price equal to the 20-day VWAP of the Ordinary Shares as of the date of the applicable Additional Closing on which such Additional Notes were purchased. The conversion price will be subject to adjustment as provided in the Convertible Notes if, so long as any Convertible Notes remain outstanding, the Company issues or sells, or is deemed to have issued or sold, any Ordinary Shares or other instruments convertible into Ordinary Shares at an Effective Issuance Price Per Ordinary Share less than the Conversion Price of the then-outstanding Convertible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Convertible Notes will be guaranteed by the Company and all of its direct and indirect subsidiaries, including the New SPV Subsidiary. Additionally, the Convertible Notes will be secured by a first priority perfected security interest in (i) all of the Bitcoin purchased by the New SPV Subsidiary and (i) all remaining cash proceeds from the sale of the Convertible Notes held by the New SPV Subsidiary.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Initial Closing, the Company will enter into a Pledge Agreement and Registration Rights Agreement in favor of the Buyers. The Registration Rights Agreement will register for resale all of the Ordinary Shares issued upon conversion of the Convertible Notes and all of the Commitment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Convertible Notes contain customary events of default for similar financing transactions, but with sole recourse (save in the case of certain major events of default set forth in the Note) to the segregated accounts held by the New SPV Subsidiary and irrespective to the market price of Bitcoin. In the event Bitcoin trades above the value of the Convertible Notes, the value in excess of the Convertible Notes will be for the account of the Company. At any time after an event of default, the Convertible Notes will accrue interest at a rate equal to the then applicable interest rate plus 5.0% and the Buyers may accelerate or redeem the Convertible Notes, as set forth in the Convertible Notes.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Certain of the Buyers or their affiliates have in the past provided and may from time to time in the future provide investment banking and other services to the Company.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Reduction of additional paid-in-capital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26, 2025, the board of the directors of the Company passed a resolution to reduce the additional paid-in-capital of the Company by $200,000,000. A recapitalization occurred capitalizing $200,000,000 to accumulated deficit.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Debt and other liabilities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first quarter of 2025, the Company settled certain of its outstanding convertible debt through the issuance of ordinary shares and also issued additional ordinary shares to a subscriber under its advanced subscription agreement for ordinary shares. See note 7 for more information.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smallCaps/>
          <w:color w:val="000000"/>
          <w:sz w:val="20"/>
        </w:rPr>
      </w:pPr>
      <w:bookmarkStart w:id="35" w:name="groupby_audit_mnp_report"/>
      <w:bookmarkEnd w:id="35"/>
      <w:r>
        <w:rPr>
          <w:rFonts w:ascii="Times New Roman" w:hAnsi="Times New Roman"/>
          <w:b/>
          <w:smallCaps/>
          <w:color w:val="000000"/>
          <w:sz w:val="20"/>
        </w:rPr>
        <w:t>INDEPENDENT AUDITOR'S REPORT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To the Board of Directors and Shareholders of GroupBy Group of Companies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Opinion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audited the accompanying combined consolidated financial statements of GroupBy Group of Companies, which comprise the balance sheets as of December 31, 2024 and December 31, 2023, and the related statements of loss and other comprehensive loss, changes in deficit, and cash flows for the years then ended, and the related notes to the combined consolidated financial statements, including a summary of material accounting policies.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our opinion, the combined consolidated financial statements referred to above present fairly, in all material respects, the financial position of GroupBy Group of Companies as of December 31, 2024 and December 31, 2023, and the results of its operations and its cash flows for the years then ended in accordance with IFRS® Accounting Standards as issued by the International Accounting Standards Board.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conducted our audits in accordance with auditing standards generally accepted in the United States of America. Our responsibilities under those standards are further described in the Auditor’s Responsibilities for the Audit of the Combined Consolidated Financial Statements section of our report. We are required to be independent of GroupBy Group of Companies and to meet our other ethical responsibilities in accordance with the relevant ethical requirements relating to our audits. We believe that the audit evidence we have obtained is sufficient and appropriate to provide a basis for our audit opinion.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Material Uncertainty Related to Going Concern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draw attention to Note 3 in the combined consolidated financial statements, which indicated that GroupBy Group of Companies incurred a net loss during the years ended December 31, 2024 and December 31, 2023, and as of those dates, GroupBy Group of Companies’ current liabilities exceeded its total assets. As stated in Note 3, these events or conditions, along with other matters as set forth in Note 3, indicate that material uncertainty exists that casts significant doubt on GroupBy Group of Companies’ ability to continue as a going concern. Our opinion is not modified in respect of this matter.</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Responsibilities of Management for the Combined Consolidated Financial Statements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Management is responsible for the preparation and fair presentation of the combined consolidated financial statements in accordance with IFRS Accounting Standards as issued by the International Accounting Standards Board, and for the design, implementation, and maintenance of internal control relevant to the preparation and fair presentation of combined consolidated financial statements that are free from material misstatement, whether due to fraud or error.</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preparing the combined consolidated financial statements, management is required to evaluate whether there are conditions or events, considered in the aggregate, that raise substantial doubt about GroupBy Group of Companies’ ability to continue as a going concern within one year after the date that the combined consolidated financial statements are available to be issued.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Auditor’s Responsibilities for the Audit of the Combined Consolidated Financial Statements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objectives are to obtain reasonable assurance about whether the combined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generally accepted auditing standards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combined consolidated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performing an audit in accordance with generally accepted auditing standards,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Exercise professional judgment and maintain professional skepticism throughout the audit.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 and assess the risks of material misstatement of the combined consolidated financial statements, whether due to fraud or error, and design and perform audit procedures responsive to those risks. Such procedures include examining, on a test basis, evidence regarding the amounts and disclosures in the combined consolidated financial 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an understanding of internal control relevant to the audit in order to design audit procedures that are appropriate in the circumstances, but not for the purpose of expressing an opinion on the effectiveness of GroupBy Group of Companies’ internal control. Accordingly, no such opinion is expressed.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 the appropriateness of accounting policies used and the reasonableness of significant accounting estimates made by management, as well as evaluate the overall presentation of the combined consolidated financial 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Conclude whether, in our judgment, there are conditions or events, considered in the aggregate, that raise substantial doubt about GroupBy Group of Companies’ ability to continue as a going concern for a reasonable period of time.We are required to communicate with those charged with governance regarding, among other matters, the planned scope and timing of the audit, significant audit findings, and certain internal control related matters that we identified during the audit.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required to communicate with those charged with governance regarding, among other matters, the planned scope and timing of the audit, significant audit findings, and certain internal control related matters that we identified during the audit.</w:t>
      </w:r>
    </w:p>
    <w:p>
      <w:pPr>
        <w:pStyle w:val="TextBody"/>
        <w:bidi w:val="0"/>
        <w:jc w:val="left"/>
        <w:rPr/>
      </w:pPr>
      <w:r>
        <w:rPr/>
        <w:t> </w:t>
      </w:r>
    </w:p>
    <w:p>
      <w:pPr>
        <w:pStyle w:val="TextBody"/>
        <w:bidi w:val="0"/>
        <w:jc w:val="left"/>
        <w:rPr/>
      </w:pPr>
      <w:bookmarkStart w:id="36" w:name="independent_auditors_report_groupby"/>
      <w:bookmarkEnd w:id="36"/>
      <w:r>
        <w:rPr/>
        <w:t> </w:t>
      </w:r>
    </w:p>
    <w:p>
      <w:pPr>
        <w:pStyle w:val="TextBody"/>
        <w:bidi w:val="0"/>
        <w:jc w:val="left"/>
        <w:rPr>
          <w:rFonts w:ascii="Times New Roman" w:hAnsi="Times New Roman"/>
          <w:color w:val="000000"/>
          <w:sz w:val="20"/>
        </w:rPr>
      </w:pPr>
      <w:r>
        <w:rPr>
          <w:rFonts w:ascii="Times New Roman" w:hAnsi="Times New Roman"/>
          <w:color w:val="000000"/>
          <w:sz w:val="20"/>
        </w:rPr>
        <w:t>/s/ MNP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Chartered Professional Accountants</w:t>
      </w:r>
    </w:p>
    <w:p>
      <w:pPr>
        <w:pStyle w:val="TextBody"/>
        <w:bidi w:val="0"/>
        <w:jc w:val="left"/>
        <w:rPr>
          <w:rFonts w:ascii="Times New Roman" w:hAnsi="Times New Roman"/>
          <w:color w:val="000000"/>
          <w:sz w:val="20"/>
        </w:rPr>
      </w:pPr>
      <w:r>
        <w:rPr>
          <w:rFonts w:ascii="Times New Roman" w:hAnsi="Times New Roman"/>
          <w:color w:val="000000"/>
          <w:sz w:val="20"/>
        </w:rPr>
        <w:t>Licensed Public Accountants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Toronto, Ontario </w:t>
      </w:r>
    </w:p>
    <w:p>
      <w:pPr>
        <w:pStyle w:val="TextBody"/>
        <w:bidi w:val="0"/>
        <w:jc w:val="left"/>
        <w:rPr>
          <w:rFonts w:ascii="Times New Roman" w:hAnsi="Times New Roman"/>
          <w:color w:val="000000"/>
          <w:sz w:val="20"/>
        </w:rPr>
      </w:pPr>
      <w:r>
        <w:rPr>
          <w:rFonts w:ascii="Times New Roman" w:hAnsi="Times New Roman"/>
          <w:color w:val="000000"/>
          <w:sz w:val="20"/>
        </w:rPr>
        <w:t>April 14,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GROUPBY GROUP OF COMPANIES</w:t>
      </w:r>
    </w:p>
    <w:p>
      <w:pPr>
        <w:pStyle w:val="TextBody"/>
        <w:bidi w:val="0"/>
        <w:jc w:val="center"/>
        <w:rPr>
          <w:rFonts w:ascii="Times New Roman" w:hAnsi="Times New Roman"/>
          <w:b/>
          <w:color w:val="000000"/>
          <w:sz w:val="20"/>
        </w:rPr>
      </w:pPr>
      <w:bookmarkStart w:id="37" w:name="consolidated_balance_sheets"/>
      <w:bookmarkEnd w:id="37"/>
      <w:r>
        <w:rPr>
          <w:rFonts w:ascii="Times New Roman" w:hAnsi="Times New Roman"/>
          <w:b/>
          <w:color w:val="000000"/>
          <w:sz w:val="20"/>
        </w:rPr>
        <w:t>COMBINED CONSOLIDATED STATEMENT OF FINANCIAL POSITION</w:t>
      </w:r>
    </w:p>
    <w:p>
      <w:pPr>
        <w:pStyle w:val="TextBody"/>
        <w:bidi w:val="0"/>
        <w:jc w:val="center"/>
        <w:rPr>
          <w:rFonts w:ascii="Times New Roman" w:hAnsi="Times New Roman"/>
          <w:i/>
          <w:color w:val="000000"/>
          <w:sz w:val="18"/>
        </w:rPr>
      </w:pPr>
      <w:r>
        <w:rPr>
          <w:rFonts w:ascii="Times New Roman" w:hAnsi="Times New Roman"/>
          <w:i/>
          <w:color w:val="000000"/>
          <w:sz w:val="18"/>
        </w:rPr>
        <w:t>(Expressed in United States dollars)</w:t>
      </w:r>
    </w:p>
    <w:p>
      <w:pPr>
        <w:pStyle w:val="TextBody"/>
        <w:bidi w:val="0"/>
        <w:jc w:val="left"/>
        <w:rPr/>
      </w:pPr>
      <w:r>
        <w:rPr/>
        <w:t> </w:t>
      </w:r>
    </w:p>
    <w:tbl>
      <w:tblPr>
        <w:tblW w:w="9088" w:type="dxa"/>
        <w:jc w:val="left"/>
        <w:tblInd w:w="0" w:type="dxa"/>
        <w:tblLayout w:type="fixed"/>
        <w:tblCellMar>
          <w:top w:w="28" w:type="dxa"/>
          <w:left w:w="28" w:type="dxa"/>
          <w:bottom w:w="28" w:type="dxa"/>
          <w:right w:w="28" w:type="dxa"/>
        </w:tblCellMar>
      </w:tblPr>
      <w:tblGrid>
        <w:gridCol w:w="4698"/>
        <w:gridCol w:w="567"/>
        <w:gridCol w:w="242"/>
        <w:gridCol w:w="1258"/>
        <w:gridCol w:w="166"/>
        <w:gridCol w:w="146"/>
        <w:gridCol w:w="242"/>
        <w:gridCol w:w="1258"/>
        <w:gridCol w:w="511"/>
      </w:tblGrid>
      <w:tr>
        <w:trPr/>
        <w:tc>
          <w:tcPr>
            <w:tcW w:w="469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2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Cash</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6,482,298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3,376,896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Accounts receivable </w:t>
            </w:r>
            <w:r>
              <w:rPr>
                <w:rFonts w:ascii="Times New Roman" w:hAnsi="Times New Roman"/>
                <w:i/>
                <w:color w:val="000000"/>
                <w:sz w:val="20"/>
              </w:rPr>
              <w:t>(Note 5, Note 15)</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1,148,861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1,594,710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Investment tax credits receivable </w:t>
            </w:r>
            <w:r>
              <w:rPr>
                <w:rFonts w:ascii="Times New Roman" w:hAnsi="Times New Roman"/>
                <w:i/>
                <w:color w:val="000000"/>
                <w:sz w:val="20"/>
              </w:rPr>
              <w:t>(Note 7)</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148,630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Prepaid expenses and deposits </w:t>
            </w:r>
            <w:r>
              <w:rPr>
                <w:rFonts w:ascii="Times New Roman" w:hAnsi="Times New Roman"/>
                <w:i/>
                <w:color w:val="000000"/>
                <w:sz w:val="20"/>
              </w:rPr>
              <w:t>(Note 19)</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1,146,327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1,153,536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69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Income taxes receivable</w:t>
            </w:r>
          </w:p>
        </w:tc>
        <w:tc>
          <w:tcPr>
            <w:tcW w:w="56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222,222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8,999,708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6,273,772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2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Non-current</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Property and equipment </w:t>
            </w:r>
            <w:r>
              <w:rPr>
                <w:rFonts w:ascii="Times New Roman" w:hAnsi="Times New Roman"/>
                <w:i/>
                <w:color w:val="000000"/>
                <w:sz w:val="20"/>
              </w:rPr>
              <w:t>(Note 6)</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153,818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Right-of-use asset </w:t>
            </w:r>
            <w:r>
              <w:rPr>
                <w:rFonts w:ascii="Times New Roman" w:hAnsi="Times New Roman"/>
                <w:i/>
                <w:color w:val="000000"/>
                <w:sz w:val="20"/>
              </w:rPr>
              <w:t>(Note 8)</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174,568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221,120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Non-Current Assets</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174,568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374,938</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9,174,276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6,648,710</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6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Current</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6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Bank indebtedness </w:t>
            </w:r>
            <w:r>
              <w:rPr>
                <w:rFonts w:ascii="Times New Roman" w:hAnsi="Times New Roman"/>
                <w:i/>
                <w:color w:val="000000"/>
                <w:sz w:val="20"/>
              </w:rPr>
              <w:t>(Note 9)</w:t>
            </w:r>
          </w:p>
        </w:tc>
        <w:tc>
          <w:tcPr>
            <w:tcW w:w="56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12,000,000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Accounts Payable and accrued liabilities </w:t>
            </w:r>
            <w:r>
              <w:rPr>
                <w:rFonts w:ascii="Times New Roman" w:hAnsi="Times New Roman"/>
                <w:i/>
                <w:color w:val="000000"/>
                <w:sz w:val="20"/>
              </w:rPr>
              <w:t>(Note 10, Note 15)</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21,598,041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10,416,166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Income taxes payable</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216,876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Deferred revenue </w:t>
            </w:r>
            <w:r>
              <w:rPr>
                <w:rFonts w:ascii="Times New Roman" w:hAnsi="Times New Roman"/>
                <w:i/>
                <w:color w:val="000000"/>
                <w:sz w:val="20"/>
              </w:rPr>
              <w:t>(Note 19)</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8,584,886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8,118,419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Current portion of lease liabilities </w:t>
            </w:r>
            <w:r>
              <w:rPr>
                <w:rFonts w:ascii="Times New Roman" w:hAnsi="Times New Roman"/>
                <w:i/>
                <w:color w:val="000000"/>
                <w:sz w:val="20"/>
              </w:rPr>
              <w:t>(Note 8)</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36,137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Warrant liability </w:t>
            </w:r>
            <w:r>
              <w:rPr>
                <w:rFonts w:ascii="Times New Roman" w:hAnsi="Times New Roman"/>
                <w:i/>
                <w:color w:val="000000"/>
                <w:sz w:val="20"/>
              </w:rPr>
              <w:t>(Note 11)</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36,152</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42,246,145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30,823,750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Lease liabilities </w:t>
            </w:r>
            <w:r>
              <w:rPr>
                <w:rFonts w:ascii="Times New Roman" w:hAnsi="Times New Roman"/>
                <w:i/>
                <w:color w:val="000000"/>
                <w:sz w:val="20"/>
              </w:rPr>
              <w:t>(Note 8)</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148,945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188,969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42,395,090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31,012,719</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b/>
                <w:color w:val="000000"/>
                <w:sz w:val="20"/>
              </w:rPr>
              <w:t xml:space="preserve">Contingencies </w:t>
            </w:r>
            <w:r>
              <w:rPr>
                <w:rFonts w:ascii="Times New Roman" w:hAnsi="Times New Roman"/>
                <w:i/>
                <w:color w:val="000000"/>
                <w:sz w:val="20"/>
              </w:rPr>
              <w:t>(Note 21)</w:t>
            </w:r>
          </w:p>
        </w:tc>
        <w:tc>
          <w:tcPr>
            <w:tcW w:w="56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Deficit</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Share capital </w:t>
            </w:r>
            <w:r>
              <w:rPr>
                <w:rFonts w:ascii="Times New Roman" w:hAnsi="Times New Roman"/>
                <w:i/>
                <w:color w:val="000000"/>
                <w:sz w:val="20"/>
              </w:rPr>
              <w:t>(Note 13)</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14,005,728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14,005,728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Warrants </w:t>
            </w:r>
            <w:r>
              <w:rPr>
                <w:rFonts w:ascii="Times New Roman" w:hAnsi="Times New Roman"/>
                <w:i/>
                <w:color w:val="000000"/>
                <w:sz w:val="20"/>
              </w:rPr>
              <w:t>(Note 14)</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4,678,728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4,678,728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6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Deficit</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(58,196,350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(49,263,493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2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Contributed surplus </w:t>
            </w:r>
            <w:r>
              <w:rPr>
                <w:rFonts w:ascii="Times New Roman" w:hAnsi="Times New Roman"/>
                <w:i/>
                <w:color w:val="000000"/>
                <w:sz w:val="20"/>
              </w:rPr>
              <w:t>(Note 20)</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6,291,080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6,215,028</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Deficit</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(33,220,814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(24,364,009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Deficit</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9,174,276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6,648,710</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GROUPBY GROUP OF COMPANIES</w:t>
      </w:r>
    </w:p>
    <w:p>
      <w:pPr>
        <w:pStyle w:val="TextBody"/>
        <w:bidi w:val="0"/>
        <w:jc w:val="center"/>
        <w:rPr>
          <w:rFonts w:ascii="Times New Roman" w:hAnsi="Times New Roman"/>
          <w:b/>
          <w:color w:val="000000"/>
          <w:sz w:val="20"/>
        </w:rPr>
      </w:pPr>
      <w:bookmarkStart w:id="38" w:name="consolidated_statements_of_operations"/>
      <w:bookmarkEnd w:id="38"/>
      <w:r>
        <w:rPr>
          <w:rFonts w:ascii="Times New Roman" w:hAnsi="Times New Roman"/>
          <w:b/>
          <w:color w:val="000000"/>
          <w:sz w:val="20"/>
        </w:rPr>
        <w:t>COMBINED CONSOLIDATED STATEMENTS OF LOSS AND COMPREHENSIVE LOSS</w:t>
      </w:r>
    </w:p>
    <w:p>
      <w:pPr>
        <w:pStyle w:val="TextBody"/>
        <w:bidi w:val="0"/>
        <w:jc w:val="center"/>
        <w:rPr>
          <w:rFonts w:ascii="Times New Roman" w:hAnsi="Times New Roman"/>
          <w:i/>
          <w:color w:val="000000"/>
          <w:sz w:val="18"/>
        </w:rPr>
      </w:pPr>
      <w:r>
        <w:rPr>
          <w:rFonts w:ascii="Times New Roman" w:hAnsi="Times New Roman"/>
          <w:i/>
          <w:color w:val="000000"/>
          <w:sz w:val="18"/>
        </w:rPr>
        <w:t>(Expressed in United States dollars)</w:t>
      </w:r>
    </w:p>
    <w:p>
      <w:pPr>
        <w:pStyle w:val="TextBody"/>
        <w:bidi w:val="0"/>
        <w:jc w:val="left"/>
        <w:rPr/>
      </w:pPr>
      <w:r>
        <w:rPr/>
        <w:t> </w:t>
      </w:r>
    </w:p>
    <w:tbl>
      <w:tblPr>
        <w:tblW w:w="8375" w:type="dxa"/>
        <w:jc w:val="left"/>
        <w:tblInd w:w="0" w:type="dxa"/>
        <w:tblLayout w:type="fixed"/>
        <w:tblCellMar>
          <w:top w:w="28" w:type="dxa"/>
          <w:left w:w="28" w:type="dxa"/>
          <w:bottom w:w="28" w:type="dxa"/>
          <w:right w:w="28" w:type="dxa"/>
        </w:tblCellMar>
      </w:tblPr>
      <w:tblGrid>
        <w:gridCol w:w="4606"/>
        <w:gridCol w:w="246"/>
        <w:gridCol w:w="253"/>
        <w:gridCol w:w="1247"/>
        <w:gridCol w:w="166"/>
        <w:gridCol w:w="146"/>
        <w:gridCol w:w="253"/>
        <w:gridCol w:w="1247"/>
        <w:gridCol w:w="211"/>
      </w:tblGrid>
      <w:tr>
        <w:trPr/>
        <w:tc>
          <w:tcPr>
            <w:tcW w:w="46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Revenue </w:t>
            </w:r>
            <w:r>
              <w:rPr>
                <w:rFonts w:ascii="Times New Roman" w:hAnsi="Times New Roman"/>
                <w:i/>
                <w:color w:val="000000"/>
                <w:sz w:val="20"/>
              </w:rPr>
              <w:t>(Note 19)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18,890,934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19,848,821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Costs of sales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11,874,137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9,596,739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Gross profit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7,016,797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10,252,082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Research and development </w:t>
            </w:r>
            <w:r>
              <w:rPr>
                <w:rFonts w:ascii="Times New Roman" w:hAnsi="Times New Roman"/>
                <w:i/>
                <w:color w:val="000000"/>
                <w:sz w:val="20"/>
              </w:rPr>
              <w:t>(Note 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6,835,367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7,096,165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Sales and marketing </w:t>
            </w:r>
            <w:r>
              <w:rPr>
                <w:rFonts w:ascii="Times New Roman" w:hAnsi="Times New Roman"/>
                <w:i/>
                <w:color w:val="000000"/>
                <w:sz w:val="20"/>
              </w:rPr>
              <w:t>(Note 19)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4,906,824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4,158,183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General and administration </w:t>
            </w:r>
            <w:r>
              <w:rPr>
                <w:rFonts w:ascii="Times New Roman" w:hAnsi="Times New Roman"/>
                <w:i/>
                <w:color w:val="000000"/>
                <w:sz w:val="20"/>
              </w:rPr>
              <w:t>(Note 12, Note 15, Note 16)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2,789,811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3,010,741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Depreciation and amortization </w:t>
            </w:r>
            <w:r>
              <w:rPr>
                <w:rFonts w:ascii="Times New Roman" w:hAnsi="Times New Roman"/>
                <w:i/>
                <w:color w:val="000000"/>
                <w:sz w:val="20"/>
              </w:rPr>
              <w:t>(Note 6, Note 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200,370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136,194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14,732,372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14,401,283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the undernoted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(7,715,575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(4,149,201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expenses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Interest and accretion </w:t>
            </w:r>
            <w:r>
              <w:rPr>
                <w:rFonts w:ascii="Times New Roman" w:hAnsi="Times New Roman"/>
                <w:i/>
                <w:color w:val="000000"/>
                <w:sz w:val="20"/>
              </w:rPr>
              <w:t>(Note 8, Note 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1,152,396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1,147,970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Gain on revaluation of warrant liability </w:t>
            </w:r>
            <w:r>
              <w:rPr>
                <w:rFonts w:ascii="Times New Roman" w:hAnsi="Times New Roman"/>
                <w:i/>
                <w:color w:val="000000"/>
                <w:sz w:val="20"/>
              </w:rPr>
              <w:t>(Note 11)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(16,003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expenses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1,183,758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1,227,816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Loss before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(8,899,333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(5,377,017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Provision for income taxes </w:t>
            </w:r>
            <w:r>
              <w:rPr>
                <w:rFonts w:ascii="Times New Roman" w:hAnsi="Times New Roman"/>
                <w:i/>
                <w:color w:val="000000"/>
                <w:sz w:val="20"/>
              </w:rPr>
              <w:t>(Note 18)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33,524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320,914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(8,932,857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(5,697,931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GROUPBY GROUP OF COMPANIES</w:t>
      </w:r>
    </w:p>
    <w:p>
      <w:pPr>
        <w:pStyle w:val="TextBody"/>
        <w:bidi w:val="0"/>
        <w:jc w:val="center"/>
        <w:rPr>
          <w:rFonts w:ascii="Times New Roman" w:hAnsi="Times New Roman"/>
          <w:b/>
          <w:color w:val="000000"/>
          <w:sz w:val="20"/>
        </w:rPr>
      </w:pPr>
      <w:bookmarkStart w:id="39" w:name="consolidated_statements_of_changes_in"/>
      <w:bookmarkEnd w:id="39"/>
      <w:r>
        <w:rPr>
          <w:rFonts w:ascii="Times New Roman" w:hAnsi="Times New Roman"/>
          <w:b/>
          <w:color w:val="000000"/>
          <w:sz w:val="20"/>
        </w:rPr>
        <w:t>COMBINED CONSOLIDATED STATEMENTS OF CHANGES IN STOCKHOLDERS’ DEFICIT</w:t>
      </w:r>
    </w:p>
    <w:p>
      <w:pPr>
        <w:pStyle w:val="TextBody"/>
        <w:bidi w:val="0"/>
        <w:jc w:val="center"/>
        <w:rPr>
          <w:rFonts w:ascii="Times New Roman" w:hAnsi="Times New Roman"/>
          <w:i/>
          <w:color w:val="000000"/>
          <w:sz w:val="18"/>
        </w:rPr>
      </w:pPr>
      <w:r>
        <w:rPr>
          <w:rFonts w:ascii="Times New Roman" w:hAnsi="Times New Roman"/>
          <w:i/>
          <w:color w:val="000000"/>
          <w:sz w:val="18"/>
        </w:rPr>
        <w:t>(Expressed in United States dollars)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60"/>
        <w:gridCol w:w="146"/>
        <w:gridCol w:w="196"/>
        <w:gridCol w:w="916"/>
        <w:gridCol w:w="146"/>
        <w:gridCol w:w="146"/>
        <w:gridCol w:w="196"/>
        <w:gridCol w:w="826"/>
        <w:gridCol w:w="146"/>
        <w:gridCol w:w="146"/>
        <w:gridCol w:w="196"/>
        <w:gridCol w:w="826"/>
        <w:gridCol w:w="146"/>
        <w:gridCol w:w="146"/>
        <w:gridCol w:w="196"/>
        <w:gridCol w:w="976"/>
        <w:gridCol w:w="166"/>
        <w:gridCol w:w="146"/>
        <w:gridCol w:w="196"/>
        <w:gridCol w:w="976"/>
        <w:gridCol w:w="211"/>
      </w:tblGrid>
      <w:tr>
        <w:trPr/>
        <w:tc>
          <w:tcPr>
            <w:tcW w:w="3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Contributed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Shareholders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Surplus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14,005,728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4,678,728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6,085,161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(43,565,562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(18,795,945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3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(5,697,931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(5,697,931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Recognition of share-based payments </w:t>
            </w:r>
            <w:r>
              <w:rPr>
                <w:rFonts w:ascii="Times New Roman" w:hAnsi="Times New Roman"/>
                <w:i/>
                <w:color w:val="000000"/>
                <w:sz w:val="16"/>
              </w:rPr>
              <w:t>(Note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129,867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129,867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14,005,728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4,678,728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6,215,028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(49,263,493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(24,364,009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3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(8,932,857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(8,932,857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Recognition of share-based payments </w:t>
            </w:r>
            <w:r>
              <w:rPr>
                <w:rFonts w:ascii="Times New Roman" w:hAnsi="Times New Roman"/>
                <w:i/>
                <w:color w:val="000000"/>
                <w:sz w:val="16"/>
              </w:rPr>
              <w:t>(Note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14,005,728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4,678,728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6,291,080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(58,196,350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(33,220,814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GROUPBY GROUP OF COMPANIES</w:t>
      </w:r>
    </w:p>
    <w:p>
      <w:pPr>
        <w:pStyle w:val="TextBody"/>
        <w:bidi w:val="0"/>
        <w:jc w:val="center"/>
        <w:rPr>
          <w:rFonts w:ascii="Times New Roman" w:hAnsi="Times New Roman"/>
          <w:b/>
          <w:color w:val="000000"/>
          <w:sz w:val="20"/>
        </w:rPr>
      </w:pPr>
      <w:bookmarkStart w:id="40" w:name="consolidated_statements_of_cash_flows"/>
      <w:bookmarkEnd w:id="40"/>
      <w:r>
        <w:rPr>
          <w:rFonts w:ascii="Times New Roman" w:hAnsi="Times New Roman"/>
          <w:b/>
          <w:color w:val="000000"/>
          <w:sz w:val="20"/>
        </w:rPr>
        <w:t>COMBINED CONSOLIDATED STATEMENTS OF CASH FLOWS</w:t>
      </w:r>
    </w:p>
    <w:p>
      <w:pPr>
        <w:pStyle w:val="TextBody"/>
        <w:bidi w:val="0"/>
        <w:jc w:val="center"/>
        <w:rPr>
          <w:rFonts w:ascii="Times New Roman" w:hAnsi="Times New Roman"/>
          <w:i/>
          <w:color w:val="000000"/>
          <w:sz w:val="18"/>
        </w:rPr>
      </w:pPr>
      <w:r>
        <w:rPr>
          <w:rFonts w:ascii="Times New Roman" w:hAnsi="Times New Roman"/>
          <w:i/>
          <w:color w:val="000000"/>
          <w:sz w:val="18"/>
        </w:rPr>
        <w:t>(Expressed in United States dollars)</w:t>
      </w:r>
    </w:p>
    <w:p>
      <w:pPr>
        <w:pStyle w:val="TextBody"/>
        <w:bidi w:val="0"/>
        <w:jc w:val="left"/>
        <w:rPr/>
      </w:pPr>
      <w:r>
        <w:rPr/>
        <w:t> </w:t>
      </w:r>
    </w:p>
    <w:tbl>
      <w:tblPr>
        <w:tblW w:w="8064" w:type="dxa"/>
        <w:jc w:val="left"/>
        <w:tblInd w:w="0" w:type="dxa"/>
        <w:tblLayout w:type="fixed"/>
        <w:tblCellMar>
          <w:top w:w="28" w:type="dxa"/>
          <w:left w:w="28" w:type="dxa"/>
          <w:bottom w:w="28" w:type="dxa"/>
          <w:right w:w="28" w:type="dxa"/>
        </w:tblCellMar>
      </w:tblPr>
      <w:tblGrid>
        <w:gridCol w:w="4396"/>
        <w:gridCol w:w="146"/>
        <w:gridCol w:w="227"/>
        <w:gridCol w:w="157"/>
        <w:gridCol w:w="1116"/>
        <w:gridCol w:w="166"/>
        <w:gridCol w:w="146"/>
        <w:gridCol w:w="234"/>
        <w:gridCol w:w="162"/>
        <w:gridCol w:w="1103"/>
        <w:gridCol w:w="211"/>
      </w:tblGrid>
      <w:tr>
        <w:trPr/>
        <w:tc>
          <w:tcPr>
            <w:tcW w:w="4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provided by (used for) the following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(8,932,857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(5,697,931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foreign exchange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revaluation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working capital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445,850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2,383,829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tax credits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148,630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(439,098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10,415,075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720,304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1,233,267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3,264,176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3,135,449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853,653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Advances of bank indebtedness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(30,047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(90,630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(30,047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1,909,370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Increase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3,105,402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2,730,930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beginning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3,376,896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645,966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6,482,298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3,376,896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Supplementary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additions to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additions to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GROUPBY GROUP OF COMPANIES</w:t>
      </w:r>
    </w:p>
    <w:p>
      <w:pPr>
        <w:pStyle w:val="TextBody"/>
        <w:bidi w:val="0"/>
        <w:jc w:val="center"/>
        <w:rPr>
          <w:rFonts w:ascii="Times New Roman" w:hAnsi="Times New Roman"/>
          <w:sz w:val="20"/>
        </w:rPr>
      </w:pPr>
      <w:bookmarkStart w:id="41" w:name="notes_to_financial_statements_"/>
      <w:bookmarkEnd w:id="41"/>
      <w:r>
        <w:rPr>
          <w:rFonts w:ascii="Times New Roman" w:hAnsi="Times New Roman"/>
          <w:b/>
          <w:color w:val="000000"/>
          <w:sz w:val="20"/>
        </w:rPr>
        <w:t>NOTES TO</w:t>
      </w:r>
      <w:r>
        <w:rPr>
          <w:rFonts w:ascii="Times New Roman" w:hAnsi="Times New Roman"/>
          <w:color w:val="000000"/>
          <w:sz w:val="20"/>
        </w:rPr>
        <w:t xml:space="preserve"> </w:t>
      </w:r>
      <w:r>
        <w:rPr>
          <w:rFonts w:ascii="Times New Roman" w:hAnsi="Times New Roman"/>
          <w:b/>
          <w:color w:val="000000"/>
          <w:sz w:val="20"/>
        </w:rPr>
        <w:t>COMBINED CONSOLIDIDATED FINANCIAL STATEMENTS</w:t>
      </w:r>
    </w:p>
    <w:p>
      <w:pPr>
        <w:pStyle w:val="TextBody"/>
        <w:bidi w:val="0"/>
        <w:jc w:val="center"/>
        <w:rPr>
          <w:rFonts w:ascii="Times New Roman" w:hAnsi="Times New Roman"/>
          <w:i/>
          <w:color w:val="000000"/>
          <w:sz w:val="18"/>
        </w:rPr>
      </w:pPr>
      <w:r>
        <w:rPr>
          <w:rFonts w:ascii="Times New Roman" w:hAnsi="Times New Roman"/>
          <w:i/>
          <w:color w:val="000000"/>
          <w:sz w:val="18"/>
        </w:rPr>
        <w:t>For the year ended December 31, 2024</w:t>
      </w:r>
    </w:p>
    <w:p>
      <w:pPr>
        <w:pStyle w:val="TextBody"/>
        <w:bidi w:val="0"/>
        <w:jc w:val="center"/>
        <w:rPr>
          <w:rFonts w:ascii="Times New Roman" w:hAnsi="Times New Roman"/>
          <w:i/>
          <w:color w:val="000000"/>
          <w:sz w:val="18"/>
        </w:rPr>
      </w:pPr>
      <w:r>
        <w:rPr>
          <w:rFonts w:ascii="Times New Roman" w:hAnsi="Times New Roman"/>
          <w:i/>
          <w:color w:val="000000"/>
          <w:sz w:val="18"/>
        </w:rPr>
        <w:t>(Expressed in United States dollars)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Nature of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GroupBy Group of Companies (the “Group”) provides e-commerce software solutions that help their customers better connect with their customers by creating a more relevant user experience.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principal and registered address of the Group’s registered office is 250 The Esplanade, Suite 500, Toronto, ON M5A 4J6.</w:t>
      </w:r>
    </w:p>
    <w:p>
      <w:pPr>
        <w:pStyle w:val="TextBody"/>
        <w:bidi w:val="0"/>
        <w:spacing w:before="24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Statement of Compliance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combined consolidated financial statements have been prepared in accordance with International Financial Reporting Standards (“IFRS”) and interpretations adopted by the International Accounting Standards Board (“IASB”). The combined consolidated financial statements have been prepared on a historical cost basis, except for certain financial instruments that are measured at fair value as described in the accounting policies.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combined consolidated financial statements were approved by the Group’s board of directors on April 12, 2025.</w:t>
      </w:r>
    </w:p>
    <w:p>
      <w:pPr>
        <w:pStyle w:val="TextBody"/>
        <w:bidi w:val="0"/>
        <w:spacing w:before="24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of preparation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combined consolidated financial statements were prepared on a going concern basis under the historical cost basis except for the revaluation of certain financial instruments. The principal accounting policies are set out in Note 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combined consolidated financial statements have been presented on a going concern basis assuming that the Group will be able to realize its assets and to discharge its liabilities in the normal course of its operations. The Group has yet to achieve profitable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December 31, 2024, the Group incurred a net loss before other expenses and income taxes of $ 7,715,575 (2023 - $4,149,201 ) and a net loss and comprehensive loss of $$8,932,857 (2023 - $$5,697,931). As at December 31,2024 , the Group has a deficit of $$58,196,350 (2023 - $$49,263,493), negative working capital of $33,212,913 (2023 - $24,648,395) and was not in compliance with their financial covenants (Note 9). These conditions, among others,create substantial doubt about the Group's ability to continue as a going concern. The Group is actively seeking new equity financing to relieve its debt load and provide sufficient capital to allow the Group to achieve positive operating cash flows. There can be no assurance the Group will be able to secure new financing or achieve its projected sales targets.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believes that the going concern assumption is appropriate for these combined consolidated financial statements. If the Group were unable to continue operations, material adjustments to the carrying amounts and classification of assets and liabilities would be necessary.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Functional and presentation currency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financial statements are presented in United States dollars, which is the functional currency of each entity within the Group.</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Significant accounting judgments, estimates and assumptions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the Group’s combined consolidated financial statements requires management to make judgments,estimates and assumptions that affect the reported amounts of revenues, expenses, assets and liabilities, and the disclosure of contingent liabilities, at the reporting date. These estimates and assumptions have been made using careful judgment; however, uncertainties could result in outcomes that would require a material adjustment to the carrying amount of the asset or liability affected in the future. The most significant estimates are as follows: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u w:val="single"/>
        </w:rPr>
      </w:pPr>
      <w:r>
        <w:rPr>
          <w:rFonts w:ascii="Times New Roman" w:hAnsi="Times New Roman"/>
          <w:b/>
          <w:color w:val="000000"/>
          <w:sz w:val="20"/>
          <w:u w:val="single"/>
        </w:rPr>
        <w:t>Judgments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examines the contracts with their customers to determine the individual performance obligations and then allocates the consideration of the contract to each performance obligation. The Group's services are to give customers access to cloud-based search-enhancing and data curation algorithms. The Group has determined that performance of this service obligation occurs over the time that the contract is outstanding and as such, has recognized the revenue from each contract on a straight-line basis.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Embedded derivative and warrant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Estimating the fair value of warrants and conversion features requires determining the most appropriate valuation model,which is dependent on the terms and conditions of the grant. This estimate also requires determining the most appropriate inputs to the valuation model including the expected life of the warrants and conversion feature, volatility and dividend yield and making assumptions about them.</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Functional currency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Group's functional currency is dependent on which currency the Group primarily operates in. The Group has assessed its revenues and expenditures, financing, and cash balances, and determined that the primary revenues and expenditures of each entity within the Group are denominated in United States dollars.</w:t>
      </w:r>
    </w:p>
    <w:p>
      <w:pPr>
        <w:pStyle w:val="TextBody"/>
        <w:bidi w:val="0"/>
        <w:spacing w:before="240" w:after="283"/>
        <w:jc w:val="left"/>
        <w:rPr>
          <w:rFonts w:ascii="Times New Roman" w:hAnsi="Times New Roman"/>
          <w:sz w:val="20"/>
        </w:rPr>
      </w:pPr>
      <w:r>
        <w:rPr>
          <w:rFonts w:ascii="Times New Roman" w:hAnsi="Times New Roman"/>
          <w:b/>
          <w:i/>
          <w:color w:val="000000"/>
          <w:sz w:val="20"/>
        </w:rPr>
        <w:t>Recoverability of the carrying values of property and equipment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assesses its property and equipment for indications of impairment at the end of each reporting period. Such indicators include, but are not limited to, changes in the Group's business plans, changes in market conditions and evidence of physical damage.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Determination as to whether and to what degree property and equipment are impaired, involves management's application of judgment on highly uncertain matters such as future selling and purchasing prices, projected revenues and expenses, the effect of inflation on operating expenses, the Group's weighted average cost of capital and the economics of the industry.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Identification of cash-generating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has allocated its tangible assets to the smallest identifiable group of assets that generate cash inflows and that are largely independent of the cash inflows from other assets. The Group has applied judgment to determine its cash generating units.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Going concern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assesses its current liquidity and operational environment to determine if the going concern assumption is appropriate.</w:t>
      </w:r>
    </w:p>
    <w:p>
      <w:pPr>
        <w:pStyle w:val="TextBody"/>
        <w:bidi w:val="0"/>
        <w:spacing w:before="240" w:after="283"/>
        <w:jc w:val="left"/>
        <w:rPr>
          <w:rFonts w:ascii="Times New Roman" w:hAnsi="Times New Roman"/>
          <w:b/>
          <w:color w:val="000000"/>
          <w:sz w:val="20"/>
          <w:u w:val="single"/>
        </w:rPr>
      </w:pPr>
      <w:r>
        <w:rPr>
          <w:rFonts w:ascii="Times New Roman" w:hAnsi="Times New Roman"/>
          <w:b/>
          <w:color w:val="000000"/>
          <w:sz w:val="20"/>
          <w:u w:val="single"/>
        </w:rPr>
        <w:t>Key sources of estimation uncertainty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Depreciation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of the Group's property and equipment involves estimating their useful lives and residual values. These estimates may change as more experience is obtained, thereby impacting the value of the Group's property and equipment.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Share-based 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Black-Scholes option pricing model was developed for use in estimating the fair value of traded options, which are fully transferable with no vesting restrictions. This option valuation model requires the input of highly subjective assumptions,including the expected stock price volatility, expected lives of the options, expected dividends to be paid by the Group and risk-free interest rates. Because the Group’s stock options have characteristics significantly different from those of traded options and because changes in the input assumptions can materially affect the fair value estimate, such value is subject to measurement uncertainty. The effect on the combined consolidated financial statements from changes in such estimates in future years could be significant.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Deferred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calculation of deferred taxes is based on assumptions, which are subject to uncertainty as to timing and which tax rates are expected to apply when temporary differences reverse. Deferred taxes recorded are also subject to uncertainty regarding the magnitude on non-capital losses available for carry forward and of the balances in various tax pools as the corporate tax return have not been prepared as of the date of financial statement preparation.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estimates and assumptions are reviewed periodically and as adjustments become necessary, they are reported in net loss in the years in which they become known. Actual results may differ significantly from management estimates.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Investment tax credits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Investment tax credits are accrued when the Group has made the qualifying expenditures, provided there is reasonable assurance that the credits will be realized. When the investment tax credits are not accrued in the year in which the qualifying expenditures are made due to no reasonable assurance that the credits will be realized, such credits are accrued in the subsequent year in which reasonable assurance of realization is first obtained. This is accounted for as a change in accounting estimate.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Valuation of financial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uses valuation techniques that include inputs that are not based on observable market data to estimate the fair value of certain types of financial instruments. Management believes that the chosen valuation techniques and assumptions used are appropriate in determining the fair value of financial instruments.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Expected credit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recognizes an allowance for expected credit losses associated with its financial assets, other than those financial assets measured at fair value through profit and loss. Expected credit losses are measured to reflect a probability weighted amount, the time value of money, and reasonable and supportable information regarding past events, current conditions and forecasts of future economic conditions. The Group assesses credit-impairment at each reporting date. The expected credit losses are presented in the combined consolidated statement of financial position as a deduction from the gross carrying amount of the financial asset.</w:t>
      </w:r>
    </w:p>
    <w:p>
      <w:pPr>
        <w:pStyle w:val="TextBody"/>
        <w:bidi w:val="0"/>
        <w:spacing w:before="24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Material accounting policy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principle accounting policies adopted in the preparation of the combined consolidated financial statements are set out below. The policies have been consistently applied to all the years presented, unless otherwise stated.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consolidation and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combined consolidated financial statements incorporate the financial statements of GroupBy Inc. and the consolidated financial statements of GroupBy International Ltd. and its subsidiaries. GroupBy Inc. and GroupBy International Ltd. are companies under common control and were incorporated on November 15, 2012 and November 18, 2013, respectively,under the laws of the Province of Ontario. GroupBy International Ltd.'s wholly owned subsidiary, GroupBy USA Inc., was incorporated under the laws of the State of Delaware on November 18, 2013. GroupBy International Ltd.'s other wholly owned subsidiary, GroupBy UK Ltd., was incorporated on November 23, 2018 under the Companies Act 2006 of England and Wales.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Subsidiaries are entities controlled by the Group. Control is achieved where the Group is exposed, or has rights, to variable returns from its involvement with the entities and has the ability to affect those returns through its power over the entities. In assessing control, only rights that give the Group the current ability to direct the relevant activities and that the Group has the practical ability to exercise, are considered.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results of subsidiaries are included in these combined consolidated financial statements from the effective date of acquisition, as appropriate. Where necessary, adjustments are made to the combined consolidated financial statements of acquired subsidiaries to conform their accounting policies to the Group's accounting policies. All inter-Group transactions,balances, income and expenses are eliminated on consolidation and combination.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combined consolidated financial statements have been prepared using uniform accounting policies for like transactions and other events in similar circumstances. Where necessary, adjustments are made to the financial statements of subsidiaries to ensure consistency with those used by other members of the Group.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balances, unrealized gains and losses or income and expenses arising from inter-Group transactions, are eliminated upon consolidation and combination. Unrealized gains arising from transactions with equity accounted investees are eliminated against the investment to the extent of the Group’s interest in the investee. Unrealized losses are eliminated in the same manner as unrealized gains, but only to the extent that there is no evidence of impairment.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translation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combined consolidated financial statements have been presented in United States ("US") dollars, the functional currency of the Group's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Transactions denominated in foreign currencies are translated into the functional currency of the Group at exchange rates prevailing at the transaction dates (spot exchange rates). Monetary assets and liabilities are retranslated at the exchange rates at the combined consolidated statement of financial position date. Exchange gains and losses on translation or settlement are recognized in net loss for the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Non-monetary items that are measured at historical cost are translated using the exchange rates at the date of the transaction and non-monetary items that are measured at fair value are translated using the exchange rates at the date when the items’ fair values were determined. Translation gains and losses are included in net loss and comprehensive loss for the year.</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from contracts with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recognizes revenue when it transfers control of its services to the customer. As the Group has the right to bill customers in advance of providing the services, the Group recognizes the amount receivable with a corresponding deferred revenue. The Group follows a 5-step process to determine whether to recognize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Identifying the contract with a customer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Identifying the performance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Determining the transaction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Allocating the transaction price to the performance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Recognizing revenue when (or as) performance obligations are satisfied.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Group's principal service involves cloud-based software solutions, which include the "Searchandiser" and "Edgecase Enrich" products. These services provide customers with e-commerce curation and intelligent search tools along with available support. Additional server time can be purchased separately and most contracts span multiple years. The Group recognizes revenue on a straight-line basis over the contract term as access to the software is provided. Additional server time is billed on a data-consumption basis and is recognized at the time the additional server time is provided. The Group recognizes sales commissions incurred to obtain new contracts as an asset which is amortized into expense on a straight-line basis over the term of the related contract.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recognizes an asset, included in prepaid expenses and deposits, for the incremental costs of obtaining a contract with a customer if it expects the costs to be recoverable and has determined that such costs meet the requirements to be capitalized. Capitalized contract acquisition costs are amortized consistent with the pattern of transfer to the customer for the services to which the asset relates. The Group does not capitalize incremental costs of obtaining contracts if the amortization period is one year or less.</w:t>
      </w:r>
    </w:p>
    <w:p>
      <w:pPr>
        <w:pStyle w:val="TextBody"/>
        <w:bidi w:val="0"/>
        <w:spacing w:before="240" w:after="283"/>
        <w:jc w:val="left"/>
        <w:rPr>
          <w:rFonts w:ascii="Times New Roman" w:hAnsi="Times New Roman"/>
          <w:sz w:val="20"/>
        </w:rPr>
      </w:pPr>
      <w:r>
        <w:rPr>
          <w:rFonts w:ascii="Times New Roman" w:hAnsi="Times New Roman"/>
          <w:b/>
          <w:i/>
          <w:color w:val="000000"/>
          <w:sz w:val="20"/>
        </w:rPr>
        <w:t>Income taxes and deferred taxes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Income taxes are comprised of current and deferred taxes. Income taxes are recognized in the combined consolidated statement of loss and comprehensive loss except to the extent that it relates to items recognized directly in equity, in which case the income tax is also recognized directly in equity.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Current tax is the expected taxes payable on the taxable income for the year, using tax rates enacted, or substantively enacted, at the end of the reporting period, and any adjustment to tax payable in respect of previous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Deferred tax is recognized in respect of temporary differences arising between the tax bases of assets and liabilities and their carrying amounts in the financial statements. Deferred tax is determined on a non-discounted basis using tax rates and laws that have been enacted or substantively enacted at the end of the reporting period and are expected to apply when the asset is realized, or liability is settled. Deferred tax assets are recognized for deductible temporary differences, unused tax losses and other income tax deductions to the extent that it is probable the Group will have taxable income against which those deductible temporary differences, unused tax losses and other income tax deductions can be utilized. The extent to which deductible temporary differences, unused tax losses and other income tax deductions are expected to be realized is reassessed at the end of each reporting period.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Investment tax credits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Investment tax credits (“ITCs”) are recognized where there is reasonable assurance that the ITCs will be received and all attached conditions will be complied with. When the ITCs relate to an expense item, it is recognized in revenue. Where the ITCs relate to an asset, it reduces the carrying amount of the asset. The ITCs are then recognized as income over the useful life of a depreciable asset by way of a reduced depreciation charge. The Group is actively engaged in scientific research and development (“R&amp;D”) and, accordingly, has previously filed for ITC refunds under both the Canadian federal and Ontario provincial Scientific Research and Experimental Development (“SR&amp;ED”) tax incentive programs. The ITCs recorded in the accounts are based on management’s interpretation of the Income Tax Act of Canada, provisions which govern the eligibility of R&amp;D costs. The claims are subject to review by the Canada Revenue Agency and the Minister of Revenue for Ontario before the refunds can be released.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Property and equipment are stated at cost less accumulated depreciation and impairment losses. Cost includes expenditures that are directly attributable to the acquisition of the asset. Subsequent costs are included in the asset’s carrying amount or recognized as a separate asset, as appropriate, only when it is probable that future economic benefits associated with the item will flow to the Group and the cost can be measured reliably. The carrying amount of a replaced asset is derecognized when replaced. Repairs and maintenance costs are charged to the combined consolidated statement of loss and comprehensive loss during the period in which they are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is provided using the declining balance method at rates intended to depreciate the cost of assets over their estimated useful lives.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methods of depreciation and depreciation rates applicable for each class of asset during the current and comparative years are as follows:</w:t>
      </w:r>
    </w:p>
    <w:p>
      <w:pPr>
        <w:pStyle w:val="TextBody"/>
        <w:bidi w:val="0"/>
        <w:spacing w:before="240" w:after="283"/>
        <w:jc w:val="left"/>
        <w:rPr/>
      </w:pPr>
      <w:r>
        <w:rPr/>
        <w:t> </w:t>
      </w:r>
    </w:p>
    <w:tbl>
      <w:tblPr>
        <w:tblW w:w="4567" w:type="dxa"/>
        <w:jc w:val="left"/>
        <w:tblInd w:w="0" w:type="dxa"/>
        <w:tblLayout w:type="fixed"/>
        <w:tblCellMar>
          <w:top w:w="28" w:type="dxa"/>
          <w:left w:w="28" w:type="dxa"/>
          <w:bottom w:w="28" w:type="dxa"/>
          <w:right w:w="28" w:type="dxa"/>
        </w:tblCellMar>
      </w:tblPr>
      <w:tblGrid>
        <w:gridCol w:w="1876"/>
        <w:gridCol w:w="146"/>
        <w:gridCol w:w="1621"/>
        <w:gridCol w:w="146"/>
        <w:gridCol w:w="146"/>
        <w:gridCol w:w="316"/>
        <w:gridCol w:w="316"/>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Method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declining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declining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declining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declining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Residual values, method of depreciation and useful lives of the assets are reviewed annually and adjusted, if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Gains and losses on disposals of property and equipment are determined by comparing the proceeds with the carrying amount of the asset and are included in the combined consolidated statement of loss and comprehensive loss.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Share-based 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Directors, officers, consultants, and employees of the Group receive remuneration in the form of share-based payment transactions, whereby directors, officers, consultants, and employees render services as consideration for equity instruments ("equity-settled share-based 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Where equity instruments are issued and some or all of the goods or services received by the Group as consideration cannot be specifically identified, these non-identifiable goods or services are measured as the difference between the fair value of the share-based payment and the fair value of any identifiable goods or services received at the grant date.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Equity-settled share-based payments to employees and others providing similar services are measured at the fair value of the equity instruments at the grant date. The fair value of the equity instruments granted is estimated using the Black-Scholes option pricing model, taking into account amounts that are believed to approximate the expected volatility of the trading price of the Group's stock, the expected lives of the awards of stock-based compensation, the fair value of the Group's stock and the risk-free interest rate, as determined at the grant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equity instruments granted is recognized as an expense over the vesting period, based on the Group's estimate of the number of equity instruments that will eventually vest, with a corresponding increase to contributed surplus.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Financial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Group’s financial assets, upon initial recognition, are measured at fair value and are classified as Fair Value through Profit or Loss (“FVTPL”), Fair Value through Other Comprehensive Income (“FVOCI”), or amortized cost. The classification is determined at initial recognition and is dependent on the business model in which a financial asset is managed and the characteristics of the contractual cash flows. Subsequent reclassification may only occur on the first day of the reporting period following a change to the business model.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Group’s financial liabilities, upon initial recognition, are measured at fair value and are classified as amortized cost or FVTPL. A financial liability is classified as amortized cost at initial recognition unless it is classified as held-for-trading, is a derivative instrument or is specifically designated as FVTPL. Financial liabilities classified as amortized cost are subsequently measured using the effective interest method while financial liabilities at FVTPL are subsequently measured at fair value with changes in fair value recognized in the combined consolidated statement of loss and comprehensive loss in the period in which such changes arise.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applies the simplified approach for trade receivables. The Group records an allowance for expected credit losses for financial assets that are measured at amortized cost. At each reporting date, the Group measures the allowance at an amount equal to the lifetime expected credit losses if the credit risk on its financial assets has increased significantly since initial recognition. If credit risk has not significantly increased since initial recognition, the Group measures the loss allowance at an amount equal to the 12-month expected credit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Transaction costs, other than those related to financial instruments classified as FVTPL, which are expensed as incurred,are capitalized to the carrying amount of the instrument and amortized using the effective interest method.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summary of the Group's classification of their financial instruments is disclosed below: </w:t>
      </w:r>
    </w:p>
    <w:p>
      <w:pPr>
        <w:pStyle w:val="TextBody"/>
        <w:bidi w:val="0"/>
        <w:spacing w:before="240" w:after="283"/>
        <w:jc w:val="left"/>
        <w:rPr/>
      </w:pPr>
      <w:r>
        <w:rPr/>
        <w:t> </w:t>
      </w:r>
    </w:p>
    <w:tbl>
      <w:tblPr>
        <w:tblW w:w="5139" w:type="dxa"/>
        <w:jc w:val="left"/>
        <w:tblInd w:w="0" w:type="dxa"/>
        <w:tblLayout w:type="fixed"/>
        <w:tblCellMar>
          <w:top w:w="28" w:type="dxa"/>
          <w:left w:w="28" w:type="dxa"/>
          <w:bottom w:w="28" w:type="dxa"/>
          <w:right w:w="28" w:type="dxa"/>
        </w:tblCellMar>
      </w:tblPr>
      <w:tblGrid>
        <w:gridCol w:w="3421"/>
        <w:gridCol w:w="146"/>
        <w:gridCol w:w="1381"/>
        <w:gridCol w:w="1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Financial Asset/Liability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Classification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FVTPL</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Amortized Cost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tax credits and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Amortized Cost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 indebtedness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Amortized Cost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Amortized Cost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FVTPL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Amortized Cost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Compound financial instruments and embedded derivatives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examines the terms of its preferred shares for the correct classification in shareholders' deficit or liabilities. The Class A preferred shares have a conversion feature that includes a price-based antidilution adjustment. The price-based antidilution adjustment ensures Class A preferred shareholders are made whole in the event of a down financing round at the expense of common shareholders; therefore, the conversion feature was assessed to be a derivative liability, and measured at fair value. The residual amount was classified as equity. The derivative liability was determined to have a value of $nil (2023 - $nil) as at December 31, 2024. The derivative liability is revalued using the option pricing model at the end of each reporting period, with any changes recognized on the combined consolidated statement of loss and other comprehensive loss.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inception of a contract, the Group assesses whether a contract is, or contains, a lease based on whether the contract conveys the right to control the use of identified asset for a period of time in exchange for consideration. The Group recognizes a right-of-use asset and a lease liability at the lease commencement date. The right-of-use assets are initially measured based on the initial amount of the lease liability adjusted for any lease payments made at or before the commencement date, plus any initial direct costs incurred and an estimate of the costs to dismantle and remove the underlying assets or to restore the underlying assets or the site on which it is located, less any lease incentives received.The right-of-use assets are depreciated to the earlier of the end of their useful life or the lease term using the straight-line method as this most closely reflects the expected pattern of the consumption of the future economic benefits. The lease term includes periods covered by an option to extend if the Group is reasonably certain to exercise that option. In addition,the right-of-use assets can be periodically reduced by impairment losses, if any, and adjusted for certain remeasurements of the lease liability. The lease liabilities are initially measured at the present value of the lease payments that are not paid at the commencement date, discounted using the interest rate implicit in the lease or, if that rate cannot be readily determined, the Group’s incremental borrowing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lease liabilities are measured at amortized cost using the effective interest method. It is remeasured when there is a change in future lease payments arising from the change in an index or rate, if there is a change in the Group’s estimate of the amount expected to be payable under a residual value guarantee, or if the Group changes its assessment of whether it will exercise a purchase, extension or termination option. When the lease liability is remeasured in this way, a corresponding adjustment is made to the carrying amount of the right-of-use asset, unless it has been reduced to zero.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has elected to apply the practical expedient not to recognize right-of-use assets and lease liabilities for short-term leases that have a lease term of 12 months or less or to leases of low value assets when applicable. The lease payments associated with those leases are recognized as an expense on a straight-line basis over the lease term.</w:t>
      </w:r>
    </w:p>
    <w:p>
      <w:pPr>
        <w:pStyle w:val="TextBody"/>
        <w:bidi w:val="0"/>
        <w:spacing w:before="24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Accounts Receivable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Group had the following receivables at the end of each reporting year: </w:t>
      </w:r>
    </w:p>
    <w:p>
      <w:pPr>
        <w:pStyle w:val="TextBody"/>
        <w:bidi w:val="0"/>
        <w:jc w:val="left"/>
        <w:rPr/>
      </w:pPr>
      <w:r>
        <w:rPr/>
        <w:t> </w:t>
      </w:r>
    </w:p>
    <w:tbl>
      <w:tblPr>
        <w:tblW w:w="8036" w:type="dxa"/>
        <w:jc w:val="left"/>
        <w:tblInd w:w="0" w:type="dxa"/>
        <w:tblLayout w:type="fixed"/>
        <w:tblCellMar>
          <w:top w:w="28" w:type="dxa"/>
          <w:left w:w="28" w:type="dxa"/>
          <w:bottom w:w="28" w:type="dxa"/>
          <w:right w:w="28" w:type="dxa"/>
        </w:tblCellMar>
      </w:tblPr>
      <w:tblGrid>
        <w:gridCol w:w="4261"/>
        <w:gridCol w:w="146"/>
        <w:gridCol w:w="277"/>
        <w:gridCol w:w="1223"/>
        <w:gridCol w:w="146"/>
        <w:gridCol w:w="146"/>
        <w:gridCol w:w="277"/>
        <w:gridCol w:w="1223"/>
        <w:gridCol w:w="146"/>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2,094,161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Harmonized sales tax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304,206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2,398,367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2,894,022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provision for expected credit losses (Note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1,249,506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1,299,312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1,148,861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1,594,710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Property and equipment</w:t>
      </w:r>
    </w:p>
    <w:p>
      <w:pPr>
        <w:pStyle w:val="TextBody"/>
        <w:bidi w:val="0"/>
        <w:spacing w:before="3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066"/>
        <w:gridCol w:w="211"/>
        <w:gridCol w:w="188"/>
        <w:gridCol w:w="1084"/>
        <w:gridCol w:w="166"/>
        <w:gridCol w:w="211"/>
        <w:gridCol w:w="187"/>
        <w:gridCol w:w="946"/>
        <w:gridCol w:w="166"/>
        <w:gridCol w:w="211"/>
        <w:gridCol w:w="189"/>
        <w:gridCol w:w="1090"/>
        <w:gridCol w:w="166"/>
        <w:gridCol w:w="211"/>
        <w:gridCol w:w="179"/>
        <w:gridCol w:w="908"/>
        <w:gridCol w:w="166"/>
        <w:gridCol w:w="211"/>
        <w:gridCol w:w="146"/>
        <w:gridCol w:w="841"/>
        <w:gridCol w:w="166"/>
        <w:gridCol w:w="496"/>
      </w:tblGrid>
      <w:tr>
        <w:trPr/>
        <w:tc>
          <w:tcPr>
            <w:tcW w:w="2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Computer equipment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Computer sofware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Funiture and fixtures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Office equipment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Balance, December 31, 2022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Additions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Disposals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Balance, December 31, 2023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451,351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688,404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Additions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Disposals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(451,351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(688,404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Balance, December 31, 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depreciation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Balance, December 31, 2022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Depreciation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Balance, December 31, 2023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534,586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Depreciation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Disposals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(688,404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Balance, December 31, 2024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book value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Balance, December 31, 2023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Balance, December 31, 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Investment Tax Credits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undertakes certain scientific research and experimental development ("SR&amp;ED") activities. As at December 31,2024, the Group accrued $nil (2023 - $148,630) of investment tax credits ("ITCs") receivable. During the year, ITCs of $nil (2023 - $148,630) have been included as a reduction in research and development costs in relation to its current year claim.</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Right-of-use assets and lease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at December 31, 2024, the Group's right-of-use assets and lease liabilities include a lease agreement for office premises in Toronto, Ontario.</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Right-of-use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illustrates the right-of-use assets balance during the year:</w:t>
      </w:r>
    </w:p>
    <w:p>
      <w:pPr>
        <w:pStyle w:val="TextBody"/>
        <w:bidi w:val="0"/>
        <w:spacing w:before="24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F-54</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5158" w:type="dxa"/>
        <w:jc w:val="left"/>
        <w:tblInd w:w="0" w:type="dxa"/>
        <w:tblLayout w:type="fixed"/>
        <w:tblCellMar>
          <w:top w:w="28" w:type="dxa"/>
          <w:left w:w="28" w:type="dxa"/>
          <w:bottom w:w="28" w:type="dxa"/>
          <w:right w:w="28" w:type="dxa"/>
        </w:tblCellMar>
      </w:tblPr>
      <w:tblGrid>
        <w:gridCol w:w="3021"/>
        <w:gridCol w:w="211"/>
        <w:gridCol w:w="179"/>
        <w:gridCol w:w="1036"/>
        <w:gridCol w:w="711"/>
      </w:tblGrid>
      <w:tr>
        <w:trPr/>
        <w:tc>
          <w:tcPr>
            <w:tcW w:w="3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Office premises</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Balance, December 31, 2022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539,232</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Additions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232,758</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Disposals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(539,232</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Balance, December 31, 2023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232,758</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Additions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Disposals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Balance, December 31, 2024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232,758</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depreciation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Balance, December 31, 2022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466,165</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Depreciation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84,705</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Derecognition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(539,232</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Balance, December 31, 2023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11,638</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Depreciation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46,552</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Derecognition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Balance, December 31, 2024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58,190</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book value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Balance, December 31, 2023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221,120</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Balance, December 31, 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174,568</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Additions to the right-of-use assets during the year were $nil (2023 - $232,758).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right-of-use assets are depreciated on a straight-line basis over the term of the respective leases.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out the maturity analysis of the lease liabilities:</w:t>
      </w:r>
    </w:p>
    <w:p>
      <w:pPr>
        <w:pStyle w:val="TextBody"/>
        <w:bidi w:val="0"/>
        <w:spacing w:before="240" w:after="283"/>
        <w:jc w:val="left"/>
        <w:rPr/>
      </w:pPr>
      <w:r>
        <w:rPr/>
        <w:t> </w:t>
      </w:r>
    </w:p>
    <w:tbl>
      <w:tblPr>
        <w:tblW w:w="9334" w:type="dxa"/>
        <w:jc w:val="left"/>
        <w:tblInd w:w="0" w:type="dxa"/>
        <w:tblLayout w:type="fixed"/>
        <w:tblCellMar>
          <w:top w:w="28" w:type="dxa"/>
          <w:left w:w="28" w:type="dxa"/>
          <w:bottom w:w="28" w:type="dxa"/>
          <w:right w:w="28" w:type="dxa"/>
        </w:tblCellMar>
      </w:tblPr>
      <w:tblGrid>
        <w:gridCol w:w="6721"/>
        <w:gridCol w:w="146"/>
        <w:gridCol w:w="211"/>
        <w:gridCol w:w="781"/>
        <w:gridCol w:w="146"/>
        <w:gridCol w:w="146"/>
        <w:gridCol w:w="211"/>
        <w:gridCol w:w="781"/>
        <w:gridCol w:w="191"/>
      </w:tblGrid>
      <w:tr>
        <w:trPr/>
        <w:tc>
          <w:tcPr>
            <w:tcW w:w="6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analysis - contractual undiscounted cash flows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than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One to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More than five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undiscounted lease liabilities as at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210,584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282,868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included in the statement of financial position as at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148,945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lease liabilities were measured at the present value of the remaining lease payments, discounted using the Group's estimated incremental borrowing rate at the inception of the leases. Leases are discounted at an estimated incremental borrowing rate of 9.00% (2023 - 9.75%). The expiration date of the outstanding lease agreement is September 2028 (2023 -September 2028).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December 31, 2024, the Group incurred interest expense of $nil (2023 - $2,783) on the lease liabilities, which was included in interest and accretion in the combined consolidated statement of loss and other comprehensive loss.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Bank indebtedness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has access to a revolving credit facility with Bridge Bank, a division of Western Alliance. This credit facility has a maximum credit limit of $12,000,000 (2023 - $12,000,000). As at December 31, 2024, the Group had utilized $12,000,000 (2023 - $12,000,000) of this facility. The facility bears interest at the greater of (i) 3.25% and; (ii) bank's prime rate plus 1.25% (2023 - greater of (i) 3.25% and; (ii) bank's prime rate plus 1.25%) per annum. The facility is secured by a first priority security interest over all rights, title and interests of the Group.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the Group recognized interest expense of $1,147,083 (2023 - $1,140,563) related to the above facilities, which is included in interest and accretion expense on the combined consolidated statement of loss and other comprehensive loss.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credit agreement with Bridge Bank, the Group is governed by standard operating covenants and must comply with certain financial covenants with respect to minimum annual recurring revenue and minimum liquidity, as defined in the loan and security agreement that the Group must achieve over a series of predefined periods. As at December 31, 2024, the Group was not in compliance with these financial covenants (2023 - not in compliance).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Government remittances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Government remittances payable of $12,662 (2023 - $4,374) related to United States sales taxes and United Kingdom value added taxes are included in accounts payable and accrued liabilities as at December 31,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Warrant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has issued warrants to Silicon Valley Bank in connection to a credit facility that was fully repaid and closed in the prior year. Each warrant is exchangeable for one Class A preferred share of GroupBy International Ltd. and GroupBy Inc. with an exercise price of $1.45 (2023 - $1.45). Upon initial recognition, the warrants were determined to be and presented as a warrant liability as the terms of the warrants give the holder the option to settle in cash or to exchange the warrants for Class A preferred share of an equivalent value.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Share-based payments</w:t>
      </w:r>
    </w:p>
    <w:p>
      <w:pPr>
        <w:pStyle w:val="TextBody"/>
        <w:bidi w:val="0"/>
        <w:jc w:val="left"/>
        <w:rPr/>
      </w:pPr>
      <w:r>
        <w:rPr/>
        <w:t> </w:t>
      </w:r>
    </w:p>
    <w:tbl>
      <w:tblPr>
        <w:tblW w:w="8068" w:type="dxa"/>
        <w:jc w:val="left"/>
        <w:tblInd w:w="0" w:type="dxa"/>
        <w:tblLayout w:type="fixed"/>
        <w:tblCellMar>
          <w:top w:w="28" w:type="dxa"/>
          <w:left w:w="28" w:type="dxa"/>
          <w:bottom w:w="28" w:type="dxa"/>
          <w:right w:w="28" w:type="dxa"/>
        </w:tblCellMar>
      </w:tblPr>
      <w:tblGrid>
        <w:gridCol w:w="3526"/>
        <w:gridCol w:w="146"/>
        <w:gridCol w:w="146"/>
        <w:gridCol w:w="1036"/>
        <w:gridCol w:w="166"/>
        <w:gridCol w:w="146"/>
        <w:gridCol w:w="609"/>
        <w:gridCol w:w="1956"/>
        <w:gridCol w:w="146"/>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Exercise Price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14,883,972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14,660,972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(1,164,666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Options outstanding,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14,725,556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F-56</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8579" w:type="dxa"/>
        <w:jc w:val="left"/>
        <w:tblInd w:w="0" w:type="dxa"/>
        <w:tblLayout w:type="fixed"/>
        <w:tblCellMar>
          <w:top w:w="28" w:type="dxa"/>
          <w:left w:w="28" w:type="dxa"/>
          <w:bottom w:w="28" w:type="dxa"/>
          <w:right w:w="28" w:type="dxa"/>
        </w:tblCellMar>
      </w:tblPr>
      <w:tblGrid>
        <w:gridCol w:w="1741"/>
        <w:gridCol w:w="146"/>
        <w:gridCol w:w="194"/>
        <w:gridCol w:w="1381"/>
        <w:gridCol w:w="146"/>
        <w:gridCol w:w="146"/>
        <w:gridCol w:w="152"/>
        <w:gridCol w:w="1078"/>
        <w:gridCol w:w="146"/>
        <w:gridCol w:w="146"/>
        <w:gridCol w:w="264"/>
        <w:gridCol w:w="846"/>
        <w:gridCol w:w="146"/>
        <w:gridCol w:w="146"/>
        <w:gridCol w:w="407"/>
        <w:gridCol w:w="1303"/>
        <w:gridCol w:w="19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br/>
              <w:t>exercisable at</w:t>
              <w:br/>
              <w:t>Liquidity Event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 life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17, 2014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13, 2014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27, 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25, 2015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 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25, 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21, 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27, 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15, 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27, 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15, 2017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27, 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28,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31, 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14,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25,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30,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27,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26,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31,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16,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12,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15,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18,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5,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22,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14,725,556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14,725,556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at December 31, 2024, the weighted average exercise price of the outstanding and exercisable options is $0.50 (2023 -$0.50). The remaining contractual lives of outstanding and exercisable options and range between 0.1 and 1.4 years (2023- 0.1 and 2.4 years). Share-based payment expense for year was $76,062 (2023 - $129,867).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Below are the assumptions that were used to value the options issued during the year ended December 31, 2024:</w:t>
      </w:r>
    </w:p>
    <w:p>
      <w:pPr>
        <w:pStyle w:val="TextBody"/>
        <w:bidi w:val="0"/>
        <w:spacing w:before="240" w:after="283"/>
        <w:jc w:val="left"/>
        <w:rPr/>
      </w:pPr>
      <w:r>
        <w:rPr/>
        <w:t> </w:t>
      </w:r>
    </w:p>
    <w:tbl>
      <w:tblPr>
        <w:tblW w:w="7215" w:type="dxa"/>
        <w:jc w:val="left"/>
        <w:tblInd w:w="0" w:type="dxa"/>
        <w:tblLayout w:type="fixed"/>
        <w:tblCellMar>
          <w:top w:w="28" w:type="dxa"/>
          <w:left w:w="28" w:type="dxa"/>
          <w:bottom w:w="28" w:type="dxa"/>
          <w:right w:w="28" w:type="dxa"/>
        </w:tblCellMar>
      </w:tblPr>
      <w:tblGrid>
        <w:gridCol w:w="3916"/>
        <w:gridCol w:w="146"/>
        <w:gridCol w:w="424"/>
        <w:gridCol w:w="941"/>
        <w:gridCol w:w="146"/>
        <w:gridCol w:w="146"/>
        <w:gridCol w:w="406"/>
        <w:gridCol w:w="899"/>
        <w:gridCol w:w="1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fair value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exercise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option life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2.79% - 4.39%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3.56% - 4.96%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Share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Group's authorized capital consists of:- An unlimited number of Class A common shares in the capital of GroupBy Inc. and GroupBy International Ltd.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An unlimited number of Class B common shares in the capital of GroupBy Inc. and GroupBy International Ltd.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An unlimited number of Class C common shares in the capital of GroupBy Inc. and GroupBy International Ltd.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An unlimited number of Class D common shares in the capital of GroupBy Inc. and GroupBy International Ltd.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An unlimited number of Class A preferred shares in the capital of GroupBy Inc. and GroupBy International Ltd.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An unlimited number of Class A-1 preferred shares in the capital of GroupBy Inc. and GroupBy International Ltd.</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Class A common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of the Class A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of the Class A common shares shall be entitled to share equally with the holders of the Class B common shares, Class C common shares and Class D common shares, share for share, in the remaining property of the Group up on the liquidation, dissolution or winding up of the Group, whether voluntary or involuntary.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of the Class A common shares shall be entitled to receive notice of and attend any meeting of the shareholders of the Group and shall be entitled to one vote in respect of each Class A common share held at all meetings of shareholders of the Group.</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Class B common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of the Class B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of the Class B common shares shall be entitled to share equally with the holders of the Class A common shares, Class C common shares and Class D common shares, share for share, in the remaining property of the Group upon the liquidation, dissolution or winding up of the Group, whether voluntary or involuntary.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of the Class B common share shall be entitled to receive notice of and attend any meeting of the shareholdersof the Group and shall be entitled to 1.0000000000001 votes in respect of each Class B common share held at all meetingsof shareholders of the Group.</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Class C common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of the Class C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of the Class C common shares shall be entitled to share equally with the holders of the Class A common shares, Class B common shares and Class D common shares, share for share, in the remaining property of the Group up on the liquidation, dissolution or winding up of the Group, whether voluntary or involuntary.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of the Class C common share shall be entitled to receive notice of and attend any meeting of the shareholders of the Group and shall be entitled to 1.0000000000002 votes in respect of each Class C common share held at all meetings of shareholders of the Group.</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Class D common shares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of the Class D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holders of the Class D common shares shall be entitled to share equally with the holders of the Class A common shares, Class B common shares and Class C common shares, share for share, in the remaining property of the Group up on the liquidation, dissolution or winding up of the Group, whether voluntary or involuntary.The holders of the Class D common share shall be entitled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receive notice of and attend any meeting of the shareholders of the Group and shall be entitled to 1.0000000000003 votes in respect of each Class D common share held at all meetings of shareholders of the Group.</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Class A preferred shares and Class A-1 preferred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shall not declare, pay or set aside any dividends on shares of any other class of the Group unless the holders of the Class A and Class A-1 preferred shares then outstanding simultaneously receive, on a pro-rata basis, a dividend on each outstanding Class A and Class A-1 preferred share.In the event of any voluntary or involuntary liquidation, dissolution or winding up of the Group, the holders of Class A and Class A-1 preferred shares are entitled to be paid out of the assets of the Group available for distribution to its shareholders on a pro-rata basis with the holders of the Class A and Class A-1 preferred shares and before any payment shall be made to the holders of common shares, with the amount payable in respect of each Class A preferred shares equal to an amount per share equal to the Class A original issue price (US$1.4543 per share), plus any dividends declared but unpaid thereon.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of the Class A preferred shares shall be entitled to cast the number of votes equal to the number of whole common shares into which the Class A and Class A-1 preferred shares are convertible as of the record date for determining shareholders entitled to vote on such matter. Holders of Class A preferred shares shall vote together with the holders of preferred shares and the holders of common shares as a single class.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of Class A and A-1 preferred shares have conversion rights to convert, at the option of the holder, at any time and from time to time, and without payment of additional consideration by its holder, into such number of fully paid and nonassessable common shares as is determined by dividing the Class A original issue price by the Class A conversion price,as defined in the articles of the Group. Upon specific trigger events as specified in the articles of amendment, all outstanding Class A and Class A-1 preferred shares shall automatically be converted into common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holder of Class A and Class A-1 preferred shares shall be entitled to elect to receive distributions (including dividends)from the Group on the preferred shares as a return of stated capital upon liquidation of the Group's business. Every dollar paid as a return of stated capital shall be considered to have satisfied one dollar of the distribution entitlement of each preferred share.</w:t>
      </w:r>
    </w:p>
    <w:p>
      <w:pPr>
        <w:pStyle w:val="TextBody"/>
        <w:bidi w:val="0"/>
        <w:spacing w:before="240" w:after="283"/>
        <w:jc w:val="left"/>
        <w:rPr/>
      </w:pPr>
      <w:r>
        <w:rPr/>
        <w:t> </w:t>
      </w:r>
    </w:p>
    <w:tbl>
      <w:tblPr>
        <w:tblW w:w="7804" w:type="dxa"/>
        <w:jc w:val="left"/>
        <w:tblInd w:w="0" w:type="dxa"/>
        <w:tblLayout w:type="fixed"/>
        <w:tblCellMar>
          <w:top w:w="28" w:type="dxa"/>
          <w:left w:w="28" w:type="dxa"/>
          <w:bottom w:w="28" w:type="dxa"/>
          <w:right w:w="28" w:type="dxa"/>
        </w:tblCellMar>
      </w:tblPr>
      <w:tblGrid>
        <w:gridCol w:w="4681"/>
        <w:gridCol w:w="146"/>
        <w:gridCol w:w="211"/>
        <w:gridCol w:w="1036"/>
        <w:gridCol w:w="146"/>
        <w:gridCol w:w="146"/>
        <w:gridCol w:w="211"/>
        <w:gridCol w:w="1036"/>
        <w:gridCol w:w="19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Financial Asset/Liability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6,075,633 Class A common shares (2023 - 6,075,633)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836,742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836,742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28,188,792 Class B common shares (2023 - 28,188,792)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4,533,882 Class D common shares (2023 - 4,533,882)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14,492,467 Class A preferred shares (2023 - 14,492,467)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13,168,946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13,168,946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14,005,728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14,005,728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Warrants</w:t>
      </w:r>
    </w:p>
    <w:p>
      <w:pPr>
        <w:pStyle w:val="TextBody"/>
        <w:bidi w:val="0"/>
        <w:spacing w:before="3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008"/>
        <w:gridCol w:w="146"/>
        <w:gridCol w:w="265"/>
        <w:gridCol w:w="1304"/>
        <w:gridCol w:w="146"/>
        <w:gridCol w:w="146"/>
        <w:gridCol w:w="753"/>
        <w:gridCol w:w="1664"/>
        <w:gridCol w:w="146"/>
        <w:gridCol w:w="146"/>
        <w:gridCol w:w="211"/>
        <w:gridCol w:w="931"/>
        <w:gridCol w:w="146"/>
        <w:gridCol w:w="193"/>
      </w:tblGrid>
      <w:tr>
        <w:trPr/>
        <w:tc>
          <w:tcPr>
            <w:tcW w:w="40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Weigthed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included in equity, December 31,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11,429,093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4,678,728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warrants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expired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included in equity,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11,429,093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4,678,728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warrants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expired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Warrants included in equity,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11,429,093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4,678,728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total warrants included in equity include 135,000 (2023 - 135,000) warrants exchangeable for one class A common share of GroupBy International Ltd. and GroupBy Inc. with an exercise price of $2.14 (2023 - $2.14) and 11,294,093 (2023 - 11,294,093) warrants exchangeable for one class A preferred share of GroupBy International Ltd. and GroupBy Inc. During the year ended December 31, 2024, 8,767,105 warrants had their expiration date extended by a year from July 2024 to July 2025, and 2,526,988 warrants had their expiration date extended by a year from September 2024 to September 2025. No remeasurement adjustments were made as a result of the extension of the expiration dates.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as part of its operations carries a number of financial instruments. It is management's opinion that the Group is not exposed to significant interest, currency or credit risks arising from these financial instruments except as otherwise disclosed.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Fair value is the amount for which an asset could be exchanged, or a liability settled, between knowledgeable, willing parties in an arm’s length transaction. Cash is classified as Level 1 in the fair value hierarchy. The fair value of the Group’s cash, accounts receivable, investment tax credits receivable, bank indebtedness, accounts payable and accrued liabilities, and income taxes payable are estimated by management to approximate their carrying values due to their short-term nature. The fair value of the Group's lease liabilities and long-term debt are also fairly reflected by their carrying values as they have been financed at interest rates which are similar to current market interest rates. The fair value of the Group's warrant liability is estimated using the Black-Scholes option pricing model, as described in Note 11, and is therefore classified as Level 3 in the fair value hierarchy.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rate risk is the risk that the value of a financial instrument might be adversely affected by a change in the interest rates. Changes in market interest rates may have an effect on the cash flows associated with some financial assets and liabilities, known as cash flow risk, and on the fair value of other financial assets or liabilities, known as price risk. The Group is exposed to interest rate risk through the impact of changes in market interest rates on the fair values of its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is exposed to interest rate cash flow risk on its bank indebtedness as it is subject to a floating interest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is exposed to interest rate price risk on its lease liabilities as they are subject to fixed interest rates.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Liquidity risk is the risk that the Group may not be able to generate sufficient cash resources to settle its obligations as they become due. The Group manages liquidity risk by maintaining adequate cash balances and borrowing facilities, by continuously monitoring forecast and actual cash flows, and by matching the maturity profiles of financial assets and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shows the Group's financial liabilities that would be settled by cash resources and contractual maturities as follows:</w:t>
      </w:r>
    </w:p>
    <w:p>
      <w:pPr>
        <w:pStyle w:val="TextBody"/>
        <w:bidi w:val="0"/>
        <w:spacing w:before="240" w:after="283"/>
        <w:jc w:val="left"/>
        <w:rPr/>
      </w:pPr>
      <w:r>
        <w:rPr/>
        <w:t> </w:t>
      </w:r>
    </w:p>
    <w:tbl>
      <w:tblPr>
        <w:tblW w:w="8673" w:type="dxa"/>
        <w:jc w:val="left"/>
        <w:tblInd w:w="0" w:type="dxa"/>
        <w:tblLayout w:type="fixed"/>
        <w:tblCellMar>
          <w:top w:w="28" w:type="dxa"/>
          <w:left w:w="28" w:type="dxa"/>
          <w:bottom w:w="28" w:type="dxa"/>
          <w:right w:w="28" w:type="dxa"/>
        </w:tblCellMar>
      </w:tblPr>
      <w:tblGrid>
        <w:gridCol w:w="3421"/>
        <w:gridCol w:w="146"/>
        <w:gridCol w:w="211"/>
        <w:gridCol w:w="1036"/>
        <w:gridCol w:w="146"/>
        <w:gridCol w:w="146"/>
        <w:gridCol w:w="231"/>
        <w:gridCol w:w="549"/>
        <w:gridCol w:w="146"/>
        <w:gridCol w:w="146"/>
        <w:gridCol w:w="227"/>
        <w:gridCol w:w="538"/>
        <w:gridCol w:w="146"/>
        <w:gridCol w:w="146"/>
        <w:gridCol w:w="211"/>
        <w:gridCol w:w="1036"/>
        <w:gridCol w:w="1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&lt; 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&gt; 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20,831,240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20,831,240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 indebtedness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Note 8 describes the contractual maturities of the Group's lease liabilities.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Credit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Credit risk is the risk of loss associated with a counterparty’s inability to fulfill its payment obligations. The Group’s principal financial assets that expose it to credit risk are trade receivables and the Group mitigates this risk by monitoring the credit worthiness of its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applies the simplified approach to provide for expected credit losses as prescribed by IFRS 9, which permits the use of the lifetime expected loss provision for all trade receivables and contract assets. The expected credit loss provision is based on the Group’s historical collections and loss experience and incorporates forward-looking factors, where appropriate. During the year, the Group recognized $nil (2023 - $103,685) of bad debt expense included in general and administrative expenses.</w:t>
      </w:r>
    </w:p>
    <w:p>
      <w:pPr>
        <w:pStyle w:val="TextBody"/>
        <w:bidi w:val="0"/>
        <w:spacing w:before="24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F-60</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189"/>
        <w:gridCol w:w="146"/>
        <w:gridCol w:w="211"/>
        <w:gridCol w:w="931"/>
        <w:gridCol w:w="146"/>
        <w:gridCol w:w="146"/>
        <w:gridCol w:w="327"/>
        <w:gridCol w:w="1448"/>
        <w:gridCol w:w="146"/>
        <w:gridCol w:w="146"/>
        <w:gridCol w:w="146"/>
        <w:gridCol w:w="421"/>
        <w:gridCol w:w="301"/>
        <w:gridCol w:w="146"/>
        <w:gridCol w:w="211"/>
        <w:gridCol w:w="931"/>
        <w:gridCol w:w="146"/>
        <w:gridCol w:w="146"/>
        <w:gridCol w:w="322"/>
        <w:gridCol w:w="1421"/>
        <w:gridCol w:w="146"/>
        <w:gridCol w:w="146"/>
        <w:gridCol w:w="146"/>
        <w:gridCol w:w="421"/>
        <w:gridCol w:w="319"/>
      </w:tblGrid>
      <w:tr>
        <w:trPr/>
        <w:tc>
          <w:tcPr>
            <w:tcW w:w="1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Trade receivable aging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Lifetime expected credit loss allowance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Lifetime expected credit loss allowance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0-30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31-60 days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61-90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Greater than 90 days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921,357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921,357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952,669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952,669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2,094,161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1,249,506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2,567,563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1,299,312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credit concentration exists relating to accounts receivable. As at December 31, 2024, three customers (2022 - four) accounted for approximately 63% (2023 - 68% ) of accounts receivable and two customers (2023 - two) accounted for 43% of revenues from operations (2023 - 33%).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Foreign currency risk is the risk that the fair value or future cash flows of a financial instrument will fluctuate because of changes in foreign exchange rates. The Group undertakes transactions denominated in foreign currencies and for which the related revenues, expenses, accounts receivable and accounts payable balances are subject to exchange rate fluctuations. Management regularly reviews the foreign exchange rates in relation to the United States dollar and the Group's foreign currency position. As at December 31, 2024, the following items are denominated in foreign currencies and are converted to the U.S. dollar equivalent:</w:t>
      </w:r>
    </w:p>
    <w:p>
      <w:pPr>
        <w:pStyle w:val="TextBody"/>
        <w:bidi w:val="0"/>
        <w:spacing w:before="240" w:after="283"/>
        <w:jc w:val="left"/>
        <w:rPr/>
      </w:pPr>
      <w:r>
        <w:rPr/>
        <w:t> </w:t>
      </w:r>
    </w:p>
    <w:tbl>
      <w:tblPr>
        <w:tblW w:w="6825" w:type="dxa"/>
        <w:jc w:val="left"/>
        <w:tblInd w:w="0" w:type="dxa"/>
        <w:tblLayout w:type="fixed"/>
        <w:tblCellMar>
          <w:top w:w="28" w:type="dxa"/>
          <w:left w:w="28" w:type="dxa"/>
          <w:bottom w:w="28" w:type="dxa"/>
          <w:right w:w="28" w:type="dxa"/>
        </w:tblCellMar>
      </w:tblPr>
      <w:tblGrid>
        <w:gridCol w:w="3721"/>
        <w:gridCol w:w="146"/>
        <w:gridCol w:w="211"/>
        <w:gridCol w:w="781"/>
        <w:gridCol w:w="146"/>
        <w:gridCol w:w="146"/>
        <w:gridCol w:w="211"/>
        <w:gridCol w:w="826"/>
        <w:gridCol w:w="146"/>
        <w:gridCol w:w="49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Canadian Dollar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296,117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304,207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194,594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Investment tax credits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393,091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British pound sterling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Related party transactions and balances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Key management compensation of the Group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Key management personnel are comprised of four (2023 - four) of the Group’s directors and executive officers. In addition to salaries and benefits, key management personnel also receive share-based payments, which are further described in Note 12, and management fees.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Key management personnel compensation is as follows:</w:t>
      </w:r>
    </w:p>
    <w:p>
      <w:pPr>
        <w:pStyle w:val="TextBody"/>
        <w:bidi w:val="0"/>
        <w:spacing w:before="240" w:after="283"/>
        <w:jc w:val="left"/>
        <w:rPr/>
      </w:pPr>
      <w:r>
        <w:rPr/>
        <w:t> </w:t>
      </w:r>
    </w:p>
    <w:tbl>
      <w:tblPr>
        <w:tblW w:w="8625" w:type="dxa"/>
        <w:jc w:val="left"/>
        <w:tblInd w:w="0" w:type="dxa"/>
        <w:tblLayout w:type="fixed"/>
        <w:tblCellMar>
          <w:top w:w="28" w:type="dxa"/>
          <w:left w:w="28" w:type="dxa"/>
          <w:bottom w:w="28" w:type="dxa"/>
          <w:right w:w="28" w:type="dxa"/>
        </w:tblCellMar>
      </w:tblPr>
      <w:tblGrid>
        <w:gridCol w:w="5866"/>
        <w:gridCol w:w="146"/>
        <w:gridCol w:w="211"/>
        <w:gridCol w:w="781"/>
        <w:gridCol w:w="146"/>
        <w:gridCol w:w="146"/>
        <w:gridCol w:w="211"/>
        <w:gridCol w:w="781"/>
        <w:gridCol w:w="146"/>
        <w:gridCol w:w="1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Salaries and benefits (included in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375,154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fees (included in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474,213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493,169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857,788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943,942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Capital management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F-61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Group's objective in managing capital is to ensure sufficient liquidity to pursue its strategy of organic growth combined with strategic acquisitions, so that it can provide above average returns for its shareholders. The Group defines capital that it manages as the aggregate of its shareholders' deficit, which consists of issued capital, warrants, and deficit.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manages its capital structure and makes adjustments to it in light of general economic conditions and the risk characteristics of the underlying assets and the Group's working capital requirements. In order to maintain or adjust the capital structure, the Group, upon approval from its Board of Directors, may issue shares, repurchase shares through a normal course issuer bid and pay dividends. The Board of Directors reviews and approves any material transactions not in the ordinary course of business that may include various acquisition proposals, as well as capital and operating budgets. No changes were made in the objectives, policies or processes of capital management during the years ended December 31, 2024 and 2023.</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reconciliation of the combined Canadian federal and provincial statutory income tax rate of 26.5% (2023- 26.5%) to the effective tax rate is as follows:</w:t>
      </w:r>
    </w:p>
    <w:p>
      <w:pPr>
        <w:pStyle w:val="TextBody"/>
        <w:bidi w:val="0"/>
        <w:spacing w:before="240" w:after="283"/>
        <w:jc w:val="left"/>
        <w:rPr/>
      </w:pPr>
      <w:r>
        <w:rPr/>
        <w:t> </w:t>
      </w:r>
    </w:p>
    <w:tbl>
      <w:tblPr>
        <w:tblW w:w="7889" w:type="dxa"/>
        <w:jc w:val="left"/>
        <w:tblInd w:w="0" w:type="dxa"/>
        <w:tblLayout w:type="fixed"/>
        <w:tblCellMar>
          <w:top w:w="28" w:type="dxa"/>
          <w:left w:w="28" w:type="dxa"/>
          <w:bottom w:w="28" w:type="dxa"/>
          <w:right w:w="28" w:type="dxa"/>
        </w:tblCellMar>
      </w:tblPr>
      <w:tblGrid>
        <w:gridCol w:w="4606"/>
        <w:gridCol w:w="196"/>
        <w:gridCol w:w="146"/>
        <w:gridCol w:w="1111"/>
        <w:gridCol w:w="166"/>
        <w:gridCol w:w="196"/>
        <w:gridCol w:w="146"/>
        <w:gridCol w:w="1111"/>
        <w:gridCol w:w="211"/>
      </w:tblGrid>
      <w:tr>
        <w:trPr/>
        <w:tc>
          <w:tcPr>
            <w:tcW w:w="4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before recovery of income taxes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(8,899,333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(5,377,017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Expected income tax recovery at 26.5%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(2,358,330.00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(1,424,909.00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Difference in tax rates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adjustments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State Tax</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FX translation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948,432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(248,663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 based compensation and non-deductible expenses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133,605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Book to filing adjustment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45,162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tax benefits not recognized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1,225,375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1,850,140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tax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33,524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320,914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Group's income tax is allocated as follows: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tax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320,914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33,524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320,914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following table summarizes the components of deferred tax:</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Deferred Tax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 of use obligations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46,262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SR&amp;ED pool from T661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Deferred Tax Liabilities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plant and equipment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Financing costs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Federal ITCs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 of use assets and lease receivables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(46,262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(58,599.00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12(1)(x) Inducement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(3,650.00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Deferred tax assets and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Deferred tax assets and liabilities have been offset where they relate to income taxes levied by the same taxation authority and the Group has the legal right and intent to offset. During the year, $nil (2023 - $nil) net deferred tax liabilities were recognized in net loss and $nil (2023 - $nil) net deferred tax liabilities were recognized in equity.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Unrecognized deferred tax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Deferred taxes are provided as a result of temporary differences that arise due to the differences between the income tax values and the carrying amount of assets and liabilities. Deferred tax assets have not been recognized in respect of the following deductible temporary differences:</w:t>
      </w:r>
    </w:p>
    <w:p>
      <w:pPr>
        <w:pStyle w:val="TextBody"/>
        <w:bidi w:val="0"/>
        <w:spacing w:before="24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F-62</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6769" w:type="dxa"/>
        <w:jc w:val="left"/>
        <w:tblInd w:w="0" w:type="dxa"/>
        <w:tblLayout w:type="fixed"/>
        <w:tblCellMar>
          <w:top w:w="28" w:type="dxa"/>
          <w:left w:w="28" w:type="dxa"/>
          <w:bottom w:w="28" w:type="dxa"/>
          <w:right w:w="28" w:type="dxa"/>
        </w:tblCellMar>
      </w:tblPr>
      <w:tblGrid>
        <w:gridCol w:w="3646"/>
        <w:gridCol w:w="211"/>
        <w:gridCol w:w="146"/>
        <w:gridCol w:w="1036"/>
        <w:gridCol w:w="146"/>
        <w:gridCol w:w="211"/>
        <w:gridCol w:w="146"/>
        <w:gridCol w:w="1036"/>
        <w:gridCol w:w="191"/>
      </w:tblGrid>
      <w:tr>
        <w:trPr/>
        <w:tc>
          <w:tcPr>
            <w:tcW w:w="3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1,084,954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1,242,482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reserves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1,249,506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1,272,731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issuance costs - 20(1)(e)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Non-capital losses carried forward - Canada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39,585,210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37,762,917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Non-capital losses carried forward - Foreign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3,235,107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SR&amp;ED pool from T661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1,048,835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1,025,175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Costs - US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ORDTC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Charitable donations carryforward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46,418,316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41,731,303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Canadian non-capital loss carry forwards expire as noted in the table below. Share issue and financing costs will be fully amortized in 2024. The remaining deductible temporary differences may be carried forward indefinitely. Deferred tax assets have not been recognized in respect of these items because it is not probable that future taxable profit will be available against which the Group can utilize the benefits there from.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Group's unused Canadian non-capital income tax losses, for which no deferred tax has been recognized, expires as follows:</w:t>
      </w:r>
    </w:p>
    <w:p>
      <w:pPr>
        <w:pStyle w:val="TextBody"/>
        <w:bidi w:val="0"/>
        <w:spacing w:before="240" w:after="283"/>
        <w:jc w:val="left"/>
        <w:rPr/>
      </w:pPr>
      <w:r>
        <w:rPr/>
        <w:t> </w:t>
      </w:r>
    </w:p>
    <w:tbl>
      <w:tblPr>
        <w:tblW w:w="2316" w:type="dxa"/>
        <w:jc w:val="left"/>
        <w:tblInd w:w="0" w:type="dxa"/>
        <w:tblLayout w:type="fixed"/>
        <w:tblCellMar>
          <w:top w:w="28" w:type="dxa"/>
          <w:left w:w="28" w:type="dxa"/>
          <w:bottom w:w="28" w:type="dxa"/>
          <w:right w:w="28" w:type="dxa"/>
        </w:tblCellMar>
      </w:tblPr>
      <w:tblGrid>
        <w:gridCol w:w="586"/>
        <w:gridCol w:w="211"/>
        <w:gridCol w:w="146"/>
        <w:gridCol w:w="1036"/>
        <w:gridCol w:w="146"/>
        <w:gridCol w:w="191"/>
      </w:tblGrid>
      <w:tr>
        <w:trPr/>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491,819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493,259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1,275,928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3,580,452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4,935,279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4,948,348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2,178,411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3,157,169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8,197,548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5,312,888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5,014,108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39,585,210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is disaggregated primarily by geographical market. The Group has one reportable segment (cloud-based services). Contract liabilities include deferred revenue which represents cash received in advance of service being provided.Contract costs include prepaid commissions which are paid in advance and deferred over the life of the contract. These prepaid commissions are included in prepaid expenses and deposits.</w:t>
      </w:r>
    </w:p>
    <w:p>
      <w:pPr>
        <w:pStyle w:val="TextBody"/>
        <w:bidi w:val="0"/>
        <w:spacing w:before="24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F-63</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8264" w:type="dxa"/>
        <w:jc w:val="left"/>
        <w:tblInd w:w="0" w:type="dxa"/>
        <w:tblLayout w:type="fixed"/>
        <w:tblCellMar>
          <w:top w:w="28" w:type="dxa"/>
          <w:left w:w="28" w:type="dxa"/>
          <w:bottom w:w="28" w:type="dxa"/>
          <w:right w:w="28" w:type="dxa"/>
        </w:tblCellMar>
      </w:tblPr>
      <w:tblGrid>
        <w:gridCol w:w="4981"/>
        <w:gridCol w:w="211"/>
        <w:gridCol w:w="146"/>
        <w:gridCol w:w="1096"/>
        <w:gridCol w:w="166"/>
        <w:gridCol w:w="211"/>
        <w:gridCol w:w="146"/>
        <w:gridCol w:w="1096"/>
        <w:gridCol w:w="211"/>
      </w:tblGrid>
      <w:tr>
        <w:trPr/>
        <w:tc>
          <w:tcPr>
            <w:tcW w:w="4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by geography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270,805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301,842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8,361,218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11,763,759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Mexico</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5,722,919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1,223,946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783,420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3,003,926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308,120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18,890,934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19,848,821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Contract costs (included in prepaid expenses and deposits)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year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561,085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422,123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679,520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831,259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(included in sales and marketing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(573,611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(692,297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end of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666,994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561,085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8,118,419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4,854,243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19,785,348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22,719,505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recognized to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(18,552,081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(19,455,329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end of year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9,351,686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8,118,419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Contributed surplus</w:t>
      </w:r>
    </w:p>
    <w:p>
      <w:pPr>
        <w:pStyle w:val="TextBody"/>
        <w:bidi w:val="0"/>
        <w:spacing w:before="360" w:after="283"/>
        <w:jc w:val="left"/>
        <w:rPr/>
      </w:pPr>
      <w:r>
        <w:rPr/>
        <w:t> </w:t>
      </w:r>
    </w:p>
    <w:tbl>
      <w:tblPr>
        <w:tblW w:w="5644" w:type="dxa"/>
        <w:jc w:val="left"/>
        <w:tblInd w:w="0" w:type="dxa"/>
        <w:tblLayout w:type="fixed"/>
        <w:tblCellMar>
          <w:top w:w="28" w:type="dxa"/>
          <w:left w:w="28" w:type="dxa"/>
          <w:bottom w:w="28" w:type="dxa"/>
          <w:right w:w="28" w:type="dxa"/>
        </w:tblCellMar>
      </w:tblPr>
      <w:tblGrid>
        <w:gridCol w:w="2731"/>
        <w:gridCol w:w="211"/>
        <w:gridCol w:w="146"/>
        <w:gridCol w:w="931"/>
        <w:gridCol w:w="146"/>
        <w:gridCol w:w="211"/>
        <w:gridCol w:w="146"/>
        <w:gridCol w:w="931"/>
        <w:gridCol w:w="191"/>
      </w:tblGrid>
      <w:tr>
        <w:trPr/>
        <w:tc>
          <w:tcPr>
            <w:tcW w:w="27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6,215,028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6,085,161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 (Note 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76,052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129,867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end of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6,291,080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6,215,028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Contingencies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is subject to various claims in the normal course of operations. Litigation is subject to many uncertainties, and the outcome of individual matters is not predictable with assurance. In the opinion of management, based on the advice and information provided by the Group's legal counsel, final determination of these other litigations will not materially affect the Group's financial position or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Statement of claim - July 27, 2021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27, 2021, the Group filed a claim against Wondr Gaming Corp (the "Defendant"), alleging breach of contract and unjust enrichment and seeking $4,136,807 plus interest and costs. The Defendant is contesting the claim.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7, 2021, the Defendant filed a Statement of Defence and Counterclaim in the Ontario Superior Court of Justice against GroupBy Inc. The Defendant claims, among other things, the Group's failure to perform the services and misrepresentation and seeks dismissal of the action. Furthermore, the Company is counterclaiming seeking damages of $400,000 plus costs for breach of contract and negligent misrepresentation.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litigation is subject to many uncertainties, it is not possible to predict the ultimate outcome of this claim or to estimate the loss, if any, which may result. Accordingly, the outcome of the claim is not yet determinable, and the extent to which an outflow of funds may be required to settle this possible obligation cannot be reliably measured.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Statement of claim - May 16,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16, 2024, the Group was named as a defendant in a case to recover a payment of $2,500,000 made by Bed Bath &amp; Beyond Inc. ("BBB") to the Company on February 20, 2023.</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F-64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litigation is subject to many uncertainties, it is not possible to predict the ultimate outcome of this claim or to estimate the loss, if any, which may result. Accordingly, the outcome of the claim is not yet determinable, and the extent to which an outflow of funds may be required to settle this possible obligation cannot be reliably measured.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Subsequent to year end, Rezolve AI plc ("Rezolve") acquired all issued and outstanding shares of the Group in exchange for 3,999,902 shares in Rezolve. Upon acquisition of the shares, the Group entered into a novation agreement to novate its rights, benefits, obligations, and liabilities under the bank indebtedness to Rezolve. The options outstanding as of the closing date were deemed to be underwater and cancelled on the closing date, in accordance with the terms of the option plan and existing option agreements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F-65</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106421</Words>
  <Characters>585216</Characters>
  <CharactersWithSpaces>693787</CharactersWithSpaces>
  <Paragraphs>15334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