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Amendment No. 6</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F-4</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center"/>
        <w:ind w:right="-119"/>
        <w:spacing w:after="0" w:line="233" w:lineRule="auto"/>
        <w:rPr>
          <w:sz w:val="20"/>
          <w:szCs w:val="20"/>
          <w:color w:val="auto"/>
        </w:rPr>
      </w:pPr>
      <w:r>
        <w:rPr>
          <w:rFonts w:ascii="Times New Roman" w:cs="Times New Roman" w:eastAsia="Times New Roman" w:hAnsi="Times New Roman"/>
          <w:sz w:val="40"/>
          <w:szCs w:val="40"/>
          <w:b w:val="1"/>
          <w:bCs w:val="1"/>
          <w:color w:val="auto"/>
        </w:rPr>
        <w:t>REZOLVE AI LIMITED[</w:t>
      </w:r>
      <w:r>
        <w:rPr>
          <w:rFonts w:ascii="Times New Roman" w:cs="Times New Roman" w:eastAsia="Times New Roman" w:hAnsi="Times New Roman"/>
          <w:sz w:val="59"/>
          <w:szCs w:val="59"/>
          <w:b w:val="1"/>
          <w:bCs w:val="1"/>
          <w:color w:val="auto"/>
          <w:vertAlign w:val="superscript"/>
        </w:rPr>
        <w:t>1</w:t>
      </w:r>
      <w:r>
        <w:rPr>
          <w:rFonts w:ascii="Times New Roman" w:cs="Times New Roman" w:eastAsia="Times New Roman" w:hAnsi="Times New Roman"/>
          <w:sz w:val="40"/>
          <w:szCs w:val="40"/>
          <w:b w:val="1"/>
          <w:bCs w:val="1"/>
          <w:color w:val="auto"/>
        </w:rPr>
        <w:t>]</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number: 14573691)</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Articles of Association)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2860" w:type="dxa"/>
            <w:vAlign w:val="bottom"/>
          </w:tcPr>
          <w:p>
            <w:pPr>
              <w:jc w:val="center"/>
              <w:ind w:right="862"/>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8"/>
        </w:trPr>
        <w:tc>
          <w:tcPr>
            <w:tcW w:w="2860" w:type="dxa"/>
            <w:vAlign w:val="bottom"/>
          </w:tcPr>
          <w:p>
            <w:pPr>
              <w:jc w:val="center"/>
              <w:ind w:right="8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(+44 77 8095 7233)</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56" w:lineRule="exact"/>
        <w:rPr>
          <w:sz w:val="24"/>
          <w:szCs w:val="24"/>
          <w:color w:val="auto"/>
        </w:rPr>
      </w:pPr>
    </w:p>
    <w:tbl>
      <w:tblPr>
        <w:tblLayout w:type="fixed"/>
        <w:tblInd w:w="1820" w:type="dxa"/>
        <w:tblCellMar>
          <w:top w:w="0" w:type="dxa"/>
          <w:left w:w="0" w:type="dxa"/>
          <w:bottom w:w="0" w:type="dxa"/>
          <w:right w:w="0" w:type="dxa"/>
        </w:tblCellMar>
      </w:tblP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Gerry Williams</w:t>
            </w:r>
          </w:p>
        </w:tc>
        <w:tc>
          <w:tcPr>
            <w:tcW w:w="3320" w:type="dxa"/>
            <w:vAlign w:val="bottom"/>
          </w:tcPr>
          <w:p>
            <w:pPr>
              <w:jc w:val="center"/>
              <w:ind w:left="1779"/>
              <w:spacing w:after="0"/>
              <w:rPr>
                <w:sz w:val="20"/>
                <w:szCs w:val="20"/>
                <w:color w:val="auto"/>
              </w:rPr>
            </w:pPr>
            <w:r>
              <w:rPr>
                <w:rFonts w:ascii="Times New Roman" w:cs="Times New Roman" w:eastAsia="Times New Roman" w:hAnsi="Times New Roman"/>
                <w:sz w:val="16"/>
                <w:szCs w:val="16"/>
                <w:b w:val="1"/>
                <w:bCs w:val="1"/>
                <w:color w:val="auto"/>
              </w:rPr>
              <w:t>Robert Fenner</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w w:val="99"/>
              </w:rPr>
              <w:t>Penny Minna</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w w:val="98"/>
              </w:rPr>
              <w:t>Taylor Wessing LLP</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DLA Piper LLP</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w w:val="99"/>
              </w:rPr>
              <w:t>5 New Street Square</w:t>
            </w:r>
          </w:p>
        </w:tc>
      </w:tr>
      <w:tr>
        <w:trPr>
          <w:trHeight w:val="203"/>
        </w:trPr>
        <w:tc>
          <w:tcPr>
            <w:tcW w:w="4040" w:type="dxa"/>
            <w:vAlign w:val="bottom"/>
          </w:tcPr>
          <w:p>
            <w:pPr>
              <w:jc w:val="center"/>
              <w:ind w:right="1819"/>
              <w:spacing w:after="0"/>
              <w:rPr>
                <w:sz w:val="20"/>
                <w:szCs w:val="20"/>
                <w:color w:val="auto"/>
              </w:rPr>
            </w:pPr>
            <w:r>
              <w:rPr>
                <w:rFonts w:ascii="Times New Roman" w:cs="Times New Roman" w:eastAsia="Times New Roman" w:hAnsi="Times New Roman"/>
                <w:sz w:val="16"/>
                <w:szCs w:val="16"/>
                <w:b w:val="1"/>
                <w:bCs w:val="1"/>
                <w:color w:val="auto"/>
              </w:rPr>
              <w:t>1201 W Peachtree St NE #2800</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London, EC4A 3TW</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Atlanta, GA 30309</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+44 20 7300 7000</w:t>
            </w:r>
          </w:p>
        </w:tc>
      </w:tr>
      <w:tr>
        <w:trPr>
          <w:trHeight w:val="212"/>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w w:val="99"/>
              </w:rPr>
              <w:t>(404) 736-7800</w:t>
            </w:r>
          </w:p>
        </w:tc>
        <w:tc>
          <w:tcPr>
            <w:tcW w:w="33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4"/>
          <w:szCs w:val="14"/>
          <w:color w:val="auto"/>
        </w:rPr>
        <w:t xml:space="preserve">Approximate date of commencement of proposed sale of the securities to the public: </w:t>
      </w:r>
      <w:r>
        <w:rPr>
          <w:rFonts w:ascii="Times New Roman" w:cs="Times New Roman" w:eastAsia="Times New Roman" w:hAnsi="Times New Roman"/>
          <w:sz w:val="14"/>
          <w:szCs w:val="14"/>
          <w:b w:val="1"/>
          <w:bCs w:val="1"/>
          <w:color w:val="auto"/>
        </w:rPr>
        <w:t>As soon as practicable after this Registration Statement becomes effective and all 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conditions to the business combination contemplated by the Business Combination Agreement described in the included proxy statement/prospectus have been satisfied or waived.</w:t>
      </w:r>
    </w:p>
    <w:p>
      <w:pPr>
        <w:spacing w:after="0" w:line="1" w:lineRule="exact"/>
        <w:rPr>
          <w:sz w:val="24"/>
          <w:szCs w:val="24"/>
          <w:color w:val="auto"/>
        </w:rPr>
      </w:pPr>
    </w:p>
    <w:p>
      <w:pPr>
        <w:ind w:left="120" w:right="140"/>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2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5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2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0" w:lineRule="exact"/>
        <w:rPr>
          <w:sz w:val="24"/>
          <w:szCs w:val="24"/>
          <w:color w:val="auto"/>
        </w:rPr>
      </w:pPr>
    </w:p>
    <w:p>
      <w:pPr>
        <w:ind w:left="120" w:right="2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78740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3" w:lineRule="exact"/>
        <w:rPr>
          <w:sz w:val="24"/>
          <w:szCs w:val="24"/>
          <w:color w:val="auto"/>
        </w:rPr>
      </w:pPr>
    </w:p>
    <w:p>
      <w:pPr>
        <w:ind w:left="120" w:right="8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4"/>
          <w:szCs w:val="24"/>
          <w:color w:val="auto"/>
        </w:rPr>
      </w:pPr>
    </w:p>
    <w:p>
      <w:pPr>
        <w:ind w:left="540" w:right="120" w:hanging="424"/>
        <w:spacing w:after="0" w:line="241" w:lineRule="auto"/>
        <w:tabs>
          <w:tab w:leader="none" w:pos="5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Note: Prior to the completion of this offering, Rezolve AI Limited expects to alter its legal status under English law from a private limited company and re-register as a public limited company and change its name from Rezolve AI Limited to Rezolve AI PLC. The term “Rezolve PLC” in this proxy statement/prospectus which forms a part of this registration statement refers to Rezolve AI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SUBJECT TO COMPLETION, DATED June 11, 2024</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Armada Acquisition Corp. I:</w:t>
      </w:r>
    </w:p>
    <w:p>
      <w:pPr>
        <w:spacing w:after="0" w:line="11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board of directors of Armada Acquisition Corp. I, a Delaware corporation (“Armada”) has unanimously approved the Business Combination Agreement, dated as of December 17, 2021, as amended on November 10, 2022 and further amended and restated pursuant to the terms of an amendment and restatement deed dated June 16, 2023 (and as may be amended from time to time, the “Business Combination Agreement”), by and among Armada, Rezolve Limited, a private limited company organized under the laws of England and Wales, Rezolve AI Limited, a private limited liability company registered under the laws of England and Wales with registration number 14573691 (“Rezolve”) and Rezolve Merger Sub, Inc., a Delaware corporation (“Rezolve Merger Sub”), which, among other things, provides for (i) 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(ii) the merger of Armada with and into Rezolve Merger Sub, with Armada continuing as the surviving entity (the “Merger”) such that after completion of the Pre-Closing Demerger and Merger, Armada will become a wholly owned subsidiary of Rezolve (collectively with the other transactions described in the Business Combination Agreement, the “Business Combination”).</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upon the consummation of the Business Combination, (i) each issued and outstanding share of common stock of Armada (“Armada Common Stock”) immediately prior to the effective time of the Merger (the “Merger Effective Time”) will be exchanged for one Rezolve Ordinary Share; (ii) each issued and outstanding warrant of Armada (an “Armada Warrant”) immediately prior to the Merger Effective Time will be exchanged for one warrant in the capital of Rezolve (a “Rezolve Warrant”); (iii) each issued and outstanding unit of Armada (an “Armada Unit”) immediately prior to the Merger Effective Time will be separated into its component parts (one share of Armada Common Stock and one-half of one Armada Warrant), with each share of Armada Common Stock to be exchanged for one Rezolve Ordinary Share and each Armada Warrant to be exchanged for one Rezolve Warrant. Accordingly, this proxy statement/prospectus covers the issuance by Rezolve of an aggregate of 177,400,603 Rezolve Ordinary Shares, 7,499,994 Rezolve Warrants and 7,499,994 Rezolve Ordinary Shares issuable upon exercise of Rezolve Warrants.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 will issue Rezolve Ordinary Shares on the basis of one Ordinary Share for each existing share of Armada Common Stock registered in the name of Armada Stockholders immediately prior to the Merger Effective Time. Shortly prior to completion of the Business Combination, Rezolve will reregister as a public limited company. On Closing, it is intended that the Rezolve Ordinary Shares and Rezolve Warrants will become listed on The Nasdaq Stock Market LLC and, as a result of the Business Combination, Armada will become a wholly-owned subsidiary of Rezolve. The former security holders of Armada will become security holders of Rezolve. As a result of the Business Combination, assuming that no shareholders of Armada elect to convert their public shares into cash in connection therewith as permitted by Armada’s amended and restated certificate of incorporation, the former shareholders of Armada and the current shareholders of Rezolve will own approximately   % and   %, respectively, of the Rezolve Ordinary Shares to be outstanding immediately after the Business Combination. If         shares of Armada’s Common Stock (the maximum number of Armada Common Stock that can be redeemed in order to consummate the Business Combination) are converted into cash, such percentages will be approximately   % and   %, respectively, of the voting power of the Rezolve Ordinary Shares.</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Proposals to approve the Business Combination Agreement and the other matters discussed in this proxy statement/prospectus will be presented at the Special Meeting of Armada scheduled to be held on         , 2024 (the “Armada Special Meeting”).</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Armada Units, Armada Common Stock and Armada Warrants are currently listed on The Nasdaq Stock Market LLC (the “Nasdaq”) under the symbols “AACIU,” “AACI,” and “AACIW,” respectively. Armada Units, Armada Common Stock and Armada Warrants will be delisted from Nasdaq upon the consummation of the Merger and will no longer be traded. Rezolve will apply for listing, to be effective at the time of the Business Combination, of the Rezolve Ordinary Shares and the Rezolve Warrants on the Nasdaq under the proposed symbols “RZLV” and “RZLV.W,” respectively. There is no assurance that Rezolve will be able to satisfy Nasdaq listing criteria necessary for listing or will be able to continue to satisfy such criteria following the consummation of the Business Combination. Rezolve will not have units traded following the consummation of the Business Combination.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of Armada and Rezolve is an “emerging growth company” as defined in the Jumpstart Our Business Startups Act of 2012 and has elected to comply with certain reduced public company reporting requirements.</w:t>
      </w:r>
    </w:p>
    <w:p>
      <w:pPr>
        <w:spacing w:after="0" w:line="158" w:lineRule="exact"/>
        <w:rPr>
          <w:sz w:val="20"/>
          <w:szCs w:val="20"/>
          <w:color w:val="auto"/>
        </w:rPr>
      </w:pPr>
    </w:p>
    <w:p>
      <w:pPr>
        <w:ind w:left="120"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More information about Armada, Rezolve, the Merger, the Business Combination Agreement, the Business Combination or the other transactions contemplated thereby is contained in this proxy statement/prospectus. Armada and Rezolve urge you to read the accompanying proxy statement/prospectus, including the financial statements and annexes and other documents referred to herein, carefully and in their entirety. IN PARTICULAR, YOU SHOULD CAREFULLY CONSIDER THE MATTERS DISCUSSED UNDER THE SECTION TITLED “RISK FACTORS” BEGINNING ON PAGE 48 OF THIS PROXY STATEMENT/PROSPECTUS.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 are an Armada stockholder and have any questions about how to vote or direct a vote in respect of your Armada Common Stock, you may contact Stephen P. Herbert, our Chief Executive Officer, by emailing sherbert@armadaacq.com. The notice of meeting is and the proxy statement/prospectus relating to the Business Combination will be available at         .</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statement/prospectus is dated             , 2024, and is first being mailed to shareholders of Armada on or about             , 2024.</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Stephen P. Herbert, Chief Executive Officer of Armada</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2005 Market Street Suite 3120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Philadelphia, PA 19103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(215) 543-6886</w:t>
      </w:r>
    </w:p>
    <w:p>
      <w:pPr>
        <w:spacing w:after="0" w:line="9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NOTICE OF SPECIAL MEETING</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TO BE HELD ON             , 2024</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ARMADA ACQUISITION CORP. I:</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NOTICE IS HEREBY GIVEN that a Special Meeting of the stockholders of Armada Acquisition Corp. I, a Delaware corporation (“we,” “us,” “our”, “Armada” or the “Company”), will be held on         , 2024 at        , Eastern Time, virtually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Armada has determined that the Special Meeting will be a virtual meeting in order to facilitate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stockholder attendance and participation. You or your proxyholder will be able to attend and vote at the Special Meeting online by visiting </w:t>
      </w:r>
      <w:r>
        <w:rPr>
          <w:rFonts w:ascii="Times New Roman" w:cs="Times New Roman" w:eastAsia="Times New Roman" w:hAnsi="Times New Roman"/>
          <w:sz w:val="18"/>
          <w:szCs w:val="18"/>
          <w:i w:val="1"/>
          <w:iCs w:val="1"/>
          <w:color w:val="auto"/>
        </w:rPr>
        <w:t xml:space="preserve">http://www.cstproxy.com/armadaacquisition/2024 </w:t>
      </w:r>
      <w:r>
        <w:rPr>
          <w:rFonts w:ascii="Times New Roman" w:cs="Times New Roman" w:eastAsia="Times New Roman" w:hAnsi="Times New Roman"/>
          <w:sz w:val="18"/>
          <w:szCs w:val="18"/>
          <w:color w:val="auto"/>
        </w:rPr>
        <w:t>and using a control number assigned by the transfer agent, Continental Stock Transfer &amp;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statement/prospectus. Please note that you will only be able to access the Special Meeting by means of remote communication. You are cordially invited to attend the Special Meeting to conduct the following items of business which you will be asked to consider and vote on:</w:t>
      </w:r>
    </w:p>
    <w:p>
      <w:pPr>
        <w:spacing w:after="0" w:line="90" w:lineRule="exact"/>
        <w:rPr>
          <w:sz w:val="20"/>
          <w:szCs w:val="20"/>
          <w:color w:val="auto"/>
        </w:rPr>
      </w:pPr>
    </w:p>
    <w:p>
      <w:pPr>
        <w:ind w:left="1080" w:right="60" w:hanging="532"/>
        <w:spacing w:after="0" w:line="25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described in this proxy statement/prospectus (the “Business Combination” and such proposal, the “Business Combination Proposal”), including the Business Combination Agreement, dated as of December 17, 2021 as amended on November 10, 2022 and further amended and restated on June 16, 2023 (as the same may be further amended, supplemented or otherwise modified from time to time, the “Business Combination Agreement”), by and among Armada, Rezolve Limited, a company organized under the laws of England and Wales, Rezolve AI Limited, a company organized under the laws of England and Wales (“Rezolve”), and Rezolve Merger Sub, Inc., a Delaware corporation (“Rezolve Merger Sub”), pursuant to which Armada, Rezolve Limited, Rezolve and Rezolve Merger Sub will effect a series of transactions including, among other things:</w:t>
      </w:r>
    </w:p>
    <w:p>
      <w:pPr>
        <w:spacing w:after="0" w:line="94" w:lineRule="exact"/>
        <w:rPr>
          <w:rFonts w:ascii="Times New Roman" w:cs="Times New Roman" w:eastAsia="Times New Roman" w:hAnsi="Times New Roman"/>
          <w:sz w:val="18"/>
          <w:szCs w:val="18"/>
          <w:color w:val="auto"/>
        </w:rPr>
      </w:pPr>
    </w:p>
    <w:p>
      <w:pPr>
        <w:ind w:left="1540" w:right="140" w:hanging="439"/>
        <w:spacing w:after="0" w:line="253" w:lineRule="auto"/>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in preparation for the Nasdaq listing,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w:t>
      </w:r>
    </w:p>
    <w:p>
      <w:pPr>
        <w:spacing w:after="0" w:line="5" w:lineRule="exact"/>
        <w:rPr>
          <w:rFonts w:ascii="Times New Roman" w:cs="Times New Roman" w:eastAsia="Times New Roman" w:hAnsi="Times New Roman"/>
          <w:sz w:val="18"/>
          <w:szCs w:val="18"/>
          <w:color w:val="auto"/>
        </w:rPr>
      </w:pPr>
    </w:p>
    <w:p>
      <w:pPr>
        <w:ind w:left="1780" w:hanging="247"/>
        <w:spacing w:after="0"/>
        <w:tabs>
          <w:tab w:leader="none" w:pos="1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be assigned, assume and/or reissue the secured Convertible Notes currently issued by Rezolve Limited and</w:t>
      </w:r>
    </w:p>
    <w:p>
      <w:pPr>
        <w:spacing w:after="0" w:line="9" w:lineRule="exact"/>
        <w:rPr>
          <w:rFonts w:ascii="Times New Roman" w:cs="Times New Roman" w:eastAsia="Times New Roman" w:hAnsi="Times New Roman"/>
          <w:sz w:val="18"/>
          <w:szCs w:val="18"/>
          <w:color w:val="auto"/>
        </w:rPr>
      </w:pPr>
    </w:p>
    <w:p>
      <w:pPr>
        <w:ind w:left="1780" w:hanging="247"/>
        <w:spacing w:after="0"/>
        <w:tabs>
          <w:tab w:leader="none" w:pos="1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Limited will then be wound up;</w:t>
      </w:r>
    </w:p>
    <w:p>
      <w:pPr>
        <w:spacing w:after="0" w:line="112" w:lineRule="exact"/>
        <w:rPr>
          <w:sz w:val="20"/>
          <w:szCs w:val="20"/>
          <w:color w:val="auto"/>
        </w:rPr>
      </w:pPr>
    </w:p>
    <w:p>
      <w:pPr>
        <w:ind w:left="1540" w:right="180" w:hanging="439"/>
        <w:spacing w:after="0" w:line="256"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Stock Escrow Agreement, dated August 12, 2021 (the “Escrow Agreement”), to allow Continental Stock Transfer &amp; Trust Company to distribute certain of the Escrow Shares (as defined in the Escrow Agreement) prior to the expiration of the Escrow Period (as defined in the Escrow Agreement).</w:t>
      </w:r>
    </w:p>
    <w:p>
      <w:pPr>
        <w:spacing w:after="0" w:line="81" w:lineRule="exact"/>
        <w:rPr>
          <w:sz w:val="20"/>
          <w:szCs w:val="20"/>
          <w:color w:val="auto"/>
        </w:rPr>
      </w:pPr>
    </w:p>
    <w:p>
      <w:pPr>
        <w:ind w:left="1080" w:right="8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 (the “Nasdaq Proposal”);</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(the “Rezolve Incentive Equity Plan”), which will become effective on or before the Closing Date and will be used by Rezolve following the Closing (the “Incentive Equity Plan Proposal”);</w:t>
      </w:r>
    </w:p>
    <w:p>
      <w:pPr>
        <w:spacing w:after="0" w:line="76"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The Charter Limitation Amendment Proposal </w:t>
      </w:r>
      <w:r>
        <w:rPr>
          <w:rFonts w:ascii="Times New Roman" w:cs="Times New Roman" w:eastAsia="Times New Roman" w:hAnsi="Times New Roman"/>
          <w:sz w:val="18"/>
          <w:szCs w:val="18"/>
          <w:color w:val="auto"/>
        </w:rPr>
        <w:t>— to consider and vote upon a proposal to amend Armada’s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(as amended, the “Armada Charter”) to eliminate from the Armada Charter the limitation that Armada may not consummate a business combination to the extent Armada would have net tangible assets of less than $5,000,001, which amendment will be effective immediately prior to or upon consummation of a business combination (the “Charter Limitation”) in order to allow Armada to consummate the Business Combination irrespective of whether Armada would exceed the Charter Limitation (the “Charter Limitation Amendment Proposal”); and</w:t>
      </w:r>
    </w:p>
    <w:p>
      <w:pPr>
        <w:spacing w:after="0" w:line="87" w:lineRule="exact"/>
        <w:rPr>
          <w:rFonts w:ascii="Times New Roman" w:cs="Times New Roman" w:eastAsia="Times New Roman" w:hAnsi="Times New Roman"/>
          <w:sz w:val="18"/>
          <w:szCs w:val="18"/>
          <w:color w:val="auto"/>
        </w:rPr>
      </w:pPr>
    </w:p>
    <w:p>
      <w:pPr>
        <w:ind w:left="1080" w:right="80" w:hanging="532"/>
        <w:spacing w:after="0" w:line="278"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5 — Adjournment Proposal </w:t>
      </w:r>
      <w:r>
        <w:rPr>
          <w:rFonts w:ascii="Times New Roman" w:cs="Times New Roman" w:eastAsia="Times New Roman" w:hAnsi="Times New Roman"/>
          <w:sz w:val="17"/>
          <w:szCs w:val="17"/>
          <w:color w:val="auto"/>
        </w:rPr>
        <w:t>— to approve, if necessary, the adjournment of the Special Meeting to a later date or dates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16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above matters are more fully described in the accompanying proxy statement/prospectus, which also includes, as Annex A copy of the Business Combination Agreement. </w:t>
      </w:r>
      <w:r>
        <w:rPr>
          <w:rFonts w:ascii="Times New Roman" w:cs="Times New Roman" w:eastAsia="Times New Roman" w:hAnsi="Times New Roman"/>
          <w:sz w:val="18"/>
          <w:szCs w:val="18"/>
          <w:b w:val="1"/>
          <w:bCs w:val="1"/>
          <w:color w:val="auto"/>
        </w:rPr>
        <w:t>We urge you to read carefully the accompanying proxy statement/prospectus in its entirety, including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Annexes and accompanying financial statements of Armada and Rezolve.</w:t>
      </w:r>
    </w:p>
    <w:p>
      <w:pPr>
        <w:spacing w:after="0" w:line="176"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 xml:space="preserve">The record date for the Special Meeting is         , 2024 (the “Record Date”). Only stockholders of record at the close of business on that date may vote at the Special Meeting or any adjournment thereof. A complete list of our stockholders of record entitled to vote at the Special Meeting will be available for ten (10) days before the Special Meeting at our principal executive offices for inspection by stockholders during ordinary business hours for any purpose germane to the Special Meeting and electronically during the Special Meeting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A majority of the voting power of all outstanding shares of capital stock of Armada entitled to vote must be present via the virtual meeting platform or by proxy to constitute a quorum for the transaction of business at the Special Meeting. Approval of each of the Business Combination Proposal, the Nasdaq Proposal, the Incentive Equity Plan Proposal and the Charter Limitation Amendment Proposal require the affirmative vote of a majority of the votes cast at the Special Meeting. </w:t>
      </w:r>
      <w:r>
        <w:rPr>
          <w:rFonts w:ascii="Times New Roman" w:cs="Times New Roman" w:eastAsia="Times New Roman" w:hAnsi="Times New Roman"/>
          <w:sz w:val="18"/>
          <w:szCs w:val="18"/>
          <w:b w:val="1"/>
          <w:bCs w:val="1"/>
          <w:color w:val="auto"/>
        </w:rPr>
        <w:t>The Board unanimously recommends that you vote “FOR” each of these proposals.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Stephen P. Herbert,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proxy statement/prospectus is not complete and may be changed. We may not issue these securities until the registration statement filed with the Securities and Exchange Commissions, of which this proxy statement/prospectus is a part, is declared effective. This proxy statement/prospectus does not constitute an offer to sell these securities and it is not soliciting an offer to buy these securities in any state, country or territory where the offer or sale is not permitted.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JUNE 11, 2024</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STATEMENT FOR SPECIAL MEETING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ARMADA ACQUISITION CORP. I</w:t>
      </w:r>
    </w:p>
    <w:p>
      <w:pPr>
        <w:spacing w:after="0" w:line="61" w:lineRule="exact"/>
        <w:rPr>
          <w:sz w:val="20"/>
          <w:szCs w:val="20"/>
          <w:color w:val="auto"/>
        </w:rPr>
      </w:pPr>
    </w:p>
    <w:p>
      <w:pPr>
        <w:jc w:val="center"/>
        <w:ind w:left="440" w:right="2280"/>
        <w:spacing w:after="0" w:line="253" w:lineRule="auto"/>
        <w:rPr>
          <w:sz w:val="20"/>
          <w:szCs w:val="20"/>
          <w:color w:val="auto"/>
        </w:rPr>
      </w:pPr>
      <w:r>
        <w:rPr>
          <w:rFonts w:ascii="Times New Roman" w:cs="Times New Roman" w:eastAsia="Times New Roman" w:hAnsi="Times New Roman"/>
          <w:sz w:val="21"/>
          <w:szCs w:val="21"/>
          <w:b w:val="1"/>
          <w:bCs w:val="1"/>
          <w:color w:val="auto"/>
        </w:rPr>
        <w:t>PROSPECTUS FOR UP TO 177,400,603 ORDINARY SHARES 7,499,994 WARRANTS TO PURCHASE ORDINARY SHARES AND 7,499,994 ORDINARY SHARES UNDERLYING WARRANTS</w:t>
      </w:r>
    </w:p>
    <w:p>
      <w:pPr>
        <w:spacing w:after="0" w:line="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REZOLVE AI LIMITED[</w:t>
      </w:r>
      <w:r>
        <w:rPr>
          <w:rFonts w:ascii="Times New Roman" w:cs="Times New Roman" w:eastAsia="Times New Roman" w:hAnsi="Times New Roman"/>
          <w:sz w:val="53"/>
          <w:szCs w:val="53"/>
          <w:b w:val="1"/>
          <w:bCs w:val="1"/>
          <w:color w:val="auto"/>
          <w:vertAlign w:val="superscript"/>
        </w:rPr>
        <w:t>2</w:t>
      </w:r>
      <w:r>
        <w:rPr>
          <w:rFonts w:ascii="Times New Roman" w:cs="Times New Roman" w:eastAsia="Times New Roman" w:hAnsi="Times New Roman"/>
          <w:sz w:val="36"/>
          <w:szCs w:val="3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-8255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120" w:firstLine="440"/>
        <w:spacing w:after="0" w:line="226" w:lineRule="auto"/>
        <w:rPr>
          <w:sz w:val="20"/>
          <w:szCs w:val="20"/>
          <w:color w:val="auto"/>
        </w:rPr>
      </w:pPr>
      <w:r>
        <w:rPr>
          <w:rFonts w:ascii="Times New Roman" w:cs="Times New Roman" w:eastAsia="Times New Roman" w:hAnsi="Times New Roman"/>
          <w:sz w:val="14"/>
          <w:szCs w:val="14"/>
          <w:color w:val="auto"/>
        </w:rPr>
        <w:t>The board of directors of Armada Acquisition Corp. I, a Delaware corporation (“Armada”), has unanimously approved the Business Combination Agreement dated as of December 17, 2021, as amended on November 10, 2022 and as further amended and restated on June 16, 2023, as amended on August 4, 2023 (and as further amended from time to time, the “Business Combination Agreement”), by and among Armada, Rezolve Limited, a private limited liability company registered under the laws of England and Wales, Rezolve AI Limited, a private limited company incorporated under the laws of England and Wales with registration number 14573691 (and prior to Closing, Rezolve AI Limited will re-register as Rezolve AI PLC, a public limited company) (“Rezolve”) and Rezolve Merger Sub, Inc., a Delaware corporation (“Merger Sub”). If the Business Combination Agreement is approved by Armada’s stockholders and the transactions contemplated by the Business Combination Agreement are consummated, Merger Sub will merge with and into Armada, with Armada continuing as the surviving corporation and a wholly owned subsidiary of Rezolve (the “Business Combination” and together with the other transactions contemplated by the Business Combination Agreement, the “Transactions”).</w:t>
      </w:r>
    </w:p>
    <w:p>
      <w:pPr>
        <w:spacing w:after="0" w:line="3" w:lineRule="exact"/>
        <w:rPr>
          <w:sz w:val="20"/>
          <w:szCs w:val="20"/>
          <w:color w:val="auto"/>
        </w:rPr>
      </w:pPr>
    </w:p>
    <w:p>
      <w:pPr>
        <w:ind w:left="120" w:right="60" w:firstLine="440"/>
        <w:spacing w:after="0" w:line="229" w:lineRule="auto"/>
        <w:rPr>
          <w:sz w:val="20"/>
          <w:szCs w:val="20"/>
          <w:color w:val="auto"/>
        </w:rPr>
      </w:pPr>
      <w:r>
        <w:rPr>
          <w:rFonts w:ascii="Times New Roman" w:cs="Times New Roman" w:eastAsia="Times New Roman" w:hAnsi="Times New Roman"/>
          <w:sz w:val="14"/>
          <w:szCs w:val="14"/>
          <w:color w:val="auto"/>
        </w:rPr>
        <w:t>Pursuant to the Business Combination Agreement, upon the consummation of the Business Combination, (i) each issued and outstanding share of common stock of Armada (an “Armada Common Stock”) immediately prior to the effective time of the Merger (the “Merger Effective Time”) will be exchanged for one Rezolve ordinary share (an “Ordinary Share”); (ii) each issued and outstanding warrant of Armada (an “Armada Warrant”) immediately prior to the Merger Effective Time will be exchanged for one warrant of Rezolve (a “Rezolve Warrant”);</w:t>
      </w:r>
    </w:p>
    <w:p>
      <w:pPr>
        <w:spacing w:after="0" w:line="1" w:lineRule="exact"/>
        <w:rPr>
          <w:sz w:val="20"/>
          <w:szCs w:val="20"/>
          <w:color w:val="auto"/>
        </w:rPr>
      </w:pPr>
    </w:p>
    <w:p>
      <w:pPr>
        <w:ind w:left="120" w:hanging="4"/>
        <w:spacing w:after="0" w:line="230" w:lineRule="auto"/>
        <w:tabs>
          <w:tab w:leader="none" w:pos="3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issued and outstanding unit of Armada (an “Armada Unit”) immediately prior to the Merger Effective Time will be separated into one share of Armada common stock and one-half of one Armada Warrant, with each share of Armada Common Stock to be exchanged for one Rezolve Ordinary Share and each Armada Warrant to be exchanged for one Rezolve Warrant. Accordingly, this proxy statement/prospectus addresses the issuance by Rezolve of an aggregate of 177,400,603 Rezolve Ordinary Shares, 7,499,994 Rezolve Warrants and 7,499,994 Rezolve Ordinary Shares issuable upon exercise of Rezolve Warrants.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As a result of the Business Combination, Rezolve will become a new listed company and Armada will become a wholly-owned subsidiary of Rezolve.</w:t>
      </w:r>
    </w:p>
    <w:p>
      <w:pPr>
        <w:spacing w:after="0" w:line="27" w:lineRule="exact"/>
        <w:rPr>
          <w:sz w:val="20"/>
          <w:szCs w:val="20"/>
          <w:color w:val="auto"/>
        </w:rPr>
      </w:pPr>
    </w:p>
    <w:p>
      <w:pPr>
        <w:ind w:left="120" w:right="40" w:firstLine="440"/>
        <w:spacing w:after="0" w:line="227" w:lineRule="auto"/>
        <w:rPr>
          <w:sz w:val="20"/>
          <w:szCs w:val="20"/>
          <w:color w:val="auto"/>
        </w:rPr>
      </w:pPr>
      <w:r>
        <w:rPr>
          <w:rFonts w:ascii="Times New Roman" w:cs="Times New Roman" w:eastAsia="Times New Roman" w:hAnsi="Times New Roman"/>
          <w:sz w:val="14"/>
          <w:szCs w:val="14"/>
          <w:color w:val="auto"/>
        </w:rPr>
        <w:t>It is anticipated that, upon completion of the Business Combination: (i) Armada’s public stockholders will own approximately   % of the Rezolve Shares; (ii) the Sponsor and current Armada directors will own approximately   % of the Rezolve Shares; and (iii) the existing Rezolve shareholders will own approximately   % of the Rezolve Shares with 75% of the voting power of Rezolve being held by Daniel Wagner as the “Rezolve Founder.” As a result of Daniel Wagner’s ownership of 75% of the voting power of Rezolve, Rezolve will be a “controlled company” within the meaning of the corporate governance standards of the Nasdaq. These levels of ownership interest: (a) exclude the impact of the warrants to purchase Rezolve Shares that will remain outstanding immediately following the Business Combination including the Rezolve Warrants; (b) assume that no Armada public stockholder exercises redemption rights with respect to its shares for a pro rata portion of the funds in Armada’s trust account and (c) exclude the potential impact of any acquisition; and (d) exclude any warrants, options and any entitlements to be allocated by Rezolve pursuant to the terms of the Rezolve Long Term Incentive Plan or otherwise.</w:t>
      </w:r>
    </w:p>
    <w:p>
      <w:pPr>
        <w:spacing w:after="0" w:line="1" w:lineRule="exact"/>
        <w:rPr>
          <w:sz w:val="20"/>
          <w:szCs w:val="20"/>
          <w:color w:val="auto"/>
        </w:rPr>
      </w:pPr>
    </w:p>
    <w:p>
      <w:pPr>
        <w:ind w:left="120" w:right="340" w:firstLine="440"/>
        <w:spacing w:after="0" w:line="251" w:lineRule="auto"/>
        <w:rPr>
          <w:sz w:val="20"/>
          <w:szCs w:val="20"/>
          <w:color w:val="auto"/>
        </w:rPr>
      </w:pPr>
      <w:r>
        <w:rPr>
          <w:rFonts w:ascii="Times New Roman" w:cs="Times New Roman" w:eastAsia="Times New Roman" w:hAnsi="Times New Roman"/>
          <w:sz w:val="14"/>
          <w:szCs w:val="14"/>
          <w:color w:val="auto"/>
        </w:rPr>
        <w:t>Proposals to approve the Business Combination Agreement and the other matters discussed in this proxy statement/prospectus will be presented at the special meeting of Armada Stockholders scheduled to be held on         , 2024 in virtual format.</w:t>
      </w:r>
    </w:p>
    <w:p>
      <w:pPr>
        <w:spacing w:after="0" w:line="1" w:lineRule="exact"/>
        <w:rPr>
          <w:sz w:val="20"/>
          <w:szCs w:val="20"/>
          <w:color w:val="auto"/>
        </w:rPr>
      </w:pPr>
    </w:p>
    <w:p>
      <w:pPr>
        <w:ind w:left="120" w:firstLine="440"/>
        <w:spacing w:after="0" w:line="229" w:lineRule="auto"/>
        <w:rPr>
          <w:sz w:val="20"/>
          <w:szCs w:val="20"/>
          <w:color w:val="auto"/>
        </w:rPr>
      </w:pPr>
      <w:r>
        <w:rPr>
          <w:rFonts w:ascii="Times New Roman" w:cs="Times New Roman" w:eastAsia="Times New Roman" w:hAnsi="Times New Roman"/>
          <w:sz w:val="14"/>
          <w:szCs w:val="14"/>
          <w:color w:val="auto"/>
        </w:rPr>
        <w:t>Although Rezolve is not currently a public reporting company, following the effectiveness of the registration statement of which this proxy statement/prospectus is a part and the Closing of the Business Combination, Rezolve will become subject to the reporting requirements of the Securities Exchange Act of 1934, as amended (the “Exchange Act”). Rezolve intends to apply for listing of the Rezolve Ordinary Shares and Rezolve Warrants on the Nasdaq Stock Market (the “Nasdaq”) under the proposed symbols “RZLV” and “RZLV.W,” respectively, to be effective at the consummation of the Business Combination. It is a condition of the consummation of the Transactions that the Rezolve Ordinary Shares are approved for listing on the Nasdaq (subject only to official notice of issuance thereof and round lot holder requirements). While trading on the Nasdaq is expected to begin on the first business day following the date of completion of the Business Combination, there can be no assurance that Rezolve’s securities will be listed on the Nasdaq or that a viable and active trading market will develop. See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beginning on page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7" w:lineRule="exact"/>
        <w:rPr>
          <w:sz w:val="20"/>
          <w:szCs w:val="20"/>
          <w:color w:val="auto"/>
        </w:rPr>
      </w:pPr>
    </w:p>
    <w:p>
      <w:pPr>
        <w:ind w:left="120" w:right="180" w:firstLine="440"/>
        <w:spacing w:after="0" w:line="233" w:lineRule="auto"/>
        <w:rPr>
          <w:sz w:val="20"/>
          <w:szCs w:val="20"/>
          <w:color w:val="auto"/>
        </w:rPr>
      </w:pPr>
      <w:r>
        <w:rPr>
          <w:rFonts w:ascii="Times New Roman" w:cs="Times New Roman" w:eastAsia="Times New Roman" w:hAnsi="Times New Roman"/>
          <w:sz w:val="14"/>
          <w:szCs w:val="14"/>
          <w:color w:val="auto"/>
        </w:rPr>
        <w:t xml:space="preserve">This proxy statement/prospectus provides you with detailed information about the Business Combination and other matters to be considered at the Armada Special Meeting. We encourage you to carefully read this entire document. </w:t>
      </w:r>
      <w:r>
        <w:rPr>
          <w:rFonts w:ascii="Times New Roman" w:cs="Times New Roman" w:eastAsia="Times New Roman" w:hAnsi="Times New Roman"/>
          <w:sz w:val="14"/>
          <w:szCs w:val="14"/>
          <w:b w:val="1"/>
          <w:bCs w:val="1"/>
          <w:color w:val="auto"/>
        </w:rPr>
        <w:t>YOU SHOULD ALSO CAREFULLY CONSIDER THE RISK FACTORS DESCRIBED IN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w:t>
      </w:r>
    </w:p>
    <w:p>
      <w:pPr>
        <w:ind w:left="120" w:right="240"/>
        <w:spacing w:after="0" w:line="239" w:lineRule="auto"/>
        <w:rPr>
          <w:sz w:val="20"/>
          <w:szCs w:val="20"/>
          <w:color w:val="auto"/>
        </w:rPr>
      </w:pPr>
      <w:r>
        <w:rPr>
          <w:rFonts w:ascii="Times New Roman" w:cs="Times New Roman" w:eastAsia="Times New Roman" w:hAnsi="Times New Roman"/>
          <w:sz w:val="14"/>
          <w:szCs w:val="14"/>
          <w:b w:val="1"/>
          <w:bCs w:val="1"/>
          <w:color w:val="auto"/>
        </w:rPr>
        <w:t>ON PAGE 48 OF THIS PROXY STATEMENT/PROSPECTUS FOR A DISCUSSION OF INFORMATION THAT SHOULD BE CONSIDERED BEFORE VOTING ON THE PROPOSED BUSINESS COMBINATION AND EACH OF THE OTHER MATTERS TO BE PRESENTED AT THE ARMADA SPECIAL MEETING.</w:t>
      </w:r>
    </w:p>
    <w:p>
      <w:pPr>
        <w:ind w:left="120" w:right="140" w:firstLine="440"/>
        <w:spacing w:after="0" w:line="229"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proxy statement/prospectus is dated             , 2024, and is first being mailed to Armada security holders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11" w:lineRule="exact"/>
        <w:rPr>
          <w:sz w:val="20"/>
          <w:szCs w:val="20"/>
          <w:color w:val="auto"/>
        </w:rPr>
      </w:pPr>
    </w:p>
    <w:p>
      <w:pPr>
        <w:jc w:val="both"/>
        <w:ind w:left="340" w:right="180" w:hanging="224"/>
        <w:spacing w:after="0" w:line="241" w:lineRule="auto"/>
        <w:tabs>
          <w:tab w:leader="none" w:pos="3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Note: Prior to the completion of this offering, Rezolve expects to alter its legal status under English law from a private limited company and re-register as a public limited company and change its name from Rezolve AI Limited to Rezolve AI PLC. The term “Rezolve AI PLC” in this proxy statement/prospectus which forms a part of this registration statement refers to Rezolve AI Limited.</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Proxy Statement/Prospectus</w:t>
            </w:r>
          </w:p>
        </w:tc>
        <w:tc>
          <w:tcPr>
            <w:tcW w:w="7640" w:type="dxa"/>
            <w:vAlign w:val="bottom"/>
            <w:gridSpan w:val="17"/>
            <w:vMerge w:val="restart"/>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18"/>
            <w:vMerge w:val="continue"/>
          </w:tcPr>
          <w:p>
            <w:pPr>
              <w:spacing w:after="0"/>
              <w:rPr>
                <w:sz w:val="13"/>
                <w:szCs w:val="13"/>
                <w:color w:val="auto"/>
              </w:rPr>
            </w:pPr>
          </w:p>
        </w:tc>
        <w:tc>
          <w:tcPr>
            <w:tcW w:w="7640" w:type="dxa"/>
            <w:vAlign w:val="bottom"/>
            <w:gridSpan w:val="17"/>
            <w:vMerge w:val="continue"/>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8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Industry and Market Data</w:t>
            </w:r>
          </w:p>
        </w:tc>
        <w:tc>
          <w:tcPr>
            <w:tcW w:w="8600" w:type="dxa"/>
            <w:vAlign w:val="bottom"/>
            <w:gridSpan w:val="2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Frequently Used Terms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Summary of the Material Terms of the Business Combination</w:t>
            </w:r>
          </w:p>
        </w:tc>
        <w:tc>
          <w:tcPr>
            <w:tcW w:w="6020" w:type="dxa"/>
            <w:vAlign w:val="bottom"/>
            <w:gridSpan w:val="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7"/>
        </w:trPr>
        <w:tc>
          <w:tcPr>
            <w:tcW w:w="414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Summary of Risk Factors</w:t>
            </w:r>
          </w:p>
        </w:tc>
        <w:tc>
          <w:tcPr>
            <w:tcW w:w="6320" w:type="dxa"/>
            <w:vAlign w:val="bottom"/>
            <w:gridSpan w:val="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Questions and Answers about the Proposals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Summary of the Proxy Statement/Prospectus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7"/>
        </w:trPr>
        <w:tc>
          <w:tcPr>
            <w:tcW w:w="322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Summary Historical Financial Information</w:t>
            </w:r>
          </w:p>
        </w:tc>
        <w:tc>
          <w:tcPr>
            <w:tcW w:w="7240" w:type="dxa"/>
            <w:vAlign w:val="bottom"/>
            <w:gridSpan w:val="11"/>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7"/>
        </w:trPr>
        <w:tc>
          <w:tcPr>
            <w:tcW w:w="30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0" w:type="dxa"/>
            <w:vAlign w:val="bottom"/>
            <w:gridSpan w:val="1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5640" w:type="dxa"/>
            <w:vAlign w:val="bottom"/>
            <w:gridSpan w:val="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Special Meeting of Armada Stockholders</w:t>
            </w:r>
          </w:p>
        </w:tc>
        <w:tc>
          <w:tcPr>
            <w:tcW w:w="7480" w:type="dxa"/>
            <w:vAlign w:val="bottom"/>
            <w:gridSpan w:val="1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7"/>
        </w:trPr>
        <w:tc>
          <w:tcPr>
            <w:tcW w:w="26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The Business Combination Proposal</w:t>
            </w:r>
          </w:p>
        </w:tc>
        <w:tc>
          <w:tcPr>
            <w:tcW w:w="7840" w:type="dxa"/>
            <w:vAlign w:val="bottom"/>
            <w:gridSpan w:val="19"/>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Material Tax Considerations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7"/>
        </w:trPr>
        <w:tc>
          <w:tcPr>
            <w:tcW w:w="15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The Nasdaq Proposal</w:t>
            </w:r>
          </w:p>
        </w:tc>
        <w:tc>
          <w:tcPr>
            <w:tcW w:w="500" w:type="dxa"/>
            <w:vAlign w:val="bottom"/>
            <w:tcBorders>
              <w:top w:val="single" w:sz="8" w:color="0000EE"/>
            </w:tcBorders>
            <w:gridSpan w:val="5"/>
          </w:tcPr>
          <w:p>
            <w:pPr>
              <w:spacing w:after="0"/>
              <w:rPr>
                <w:sz w:val="24"/>
                <w:szCs w:val="24"/>
                <w:color w:val="auto"/>
              </w:rPr>
            </w:pPr>
          </w:p>
        </w:tc>
        <w:tc>
          <w:tcPr>
            <w:tcW w:w="8420" w:type="dxa"/>
            <w:vAlign w:val="bottom"/>
            <w:gridSpan w:val="2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7"/>
        </w:trPr>
        <w:tc>
          <w:tcPr>
            <w:tcW w:w="25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The Incentive Equity Plan Proposal</w:t>
            </w:r>
          </w:p>
        </w:tc>
        <w:tc>
          <w:tcPr>
            <w:tcW w:w="7900" w:type="dxa"/>
            <w:vAlign w:val="bottom"/>
            <w:gridSpan w:val="2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7"/>
        </w:trPr>
        <w:tc>
          <w:tcPr>
            <w:tcW w:w="32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The Charter Limitation Amendment Proposal</w:t>
            </w:r>
          </w:p>
        </w:tc>
        <w:tc>
          <w:tcPr>
            <w:tcW w:w="7180" w:type="dxa"/>
            <w:vAlign w:val="bottom"/>
            <w:gridSpan w:val="1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The Adjournment Proposal</w:t>
            </w:r>
          </w:p>
        </w:tc>
        <w:tc>
          <w:tcPr>
            <w:tcW w:w="8500" w:type="dxa"/>
            <w:vAlign w:val="bottom"/>
            <w:gridSpan w:val="2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7"/>
        </w:trPr>
        <w:tc>
          <w:tcPr>
            <w:tcW w:w="27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Other Information Related to Armada</w:t>
            </w:r>
          </w:p>
        </w:tc>
        <w:tc>
          <w:tcPr>
            <w:tcW w:w="7740" w:type="dxa"/>
            <w:vAlign w:val="bottom"/>
            <w:gridSpan w:val="1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7"/>
        </w:trPr>
        <w:tc>
          <w:tcPr>
            <w:tcW w:w="720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Armada’s Management’s Discussion and Analysis of Financial Condition and Results of Operations</w:t>
            </w:r>
          </w:p>
        </w:tc>
        <w:tc>
          <w:tcPr>
            <w:tcW w:w="3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Business of Rezolve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Rezolve’s Management’s Discussion and Analysis of Financial Condition and Results of Operations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7"/>
        </w:trPr>
        <w:tc>
          <w:tcPr>
            <w:tcW w:w="316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Management and Compensation of Rezolve</w:t>
            </w:r>
          </w:p>
        </w:tc>
        <w:tc>
          <w:tcPr>
            <w:tcW w:w="4040" w:type="dxa"/>
            <w:vAlign w:val="bottom"/>
            <w:tcBorders>
              <w:top w:val="single" w:sz="8" w:color="0000EE"/>
            </w:tcBorders>
            <w:gridSpan w:val="11"/>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7"/>
        </w:trPr>
        <w:tc>
          <w:tcPr>
            <w:tcW w:w="25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7940" w:type="dxa"/>
            <w:vAlign w:val="bottom"/>
            <w:gridSpan w:val="21"/>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7"/>
        </w:trPr>
        <w:tc>
          <w:tcPr>
            <w:tcW w:w="22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8240" w:type="dxa"/>
            <w:vAlign w:val="bottom"/>
            <w:gridSpan w:val="2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10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Description of Rezolve Ordinary Shares, Articles of Association and Certain Legal Considerations</w:t>
            </w:r>
          </w:p>
        </w:tc>
        <w:tc>
          <w:tcPr>
            <w:tcW w:w="3360" w:type="dxa"/>
            <w:vAlign w:val="bottom"/>
            <w:gridSpan w:val="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77"/>
        </w:trPr>
        <w:tc>
          <w:tcPr>
            <w:tcW w:w="53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Comparison of Rights of Armada Stockholders and Rezolve Shareholders</w:t>
            </w:r>
          </w:p>
        </w:tc>
        <w:tc>
          <w:tcPr>
            <w:tcW w:w="5140" w:type="dxa"/>
            <w:vAlign w:val="bottom"/>
            <w:gridSpan w:val="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Experts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Enforcement of Civil Liabilities</w:t>
            </w:r>
          </w:p>
        </w:tc>
        <w:tc>
          <w:tcPr>
            <w:tcW w:w="8160" w:type="dxa"/>
            <w:vAlign w:val="bottom"/>
            <w:gridSpan w:val="2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7"/>
        </w:trPr>
        <w:tc>
          <w:tcPr>
            <w:tcW w:w="21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Index to Financial Statements</w:t>
            </w:r>
          </w:p>
        </w:tc>
        <w:tc>
          <w:tcPr>
            <w:tcW w:w="720" w:type="dxa"/>
            <w:vAlign w:val="bottom"/>
            <w:tcBorders>
              <w:top w:val="single" w:sz="8" w:color="0000EE"/>
            </w:tcBorders>
            <w:gridSpan w:val="8"/>
          </w:tcPr>
          <w:p>
            <w:pPr>
              <w:spacing w:after="0"/>
              <w:rPr>
                <w:sz w:val="24"/>
                <w:szCs w:val="24"/>
                <w:color w:val="auto"/>
              </w:rPr>
            </w:pPr>
          </w:p>
        </w:tc>
        <w:tc>
          <w:tcPr>
            <w:tcW w:w="7600" w:type="dxa"/>
            <w:vAlign w:val="bottom"/>
            <w:gridSpan w:val="1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Annex A Business Combination Agreement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3160" w:type="dxa"/>
            <w:vAlign w:val="bottom"/>
            <w:gridSpan w:val="23"/>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Annex AA Amendment to the Business Combination Agreement</w:t>
            </w:r>
          </w:p>
        </w:tc>
        <w:tc>
          <w:tcPr>
            <w:tcW w:w="5780" w:type="dxa"/>
            <w:vAlign w:val="bottom"/>
            <w:gridSpan w:val="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AA-1</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Annex B Form of Amended and Restated Memorandum and Articles of Association of Rezolve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7"/>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Annex C Transaction Support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20"/>
        </w:trPr>
        <w:tc>
          <w:tcPr>
            <w:tcW w:w="2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Annex D Form of Assignment, Assumption and Amendment Agreement (Warrant Agreement) between Armada, Rezolve and</w:t>
            </w:r>
            <w:r>
              <w:rPr>
                <w:rFonts w:ascii="Times New Roman" w:cs="Times New Roman" w:eastAsia="Times New Roman" w:hAnsi="Times New Roman"/>
                <w:sz w:val="18"/>
                <w:szCs w:val="18"/>
                <w:color w:val="000000"/>
              </w:rPr>
              <w:t xml:space="preserve">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77"/>
        </w:trPr>
        <w:tc>
          <w:tcPr>
            <w:tcW w:w="32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Annex E Form of Investor Rights Agreement</w:t>
            </w:r>
          </w:p>
        </w:tc>
        <w:tc>
          <w:tcPr>
            <w:tcW w:w="5800" w:type="dxa"/>
            <w:vAlign w:val="bottom"/>
            <w:tcBorders>
              <w:top w:val="single" w:sz="8" w:color="0000EE"/>
            </w:tcBorders>
            <w:gridSpan w:val="3"/>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r>
      <w:tr>
        <w:trPr>
          <w:trHeight w:val="277"/>
        </w:trPr>
        <w:tc>
          <w:tcPr>
            <w:tcW w:w="2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Annex F Form of Equity Incentive Plan</w:t>
            </w:r>
          </w:p>
        </w:tc>
        <w:tc>
          <w:tcPr>
            <w:tcW w:w="776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77"/>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Annex G Proposed Amendment to Armada’s Second Amended and Restated Certificate of Incorporation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G-1</w:t>
            </w:r>
          </w:p>
        </w:tc>
      </w:tr>
      <w:tr>
        <w:trPr>
          <w:trHeight w:val="277"/>
        </w:trPr>
        <w:tc>
          <w:tcPr>
            <w:tcW w:w="75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Annex H Northland Fairness Opinion</w:t>
            </w:r>
          </w:p>
        </w:tc>
        <w:tc>
          <w:tcPr>
            <w:tcW w:w="30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H-1</w:t>
            </w:r>
          </w:p>
        </w:tc>
      </w:tr>
      <w:tr>
        <w:trPr>
          <w:trHeight w:val="20"/>
        </w:trPr>
        <w:tc>
          <w:tcPr>
            <w:tcW w:w="270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3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Annex I Marshall &amp; Stevens Fairness Opinion</w:t>
            </w:r>
          </w:p>
        </w:tc>
        <w:tc>
          <w:tcPr>
            <w:tcW w:w="728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I-1</w:t>
            </w:r>
          </w:p>
        </w:tc>
      </w:tr>
    </w:tbl>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proxy statement/prospectus, which forms a part of a registration statement on Form F-4 filed with the SEC by Rezolve AI Limited, constitutes a prospectus of Rezolve AI Limited under Section 5 of the Securities Act with respect to the Rezolve Ordinary Shares to be issued to Armada Stockholders and Armada Sponsor LLC in connection with the Business Combination, as well as the warrants to acquire Rezolve Ordinary Shares to be issued to Armada Warrant holders. This document also constitutes a proxy statement of Armada under Section 14(a) of the Exchange Act, and the rules thereunder, and a notice of meeting with respect to the special meeting of Armada Stockholders to consider and vote upon the proposals to adopt and approve the Business Combination and the Rezolve Long Term Incentive Plan and to adjourn the meeting, if necessary, to permit further solicitation of proxies because there are not sufficient votes to adopt and approve the foregoing proposals.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proxy statement/prospectus to the term “Rezolve” prior to January 1, 2022 refer to Rezolve Limited; all references in this proxy statement/prospectus to the term “Rezolve” as of and for any periods following January 1, 2022 refer to Rezolve AI Limited, together with its subsidiaries prior to Closing; and all references to the term “Rezolve” after Closing refer to Rezolve AI PLC, together with its subsidiaries after re-registration of Rezolve AI Limited as Rezolve AI PLC. All references in this proxy statement/prospectus to “Armada” refer to Armada Acquisition Corp. I.</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reference to the website of Rezolve in this proxy statement/prospectus does not include or incorporate by reference the information on the website into this proxy statement/prospectus.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this proxy statement/prospectus, Rezolve relies on and refers to industry data, information and statistics regarding the markets in which it competes from research as well as from publicly available information, industry and general publications and research and studies conducted by third parties. Rezolve has supplemented this information where necessary with its own internal estimates, considering publicly available information about other industry participants and Rezolve management’s best view as to information that is not publicly available. This information appears in “</w:t>
      </w:r>
      <w:r>
        <w:rPr>
          <w:rFonts w:ascii="Times New Roman" w:cs="Times New Roman" w:eastAsia="Times New Roman" w:hAnsi="Times New Roman"/>
          <w:sz w:val="18"/>
          <w:szCs w:val="18"/>
          <w:i w:val="1"/>
          <w:iCs w:val="1"/>
          <w:color w:val="auto"/>
        </w:rPr>
        <w:t>Rezolve’s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of Rezolve</w:t>
      </w:r>
      <w:r>
        <w:rPr>
          <w:rFonts w:ascii="Times New Roman" w:cs="Times New Roman" w:eastAsia="Times New Roman" w:hAnsi="Times New Roman"/>
          <w:sz w:val="18"/>
          <w:szCs w:val="18"/>
          <w:color w:val="auto"/>
        </w:rPr>
        <w:t>” and other sections 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Rezolve has taken such care as we consider reasonable in the extraction and reproduction of information from such data from third party sources.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proxy statement/prospectus. These forecasts and forward-looking information are subject to uncertainty and risk due to a variety of factors, including those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These and other factors could cause results to differ materially from those expressed in the forecasts or estimates from independent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and us.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makes various references to the following industry publications, research, studies and forecasts:</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BCG-Google, The Next Level of Personalization in Retail, dated June 4, 2019.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DataReportal (2022), Digital 2021 Global Digital Overview, dated January 26,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BCG-Google, The Next Frontier in Personalization, dated October 16,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Yield, The State of Personalization in Mobile Commerce, dated July 3,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Amazon dominates US ecommerce, though its market share varies by category, dated April 27,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Infographic – Mobile e-Commerce Is up and Poised for Future Growth, Statista Infographics, dated March 2018.</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Smartphone Users Worldwide Will Total 1.75 Billion in 2014, dated January 16, 2014.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PwC Global, February 2023 Global Consumer Insights Pulse Survey, dated February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Shopify, Consumer Trends 2023, dated January 2023.</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Promotion Industry Trends Analysis and 2023 Spring Commerce Report, INMAR Intelligence, dated October 6, 2021 and March 2023,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Study, Google/Ipsos, dated February 2019.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Personalization 2022, Twilio Segment, 2022.</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RetailMeNot Data Shows Mobile Devices Play a Critical Role for Consumers While Shopping in Physical Retail Stores, RetailMeNot, dated April 30, 2019.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means Armada Acquisition Corp. I, a Delaware Corporation;</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“Armada Warrant Agreement” means the warrant agreement, dated August 12, 2021, by and between Armada and Continental Stock Transfer &amp; Trust Company;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Public Shares” means the Armada Common Stock held by public stockholders;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“Adjournment Proposal” has the meaning given to it in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Transaction Proceeds” has the meaning given to it in the Business Combination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Charter” means the second amended and restated certificate of incorporation of Armada, as amended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Common Stock” means an issued and outstanding share of common stock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Initial Shareholders” means the holders of Armada Common Stock and Founder Shares on the Record Date;</w:t>
      </w:r>
    </w:p>
    <w:p>
      <w:pPr>
        <w:spacing w:after="0" w:line="117"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“Armada Letter Agreement” means that certain Letter Agreement, dated as of August 12, 2021, by and among Armada, its officers, its directors and the Sponsor;</w:t>
      </w:r>
    </w:p>
    <w:p>
      <w:pPr>
        <w:spacing w:after="0" w:line="54"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“Armada Share Redemptions” means redemptions by Armada public stockholder (who are not Armada Initial Shareholders or an officer or director of Armada) holding;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Stockholders” means holders of shares of stock in the capital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Unit” means an issued and outstanding unit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Warrant” means an issued and outstanding warrant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“Articles” means Rezolve’s articles of association as will be in force with effect from Closing;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“Board” means the board of directors of Armada;</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“Business Combination” means the business combination between Armada, Rezolve, Rezolve Merger Sub and the Company as envisaged under the Business Combination Agreement;</w:t>
      </w:r>
    </w:p>
    <w:p>
      <w:pPr>
        <w:spacing w:after="0" w:line="54" w:lineRule="exact"/>
        <w:rPr>
          <w:sz w:val="20"/>
          <w:szCs w:val="20"/>
          <w:color w:val="auto"/>
        </w:rPr>
      </w:pPr>
    </w:p>
    <w:p>
      <w:pPr>
        <w:jc w:val="both"/>
        <w:ind w:left="560" w:right="220"/>
        <w:spacing w:after="0" w:line="266" w:lineRule="auto"/>
        <w:rPr>
          <w:sz w:val="20"/>
          <w:szCs w:val="20"/>
          <w:color w:val="auto"/>
        </w:rPr>
      </w:pPr>
      <w:r>
        <w:rPr>
          <w:rFonts w:ascii="Times New Roman" w:cs="Times New Roman" w:eastAsia="Times New Roman" w:hAnsi="Times New Roman"/>
          <w:sz w:val="18"/>
          <w:szCs w:val="18"/>
          <w:color w:val="auto"/>
        </w:rPr>
        <w:t>“Business Combination Agreement”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8" w:lineRule="exact"/>
        <w:rPr>
          <w:sz w:val="20"/>
          <w:szCs w:val="20"/>
          <w:color w:val="auto"/>
        </w:rPr>
      </w:pPr>
    </w:p>
    <w:p>
      <w:pPr>
        <w:ind w:left="560" w:right="3080"/>
        <w:spacing w:after="0" w:line="397" w:lineRule="auto"/>
        <w:rPr>
          <w:sz w:val="20"/>
          <w:szCs w:val="20"/>
          <w:color w:val="auto"/>
        </w:rPr>
      </w:pPr>
      <w:r>
        <w:rPr>
          <w:rFonts w:ascii="Times New Roman" w:cs="Times New Roman" w:eastAsia="Times New Roman" w:hAnsi="Times New Roman"/>
          <w:sz w:val="17"/>
          <w:szCs w:val="17"/>
          <w:color w:val="auto"/>
        </w:rPr>
        <w:t>“Business Combination Proposal” means the proposal to adopt and approve the Business Combination; “Channels” means the Rezolve’s distribution partners who distribute Rezolve’s offerings and services;</w:t>
      </w:r>
    </w:p>
    <w:p>
      <w:pPr>
        <w:spacing w:after="0" w:line="1"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“Charter Limitation” means the provision in the Armada Charter that prohibits Armada from consummating a business combination to the extent Armada would have net tangible assets of less than $5,000,001 immediately prior to or upon consummation of a business combination;</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“Charter Limitation Amendment” means the amendment to the Armada Charter removing the Charter Limitation;</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“Charter Limitation Amendment Proposal” means the proposal to adopt and approve the amendment to the Armada Charter to remove the Charter Limitation;</w:t>
      </w:r>
    </w:p>
    <w:p>
      <w:pPr>
        <w:spacing w:after="0" w:line="54" w:lineRule="exact"/>
        <w:rPr>
          <w:sz w:val="20"/>
          <w:szCs w:val="20"/>
          <w:color w:val="auto"/>
        </w:rPr>
      </w:pPr>
    </w:p>
    <w:p>
      <w:pPr>
        <w:ind w:left="560" w:right="4420"/>
        <w:spacing w:after="0" w:line="422" w:lineRule="auto"/>
        <w:rPr>
          <w:sz w:val="20"/>
          <w:szCs w:val="20"/>
          <w:color w:val="auto"/>
        </w:rPr>
      </w:pPr>
      <w:r>
        <w:rPr>
          <w:rFonts w:ascii="Times New Roman" w:cs="Times New Roman" w:eastAsia="Times New Roman" w:hAnsi="Times New Roman"/>
          <w:sz w:val="17"/>
          <w:szCs w:val="17"/>
          <w:color w:val="auto"/>
        </w:rPr>
        <w:t>“Closing” has the meaning given to it in the Business Combination Agreement; “Closing Date” has the meaning given to it in the Business Combination Agreement;</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“Combined Company” means Rezolve following the Closing;</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Reorganization” has the meaning given to it in the section entitled “</w:t>
      </w:r>
      <w:r>
        <w:rPr>
          <w:rFonts w:ascii="Times New Roman" w:cs="Times New Roman" w:eastAsia="Times New Roman" w:hAnsi="Times New Roman"/>
          <w:sz w:val="18"/>
          <w:szCs w:val="18"/>
          <w:i w:val="1"/>
          <w:iCs w:val="1"/>
          <w:color w:val="auto"/>
        </w:rPr>
        <w:t>Proposal No. 1 — The Business Combination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“Company Reorganization Date” means the first business day following the satisfaction (or, to the extent permitted by applicable law, waiver in writing) of the conditions set forth in Article VI of the Business Combination Agreement (other than those conditions that by their terms or nature can only be satisfied at or following the Company Reorganization, at the Merger Closing or at the Closing, as applicable), or on such other date and at such place or time as may be agreed to in the Business Combination Agreement;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Series A Shares” means the series A preferred shares in the capital of Rezolve;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Shareholder” means a shareholder in Rezolve on the date of effecting the Company Reorganization;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“Convertible Notes” means the convertible loan notes issued on the terms of the Loan Note Instrument;</w:t>
      </w:r>
    </w:p>
    <w:p>
      <w:pPr>
        <w:spacing w:after="0" w:line="117" w:lineRule="exact"/>
        <w:rPr>
          <w:sz w:val="20"/>
          <w:szCs w:val="20"/>
          <w:color w:val="auto"/>
        </w:rPr>
      </w:pPr>
    </w:p>
    <w:p>
      <w:pPr>
        <w:ind w:left="560" w:right="480"/>
        <w:spacing w:after="0" w:line="282" w:lineRule="auto"/>
        <w:rPr>
          <w:sz w:val="20"/>
          <w:szCs w:val="20"/>
          <w:color w:val="auto"/>
        </w:rPr>
      </w:pPr>
      <w:r>
        <w:rPr>
          <w:rFonts w:ascii="Times New Roman" w:cs="Times New Roman" w:eastAsia="Times New Roman" w:hAnsi="Times New Roman"/>
          <w:sz w:val="18"/>
          <w:szCs w:val="18"/>
          <w:color w:val="auto"/>
        </w:rPr>
        <w:t>“Founder Shares” means, collectively, the shares of Armada Common Stock held by the Sponsor, the chief executive officer of Armada, the president of Armada and independent directors of Armada;</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“GeoZone” means a location-based marketing tool which is a feature of Rezolve’s platform;</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“Incentive Equity Plan Proposal” has the meaning given to it in the section entitled “</w:t>
      </w:r>
      <w:r>
        <w:rPr>
          <w:rFonts w:ascii="Times New Roman" w:cs="Times New Roman" w:eastAsia="Times New Roman" w:hAnsi="Times New Roman"/>
          <w:sz w:val="18"/>
          <w:szCs w:val="18"/>
          <w:i w:val="1"/>
          <w:iCs w:val="1"/>
          <w:color w:val="auto"/>
        </w:rPr>
        <w:t>Proposal No. 3 — The Incentive Equity Plan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“Investor Rights Agreement” means the amended form investor rights agreements to be entered into by Rezolve, Armada, the Sponsor and certain stockholders of Rezolve;</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Company Shareholders” has the meaning given to it in the Business Combination Agreement;</w:t>
      </w:r>
    </w:p>
    <w:p>
      <w:pPr>
        <w:spacing w:after="0" w:line="117"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“Loan Note Instrument” means the secured convertible loan note instrument dated December 16, 2021, as amended and restated on November 21, 2022, and as further amended and restated on May 23, 2023, to which Rezolve Limited (or after the Pre-Closing Demerger, Rezolve) is party;</w:t>
      </w:r>
    </w:p>
    <w:p>
      <w:pPr>
        <w:spacing w:after="0" w:line="54"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“Memorandum and Articles of Association” means the memorandum and articles of association of Rezolve to be adopted with effect from Closing;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means the merger of Armada with and into Rezolve Merger Sub, with Armada continuing as the surviving entity;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Closing” means the closing of the Merger pursuant to the Business Combination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Effective Time” means the effective time of the Merger;</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“Nasdaq Proposal” has the meaning given to it in the section entitled “</w:t>
      </w:r>
      <w:r>
        <w:rPr>
          <w:rFonts w:ascii="Times New Roman" w:cs="Times New Roman" w:eastAsia="Times New Roman" w:hAnsi="Times New Roman"/>
          <w:sz w:val="18"/>
          <w:szCs w:val="18"/>
          <w:i w:val="1"/>
          <w:iCs w:val="1"/>
          <w:color w:val="auto"/>
        </w:rPr>
        <w:t>Proposal No. 2 — The Nasdaq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“Ordinary Shares” means the ordinary shares in the capital of Rezolve;</w:t>
      </w:r>
    </w:p>
    <w:p>
      <w:pPr>
        <w:spacing w:after="0" w:line="117"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“Platform Transactions”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Rezolve Group” means Rezolve Limited and its consolidated subsidiaries;</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“Private Placement Shares” means the 459,500 shares of Armada purchased simultaneously with the consummation of the Public Offering that are held by the Sponsor;</w:t>
      </w:r>
    </w:p>
    <w:p>
      <w:pPr>
        <w:spacing w:after="0" w:line="54" w:lineRule="exact"/>
        <w:rPr>
          <w:sz w:val="20"/>
          <w:szCs w:val="20"/>
          <w:color w:val="auto"/>
        </w:rPr>
      </w:pPr>
    </w:p>
    <w:p>
      <w:pPr>
        <w:ind w:left="560" w:right="560"/>
        <w:spacing w:after="0" w:line="282" w:lineRule="auto"/>
        <w:rPr>
          <w:sz w:val="20"/>
          <w:szCs w:val="20"/>
          <w:color w:val="auto"/>
        </w:rPr>
      </w:pPr>
      <w:r>
        <w:rPr>
          <w:rFonts w:ascii="Times New Roman" w:cs="Times New Roman" w:eastAsia="Times New Roman" w:hAnsi="Times New Roman"/>
          <w:sz w:val="18"/>
          <w:szCs w:val="18"/>
          <w:color w:val="auto"/>
        </w:rPr>
        <w:t>“Proposals” means, collectively, the Business Combination Proposal, the Nasdaq Proposal, the Incentive Equity Plan Proposal, the Charter Limitation Amendment Proposal and the Adjournment Proposal;</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“Proposed Transactions” means the Business Combination (including the Merger);</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Offering” means Armada’s initial public offering;</w:t>
      </w:r>
    </w:p>
    <w:p>
      <w:pPr>
        <w:spacing w:after="0" w:line="115"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color w:val="auto"/>
        </w:rPr>
        <w:t>“Redemption Rights” means the right of an Armada stockholder to redeem its rights as described in the section entitled “</w:t>
      </w:r>
      <w:r>
        <w:rPr>
          <w:rFonts w:ascii="Times New Roman" w:cs="Times New Roman" w:eastAsia="Times New Roman" w:hAnsi="Times New Roman"/>
          <w:sz w:val="18"/>
          <w:szCs w:val="18"/>
          <w:i w:val="1"/>
          <w:iCs w:val="1"/>
          <w:color w:val="auto"/>
        </w:rPr>
        <w:t>Summary of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Statement/Prospectus — Redemption Rights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“Rezolve” means Rezolve AI Limited, a private limited liability company registered under the laws of England and Wales with registration number 14573691 and, following its re-registration as a public limited company, Rezolve AI PLC;</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Founder” means Daniel Wagner;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Incentive Equity Plan” means the incentive equity plan to be adopted under the Incentive Equity Plan Proposal;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Merger Sub” means Rezolve Merger Sub, Inc., a Delaware corporation;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Ordinary Shares” or “Rezolve Shares” means the ordinary shares in Rezolve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Options” means options to subscribe for Rezolve Ordinary Shares;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Shareholder” means a holder of shares of stock in the capital of Rezolve;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Warrant” means a warrant to purchase one Rezolve Ordinary Share;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“SMBs” means small and medium-sized businesses;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Meeting” means the Armada Special Meeting;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“Sponsor” means Armada Sponsor LLC;</w:t>
      </w:r>
    </w:p>
    <w:p>
      <w:pPr>
        <w:spacing w:after="0" w:line="117" w:lineRule="exact"/>
        <w:rPr>
          <w:sz w:val="20"/>
          <w:szCs w:val="20"/>
          <w:color w:val="auto"/>
        </w:rPr>
      </w:pPr>
    </w:p>
    <w:p>
      <w:pPr>
        <w:ind w:left="560" w:right="720"/>
        <w:spacing w:after="0" w:line="282" w:lineRule="auto"/>
        <w:rPr>
          <w:sz w:val="20"/>
          <w:szCs w:val="20"/>
          <w:color w:val="auto"/>
        </w:rPr>
      </w:pPr>
      <w:r>
        <w:rPr>
          <w:rFonts w:ascii="Times New Roman" w:cs="Times New Roman" w:eastAsia="Times New Roman" w:hAnsi="Times New Roman"/>
          <w:sz w:val="18"/>
          <w:szCs w:val="18"/>
          <w:color w:val="auto"/>
        </w:rPr>
        <w:t>“Termination Date” means the date on or prior to fifteen (15) days prior to the last date on which Armada may consummate a Business Combination;</w:t>
      </w:r>
    </w:p>
    <w:p>
      <w:pPr>
        <w:spacing w:after="0" w:line="5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“Transaction Support Agreement” means the transaction support agreement, as amended,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“Transfer Agent” means Continental Stock Transfer &amp; Trust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“Trust Account” means the trust account established by Armada containing the proceeds of its initial public offering;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“UK” means the United Kingdom;</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“UK Companies Act” means the UK Companies Act 2006 (as amended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refers to the United States of America; and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“USD” refers to the U.S. Dollar.</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320" w:top="455"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SUMMARY OF THE MATERIAL TERMS OF THE BUSINESS COMBINATION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to the Business Combination Agreement are Armada, Rezolve Limited, Rezolve, and Rezolve Merger Sub.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Business Combination Agreement it is provided that:</w:t>
      </w:r>
    </w:p>
    <w:p>
      <w:pPr>
        <w:spacing w:after="0" w:line="131" w:lineRule="exact"/>
        <w:rPr>
          <w:sz w:val="20"/>
          <w:szCs w:val="20"/>
          <w:color w:val="auto"/>
        </w:rPr>
      </w:pPr>
    </w:p>
    <w:p>
      <w:pPr>
        <w:ind w:left="1540" w:hanging="43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3" w:lineRule="exact"/>
        <w:rPr>
          <w:rFonts w:ascii="Times New Roman" w:cs="Times New Roman" w:eastAsia="Times New Roman" w:hAnsi="Times New Roman"/>
          <w:sz w:val="18"/>
          <w:szCs w:val="18"/>
          <w:color w:val="auto"/>
        </w:rPr>
      </w:pPr>
    </w:p>
    <w:p>
      <w:pPr>
        <w:ind w:left="1540" w:right="180" w:hanging="439"/>
        <w:spacing w:after="0" w:line="256"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shows the current ownership of Armada, Rezolve Limited and Rezolve.</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 Current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206490" cy="2023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0649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0" w:right="400" w:hanging="424"/>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was incorporated in England and Wales as a private limited company on January 5, 2023 under the name Rezolve Group Limited with company number 14573691 and changed its name on June 5, 2023 to Rezolve AI Limited.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 Rezolve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280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3. 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206490" cy="1783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0649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right="40" w:hanging="424"/>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Pre-Closing Demerger but prior to the completion of this offering, Rezolve expects to alter its legal status under English law from a private limited company and re-register as a public limited company and change its name from Rezolve AI Limited to Rezolve AI PLC.</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320" w:top="455" w:right="6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157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9493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689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9493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Rezolve Warrant that will entitle the holder to purchase one Rezolve Ordinary Share in lieu of one share of Armada Common Stock and otherwise on substantially the same terms and conditions as the Armada Warrants.</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addition to voting on the Business Combination, the shareholders of Armada will consider and vote upon (a) a proposal to approve the adoption of the Rezolve Incentive Equity Plan, (b) a proposal to approve, for purpose of complying with the Nasdaq Stock Market LLC Rules and Regulations (“Nasdaq Rules”) the issuance of more than    % of the issued and outstanding Rezolve Ordinary Shares upon the completion of the Business Combination, and (c) a proposal to adjourn the meeting to a later date or dates, if necessary, to permit further solicitation and vote of proxies if, based upon the tabulated vote at the time of the meeting, there are not sufficient votes to approve one or more proposals presented to stockholders for a vote.</w:t>
      </w:r>
    </w:p>
    <w:p>
      <w:pPr>
        <w:spacing w:after="0" w:line="16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may be terminated under certain customary and limited circumstances at any time prior to Closing, including, among other reasons: (i) by mutual written consent of Armada and Rezolve; (ii) by either Armada or Rezolve if the Closing has not occurred on or prior to October 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2023; (iii) by either Armada or Rezolve if a governmental authority having competent jurisdiction will have issued an order or taken any other action permanently enjoining, restraining, or otherwise prohibiting the transactions contemplated by the Business Combination Agreement, and such order or other action has become final and non-appealable; (iv) by Armada for Rezolve’s uncured breach of the Business Combination Agreement, such that the related Closing condition would not be met; (v) by Rezolve for the uncured breach of the Business Combination Agreement by Armada such that the related Closing condition would not be met; (vi) by Armada or Rezolve if the Special Meeting is held and has concluded, and the Required Purchaser Shareholder Approval (as defined in the Business Combination Agreement) is not obtained; and (vii) by Armada if the required shareholder consent of Rezolve is not obtained. See the section entitled “</w:t>
      </w:r>
      <w:r>
        <w:rPr>
          <w:rFonts w:ascii="Times New Roman" w:cs="Times New Roman" w:eastAsia="Times New Roman" w:hAnsi="Times New Roman"/>
          <w:sz w:val="17"/>
          <w:szCs w:val="17"/>
          <w:i w:val="1"/>
          <w:iCs w:val="1"/>
          <w:color w:val="auto"/>
        </w:rPr>
        <w:t>The Business Combination Proposal — The Business Combination Agreement — Termination.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After the Business Combination, the directors of Rezolve will be Daniel Wagner, Anthony Sharp, Sir David Wright, John Wagner, Stephen Perry, and Derek Smith, all of whom are designated by Rezolve; Douglas Lurio and Stephen Herbert, both of whom are designated by Armada. After the Merger,         ,         and         will be considered independent directors under the rules of Nasdaq. See the section entitled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Compensation of Rezolve—Management of Rezolve Following the Business Combination.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Business Combination, the current officers of Rezolve will remain in their positions as officers of Rezolve. These officers are Daniel Wagner (Chief Executive Officer) and Richard Burchill (Chief Financial Officer). Daniel Wagner is also a director. Richard Burchill is not a director and will not become a director on Closing. See the section entitled “</w:t>
      </w:r>
      <w:r>
        <w:rPr>
          <w:rFonts w:ascii="Times New Roman" w:cs="Times New Roman" w:eastAsia="Times New Roman" w:hAnsi="Times New Roman"/>
          <w:sz w:val="18"/>
          <w:szCs w:val="18"/>
          <w:i w:val="1"/>
          <w:iCs w:val="1"/>
          <w:color w:val="auto"/>
        </w:rPr>
        <w:t>Management and Compensation of Rezolve—Management of Rezolve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Following the Business Combination.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and Armada believe that certain of the information in this proxy statement/prospectus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85"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Rezolve and Armada believe it is important to communicate their expectations to their security holders. However, there may be events in the future that they are not able to predict accurately or over which they have no control. The risk factors and cautionary language discussed in this proxy statement/prospectus,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described by Rezolve or Armada in such forward-looking statements, including among other things:</w:t>
      </w:r>
    </w:p>
    <w:p>
      <w:pPr>
        <w:spacing w:after="0" w:line="85" w:lineRule="exact"/>
        <w:rPr>
          <w:sz w:val="20"/>
          <w:szCs w:val="20"/>
          <w:color w:val="auto"/>
        </w:rPr>
      </w:pPr>
    </w:p>
    <w:p>
      <w:pPr>
        <w:ind w:left="1080" w:right="9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Armada’s public shareholders voting against the Business Combination Proposal and/or seeking Redemption;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 Agreement;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satisfy the listing criteria of the Nasdaq and to maintain the listing of its securities on Nasdaq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the business in which Rezolve is engaged;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Rezolve’s business;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Armada or Rezolve following the announcement of the proposed Business Combination and transactions contemplated thereby;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Business Combination disrupts current plans and operations of Rezolve as a result of the announcement and consummation of the transactions described herein;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ability to recognize the benefits of the Business Combination, which may be affected by, among other things, competition and the ability of Rezolve to grow and manage growth effectively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strategy and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w:t>
      </w:r>
    </w:p>
    <w:p>
      <w:pPr>
        <w:spacing w:after="0" w:line="225" w:lineRule="exact"/>
        <w:rPr>
          <w:sz w:val="20"/>
          <w:szCs w:val="20"/>
          <w:color w:val="auto"/>
        </w:rPr>
      </w:pPr>
    </w:p>
    <w:p>
      <w:pPr>
        <w:ind w:left="120" w:right="130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proxy statement/prospectus.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any of Armada, Rezolve or any person acting on either party’s behalf are expressly qualified in their entirety by the cautionary statements contained or referred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in this section. Except to the extent required by applicable laws and regulations, Armada and Rezolve undertake no obligations to update these forward-looking statements to reflect events or circumstances after the date of this proxy statement/prospectus or to reflect the occurrence of unanticipated events.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320" w:top="455"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consummation of the Business Combination and the business and financial condition of Rezolve subsequent to Closing are subject to numerous risks and uncertainties, including those highlighted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 occurrence of one or more of the events or circumstances described below, alone or in combination with other events or circumstances, may adversely affect Armada and Rezolve Limited’s (prior to the Pre-Closing Demerger) and Rezolve’s (subsequent to the Pre-Closing Demerger) ability to effect a business combination, and may have an adverse effect on the business, cash flows, financial condition and results of operations of Rezolve Limited prior to the Pre-Closing Demerger and that of Rezolve subsequent to the Pre-Closing Demerger. Such risks include, but are not limited to:</w:t>
      </w:r>
    </w:p>
    <w:p>
      <w:pPr>
        <w:spacing w:after="0" w:line="93" w:lineRule="exact"/>
        <w:rPr>
          <w:sz w:val="20"/>
          <w:szCs w:val="20"/>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estimates or judgments relating to Rezolve’s critical accounting policies are ultimately incorrect, Rezolve’s results of operations could be adversely affected.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party to the Loan Note Instrument, which contains a number of covenants that may restrict our current and future operations and could adversely affect our ability to execute business needs.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in the use of proceeds from this offering and may invest or spend the proceeds in ways with which you do not agree and in ways that may not yield a return.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internet-enabled mobile devices for commerce.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contains serious errors or defects, Rezolve may lose revenues and market acceptance and may incur costs to defend or settle claims with its merchants.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accounting standards or practices may cause adverse, unexpected financial reporting fluctuations and adversely affect Rezolve’s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could materially affect Rezolve’s financial position, results of operations, and cash flows.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read carefully this entire proxy statement/prospectus, including the Annexes and the other documents referred to herein, to fully understand the proposed Business Combination and the voting procedures for the Special Meeting, which will be held on         , 2024 at         , Eastern Time, virtually at http://www.cstproxy.com/armadaacquisition/2024.</w:t>
      </w:r>
    </w:p>
    <w:p>
      <w:pPr>
        <w:spacing w:after="0" w:line="329"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35" w:lineRule="exact"/>
        <w:rPr>
          <w:sz w:val="20"/>
          <w:szCs w:val="20"/>
          <w:color w:val="auto"/>
        </w:rPr>
      </w:pPr>
    </w:p>
    <w:p>
      <w:pPr>
        <w:ind w:left="540" w:right="140" w:hanging="424"/>
        <w:spacing w:after="0" w:line="312"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being asked to consider and vote upon a proposal to adopt the Business Combination Agreement and approve the Business Combination and transactions contemplated thereby, among other proposals. We have entered into the Business Combination Agreement, pursuant to which:</w:t>
      </w:r>
    </w:p>
    <w:p>
      <w:pPr>
        <w:spacing w:after="0" w:line="45" w:lineRule="exact"/>
        <w:rPr>
          <w:rFonts w:ascii="Times New Roman" w:cs="Times New Roman" w:eastAsia="Times New Roman" w:hAnsi="Times New Roman"/>
          <w:sz w:val="17"/>
          <w:szCs w:val="17"/>
          <w:color w:val="auto"/>
        </w:rPr>
      </w:pPr>
    </w:p>
    <w:p>
      <w:pPr>
        <w:ind w:left="1080" w:right="120" w:hanging="532"/>
        <w:spacing w:after="0" w:line="255" w:lineRule="auto"/>
        <w:tabs>
          <w:tab w:leader="none" w:pos="1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Rezolve Ordinary Share.</w:t>
      </w:r>
    </w:p>
    <w:p>
      <w:pPr>
        <w:spacing w:after="0" w:line="75" w:lineRule="exact"/>
        <w:rPr>
          <w:sz w:val="20"/>
          <w:szCs w:val="20"/>
          <w:color w:val="auto"/>
        </w:rPr>
      </w:pPr>
    </w:p>
    <w:p>
      <w:pPr>
        <w:ind w:left="560" w:right="360"/>
        <w:spacing w:after="0" w:line="266" w:lineRule="auto"/>
        <w:rPr>
          <w:sz w:val="20"/>
          <w:szCs w:val="20"/>
          <w:color w:val="auto"/>
        </w:rPr>
      </w:pPr>
      <w:r>
        <w:rPr>
          <w:rFonts w:ascii="Times New Roman" w:cs="Times New Roman" w:eastAsia="Times New Roman" w:hAnsi="Times New Roman"/>
          <w:sz w:val="18"/>
          <w:szCs w:val="18"/>
          <w:color w:val="auto"/>
        </w:rPr>
        <w:t xml:space="preserve">Accordingly, this proxy statement/prospectus covers the issuance by Rezolve of an aggregate of         Rezolve Ordinary Shares,         Rezolve Warrants and         Rezolve Ordinary Shares issuable upon exercise of Rezolve Warrants. A copy of the Business Combination Agreement is attached to this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In addition to the Business Combination, there are related matters that we are asking you to approve. This proxy statement/prospectus and its Annexes contain important information about the proposed Business Combination and the other matters to be acted upon at the Special Meeting. You should read this proxy statement/prospectus and its Annexes carefully and in their entirety.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right="13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 You are encouraged to submit your proxy as soon as possible after carefully reviewing this proxy statement/prospectus and its Annexes</w:t>
      </w:r>
      <w:r>
        <w:rPr>
          <w:rFonts w:ascii="Times New Roman" w:cs="Times New Roman" w:eastAsia="Times New Roman" w:hAnsi="Times New Roman"/>
          <w:sz w:val="18"/>
          <w:szCs w:val="18"/>
          <w:b w:val="1"/>
          <w:bCs w:val="1"/>
          <w:color w:val="auto"/>
        </w:rPr>
        <w:t>.</w:t>
      </w:r>
    </w:p>
    <w:p>
      <w:pPr>
        <w:spacing w:after="0" w:line="60"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135" w:lineRule="exact"/>
        <w:rPr>
          <w:sz w:val="20"/>
          <w:szCs w:val="20"/>
          <w:color w:val="auto"/>
        </w:rPr>
      </w:pPr>
    </w:p>
    <w:p>
      <w:pPr>
        <w:ind w:left="540" w:hanging="41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A:</w:t>
        <w:tab/>
        <w:t xml:space="preserve">The Special Meeting will be held at         Eastern Time, on         , 2024, in a virtual format. Armada’s Stockholders may attend, vote, and examine the list of Stockholders entitled to vote at the Special Meeting by visiting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entering the control number found on their proxy card, voting instruction form, or notice included in their proxy materials. You may also attend the meeting telephonically by dialing 1 800-450-7155 (toll-free within the United States and Canada) or +1 857-999-9155 (outside of the United States and Canada, standard rates apply). The passcode for telephone access is         , but please note that you will not be able to vote or ask questions if you choose to participate telephonically. The Special Meeting will be held in virtual meeting format only. You will not be able to attend the Special Meeting physically.</w:t>
      </w:r>
    </w:p>
    <w:p>
      <w:pPr>
        <w:spacing w:after="0" w:line="333"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and vote at a virtual Special Meeting?</w:t>
      </w:r>
    </w:p>
    <w:p>
      <w:pPr>
        <w:spacing w:after="0" w:line="135" w:lineRule="exact"/>
        <w:rPr>
          <w:sz w:val="20"/>
          <w:szCs w:val="20"/>
          <w:color w:val="auto"/>
        </w:rPr>
      </w:pPr>
    </w:p>
    <w:p>
      <w:pPr>
        <w:ind w:left="540" w:right="120" w:hanging="424"/>
        <w:spacing w:after="0" w:line="261"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registered stockholder, you received a Proxy Card from Continental Stock Transfer &amp; Trust Company (“Continental,” or the “Transfer Agent”). The form contains instructions on how to attend the virtual annual meeting including the URL address, along with your control number. You will need your control number for access. If you do not have your control number, contact the Transfer Agent at 917-262-2373, or email proxy@continentalstock.com.</w:t>
      </w:r>
    </w:p>
    <w:p>
      <w:pPr>
        <w:spacing w:after="0" w:line="72"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 xml:space="preserve">You can pre-register to attend the virtual meeting starting on         , 2024, at         Eastern Time. Enter the URL address into your browser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enter your control number, name, and email address. Once you pre-register, you can vote or enter questions in the chat box. At the start of the meeting, you will need to re-log in using your control number and will also be prompted to enter your control number if you vote during the meeting. Beneficial owners, who own their investments through a bank or broker, will need to contact the Transfer Agent to receive a control number. If you plan to vote at the meeting you will need to have a legal proxy from your bank or broker, or if you would like to join and not vote, the Transfer Agent will issue you a guest control number with proof of ownership. Either way, you must contact the Transfer Agent for specific instructions on how to receive the control number. They can be contacted at the number or email address above. Please allow up to 72 hours prior to the meeting for processing your control number.</w:t>
      </w:r>
    </w:p>
    <w:p>
      <w:pPr>
        <w:spacing w:after="0" w:line="84"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If you do not have internet capabilities, you can listen only to the meeting by dialing +1 800-450-7155 inside the U.S. and Canada and +1 857-999-9155 outside the U.S. and Canada (standard rates apply); when prompted enter the pin number         . This is listen-only, you will not be able to vote or enter questions during the meeting.</w:t>
      </w:r>
    </w:p>
    <w:p>
      <w:pPr>
        <w:spacing w:after="0" w:line="320"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specific proposals on which I am being asked to vote at the Special Meeting?</w:t>
      </w:r>
    </w:p>
    <w:p>
      <w:pPr>
        <w:spacing w:after="0" w:line="13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approve the following proposals:</w:t>
      </w:r>
    </w:p>
    <w:p>
      <w:pPr>
        <w:spacing w:after="0" w:line="126" w:lineRule="exact"/>
        <w:rPr>
          <w:rFonts w:ascii="Times New Roman" w:cs="Times New Roman" w:eastAsia="Times New Roman" w:hAnsi="Times New Roman"/>
          <w:sz w:val="18"/>
          <w:szCs w:val="18"/>
          <w:color w:val="auto"/>
        </w:rPr>
      </w:pPr>
    </w:p>
    <w:p>
      <w:pPr>
        <w:ind w:left="1080" w:right="280" w:hanging="532"/>
        <w:spacing w:after="0" w:line="262"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described in this proxy statement/prospectus including the Business Combination Agreement, by and among Armada, Rezolve Limited, Rezolve and Rezolve Merger Sub pursuant to which Armada, Rezolve and Rezolve Merger Sub will effect a series of transactions including, among other things:</w:t>
      </w:r>
    </w:p>
    <w:p>
      <w:pPr>
        <w:spacing w:after="0" w:line="85"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80"/>
        <w:spacing w:after="0" w:line="261" w:lineRule="auto"/>
        <w:rPr>
          <w:sz w:val="20"/>
          <w:szCs w:val="20"/>
          <w:color w:val="auto"/>
        </w:rPr>
      </w:pPr>
      <w:r>
        <w:rPr>
          <w:rFonts w:ascii="Times New Roman" w:cs="Times New Roman" w:eastAsia="Times New Roman" w:hAnsi="Times New Roman"/>
          <w:sz w:val="18"/>
          <w:szCs w:val="18"/>
          <w:color w:val="auto"/>
        </w:rPr>
        <w:t>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85" w:lineRule="exact"/>
        <w:rPr>
          <w:sz w:val="20"/>
          <w:szCs w:val="20"/>
          <w:color w:val="auto"/>
        </w:rPr>
      </w:pPr>
    </w:p>
    <w:p>
      <w:pPr>
        <w:ind w:left="1540" w:right="180" w:hanging="439"/>
        <w:spacing w:after="0" w:line="258"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and</w:t>
      </w:r>
    </w:p>
    <w:p>
      <w:pPr>
        <w:spacing w:after="0" w:line="88"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75"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Stock Escrow Agreement, dated August 12, 2021 (the “Escrow Agreement”), to allow Continental Stock Transfer &amp; Trust Company to distribute the Escrow Shares (as defined in the Escrow Agreement) prior to the expiration of the Escrow Period (as defined in the Escrow Agreement).</w:t>
      </w:r>
    </w:p>
    <w:p>
      <w:pPr>
        <w:spacing w:after="0" w:line="81" w:lineRule="exact"/>
        <w:rPr>
          <w:sz w:val="20"/>
          <w:szCs w:val="20"/>
          <w:color w:val="auto"/>
        </w:rPr>
      </w:pPr>
    </w:p>
    <w:p>
      <w:pPr>
        <w:ind w:left="1080" w:right="180" w:hanging="532"/>
        <w:spacing w:after="0" w:line="262"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Ordinary Shares in connection with the Business Combination Agreement, including the Company Reorganization, the conversion of the Convertible Notes and, to the extent applicable, the Merger, in each case, as required by Nasdaq listing requirements;</w:t>
      </w:r>
    </w:p>
    <w:p>
      <w:pPr>
        <w:spacing w:after="0" w:line="81" w:lineRule="exact"/>
        <w:rPr>
          <w:rFonts w:ascii="Times New Roman" w:cs="Times New Roman" w:eastAsia="Times New Roman" w:hAnsi="Times New Roman"/>
          <w:sz w:val="18"/>
          <w:szCs w:val="18"/>
          <w:color w:val="auto"/>
        </w:rPr>
      </w:pPr>
    </w:p>
    <w:p>
      <w:pPr>
        <w:ind w:left="1080" w:right="440" w:hanging="532"/>
        <w:spacing w:after="0" w:line="286"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which will become effective on the Closing Date and will be used by Rezolve following the Closing;</w:t>
      </w:r>
    </w:p>
    <w:p>
      <w:pPr>
        <w:spacing w:after="0" w:line="60" w:lineRule="exact"/>
        <w:rPr>
          <w:rFonts w:ascii="Times New Roman" w:cs="Times New Roman" w:eastAsia="Times New Roman" w:hAnsi="Times New Roman"/>
          <w:sz w:val="18"/>
          <w:szCs w:val="18"/>
          <w:color w:val="auto"/>
        </w:rPr>
      </w:pPr>
    </w:p>
    <w:p>
      <w:pPr>
        <w:jc w:val="both"/>
        <w:ind w:left="1080" w:hanging="532"/>
        <w:spacing w:after="0" w:line="259"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The Charter Limitation Amendment Proposal — </w:t>
      </w:r>
      <w:r>
        <w:rPr>
          <w:rFonts w:ascii="Times New Roman" w:cs="Times New Roman" w:eastAsia="Times New Roman" w:hAnsi="Times New Roman"/>
          <w:sz w:val="18"/>
          <w:szCs w:val="18"/>
          <w:color w:val="auto"/>
        </w:rPr>
        <w:t>to consider and vote upon a proposal to amend the Armada Charter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eliminate from the Armada Charter the limitation that Armada may not consummate a business combination to the extent Armada would have net tangible assets of less than $5,000,001, which charter amendment will be effective immediately prior to or upon consummation of a business combination in order to allow Armada to consummate the Business Combination irrespective of whether Armada would exceed the Charter Limitation; and</w:t>
      </w:r>
    </w:p>
    <w:p>
      <w:pPr>
        <w:spacing w:after="0" w:line="84" w:lineRule="exact"/>
        <w:rPr>
          <w:rFonts w:ascii="Times New Roman" w:cs="Times New Roman" w:eastAsia="Times New Roman" w:hAnsi="Times New Roman"/>
          <w:sz w:val="18"/>
          <w:szCs w:val="18"/>
          <w:color w:val="auto"/>
        </w:rPr>
      </w:pPr>
    </w:p>
    <w:p>
      <w:pPr>
        <w:ind w:left="1080" w:right="100" w:hanging="532"/>
        <w:spacing w:after="0" w:line="278" w:lineRule="auto"/>
        <w:tabs>
          <w:tab w:leader="none" w:pos="10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5 — Adjournment Proposal </w:t>
      </w:r>
      <w:r>
        <w:rPr>
          <w:rFonts w:ascii="Times New Roman" w:cs="Times New Roman" w:eastAsia="Times New Roman" w:hAnsi="Times New Roman"/>
          <w:sz w:val="17"/>
          <w:szCs w:val="17"/>
          <w:color w:val="auto"/>
        </w:rPr>
        <w:t>— To approve, if necessary, the adjournment of the Special Meeting to a later date or dates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312"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p>
    <w:p>
      <w:pPr>
        <w:spacing w:after="0" w:line="135" w:lineRule="exact"/>
        <w:rPr>
          <w:sz w:val="20"/>
          <w:szCs w:val="20"/>
          <w:color w:val="auto"/>
        </w:rPr>
      </w:pPr>
    </w:p>
    <w:p>
      <w:pPr>
        <w:ind w:left="540" w:right="220" w:hanging="424"/>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Nasdaq Proposal and the Incentive Equity Plan Proposal in this proxy statement/prospectus (other than the Adjournment Proposal) are conditioned upon the stockholders’ approval of the Business Combination Proposal. Moreover, the transactions contemplated by the Business Combination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will be consummated only if the Business Combination Proposal, the Nasdaq Proposal, and the Incentive Equity Plan Proposal are approved at the Special Meeting.</w:t>
      </w:r>
    </w:p>
    <w:p>
      <w:pPr>
        <w:spacing w:after="0" w:line="54" w:lineRule="exact"/>
        <w:rPr>
          <w:sz w:val="20"/>
          <w:szCs w:val="20"/>
          <w:color w:val="auto"/>
        </w:rPr>
      </w:pPr>
    </w:p>
    <w:p>
      <w:pPr>
        <w:ind w:left="560" w:right="540"/>
        <w:spacing w:after="0" w:line="261" w:lineRule="auto"/>
        <w:rPr>
          <w:sz w:val="20"/>
          <w:szCs w:val="20"/>
          <w:color w:val="auto"/>
        </w:rPr>
      </w:pPr>
      <w:r>
        <w:rPr>
          <w:rFonts w:ascii="Times New Roman" w:cs="Times New Roman" w:eastAsia="Times New Roman" w:hAnsi="Times New Roman"/>
          <w:sz w:val="18"/>
          <w:szCs w:val="18"/>
          <w:color w:val="auto"/>
        </w:rPr>
        <w:t>It is important for you to note that in the event that the Business Combination Proposal, the Nasdaq Proposal, or the Incentive Equity Plan Proposal does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deadline under our current amended and restated certificate of incorporation to consummate the Business Combination is August 17,</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2024. On August 2, 2023, Armada’s stockholders approved an amendment to Armada’s Charter to allow Armada, without another stockholder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vote, to elect to extend the date by which Armada must consummate a Business Combination on a monthly basis up to five times by an additional</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month each time after the applicable extension date, until February 17, 2024, or a total of up to six months after August 17, 2023, unless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closing of a Business Combination shall have occurred prior thereto. On August 8, 2023, Armada deposited funds into the Trust Account to extend</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date by which it must consummate a Business Combination until September 17, 2023, and on each of September 12, 2023, October 11, 2023,</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November 9, 2023, December 15, 2023 and January 12, 2024 the Company extended the Combination Period by an additional one month each</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time or until February 17, 2024. On February 15, 2024, the stockholders approved a third amendment to the Armada Charter to extend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Combination Period for up to six additional months or until no later than August 17, 2024. On February 13, 2024, the Company deposited $49,900</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into the Trust Account thereby extending the Combination Period until March 17, 2024, and on each of March 13, 2024, April 16, 2024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May 17, 2024 the Company deposited $49,900 into the Trust Account thereby extending the Combination Period for an additional three months or</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until June 17, 2024. Armada intends to extend the Combination Period to July 17, 2024. The Business Combination Agreement may be terminated</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 the Business Combination may be abandoned by Armada or Rezolve, if the effective time of the Business Combination has not occurred on or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fifteen (15) days prior to the last date on which Armada may consummate a Business Combination (which is currently on or prior to</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xml:space="preserve">June 2, 2024);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right to terminate the Business Combination Agreement will not be available to Armada or Rezolve, respectively,</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such party’s respective breach of any of its respective covenants or obligations under the Business Combination Agreement shall have primarily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caused the failure to consummate the transactions under the Business Combination Agreement on or before the Termination Date.</w:t>
      </w:r>
    </w:p>
    <w:p>
      <w:pPr>
        <w:spacing w:after="0" w:line="351"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we providing stockholders with the opportunity to vote on the Business Combination?</w:t>
      </w:r>
    </w:p>
    <w:p>
      <w:pPr>
        <w:spacing w:after="0" w:line="135" w:lineRule="exact"/>
        <w:rPr>
          <w:sz w:val="20"/>
          <w:szCs w:val="20"/>
          <w:color w:val="auto"/>
        </w:rPr>
      </w:pPr>
    </w:p>
    <w:p>
      <w:pPr>
        <w:ind w:left="540" w:hanging="424"/>
        <w:spacing w:after="0" w:line="25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Armada’s amended and restated certificate of incorporation, Armada must provide all holders of Armada’s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to the Business Combination Proposal in order to allow our public stockholders to effectuate redemptions of their public shares in connection with the Closing. The adoption of the Business Combination Agreement is required under Delaware law and the approval of the Business Combination is required under our current amended and restated certificate of incorporation. In addition, such approval is also a condition to the Closing under the Business Combination Agreement.</w:t>
      </w:r>
    </w:p>
    <w:p>
      <w:pPr>
        <w:spacing w:after="0" w:line="336"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revenues and profits/losses has Rezolve generated in the last two years?</w:t>
      </w:r>
    </w:p>
    <w:p>
      <w:pPr>
        <w:spacing w:after="0" w:line="135" w:lineRule="exact"/>
        <w:rPr>
          <w:sz w:val="20"/>
          <w:szCs w:val="20"/>
          <w:color w:val="auto"/>
        </w:rPr>
      </w:pPr>
    </w:p>
    <w:p>
      <w:pPr>
        <w:ind w:left="540" w:right="280" w:hanging="424"/>
        <w:spacing w:after="0" w:line="312"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 has generated total revenues of $0.1 million and $0.1 million for the years ended December 31, 2023 and December 31, 2022, respectively, and total losses of $31.7 million and $110.7 million for the years ended December 31, 2023 and December 31, 2022, respectively.</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Rezolve be acquired in the Business Combination?</w:t>
      </w:r>
    </w:p>
    <w:p>
      <w:pPr>
        <w:spacing w:after="0" w:line="135" w:lineRule="exact"/>
        <w:rPr>
          <w:sz w:val="20"/>
          <w:szCs w:val="20"/>
          <w:color w:val="auto"/>
        </w:rPr>
      </w:pPr>
    </w:p>
    <w:p>
      <w:pPr>
        <w:ind w:left="540" w:right="80" w:hanging="424"/>
        <w:spacing w:after="0" w:line="258"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for more information. As a result of the Business Combination, Rezolve will become a new public company, and Armada will become a wholly-owned subsidiary of Rezolve.</w:t>
      </w:r>
    </w:p>
    <w:p>
      <w:pPr>
        <w:spacing w:after="0" w:line="328"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the Business Combination, will my securities trade on a stock exchange?</w:t>
      </w:r>
    </w:p>
    <w:p>
      <w:pPr>
        <w:spacing w:after="0" w:line="135" w:lineRule="exact"/>
        <w:rPr>
          <w:sz w:val="20"/>
          <w:szCs w:val="20"/>
          <w:color w:val="auto"/>
        </w:rPr>
      </w:pPr>
    </w:p>
    <w:p>
      <w:pPr>
        <w:ind w:left="540" w:right="680" w:hanging="424"/>
        <w:spacing w:after="0" w:line="312" w:lineRule="auto"/>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We intend to apply for the listing of Rezolve Ordinary Shares and Rezolve Warrants on the Nasdaq under the symbols “RZLV” and “RZLV.W,” respectively, upon the Closing. Rezolve will not have units traded following the consummation of the Business Combination.</w:t>
      </w:r>
    </w:p>
    <w:p>
      <w:pPr>
        <w:spacing w:after="0" w:line="284"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has the announcement of the Business Combination affected the trading price of our Common Stock?</w:t>
      </w:r>
    </w:p>
    <w:p>
      <w:pPr>
        <w:spacing w:after="0" w:line="135" w:lineRule="exact"/>
        <w:rPr>
          <w:sz w:val="20"/>
          <w:szCs w:val="20"/>
          <w:color w:val="auto"/>
        </w:rPr>
      </w:pPr>
    </w:p>
    <w:p>
      <w:pPr>
        <w:ind w:left="54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2021, the last trading date immediately prior to the public announcement of the Business Combination, Armada Common Stock, Armada Warrants, and Armada Units closed at $9.75, $0.4899, and $10.01, respectively. On June 10, 2024, most recent practicable date prior to the date of this proxy statement/prospectus, Armada Common Stock, Armada Warrants and Armada Units closed at $11.55, $0.12 and $11.43, respectively.</w:t>
      </w:r>
    </w:p>
    <w:p>
      <w:pPr>
        <w:spacing w:after="0" w:line="324"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120" w:hanging="424"/>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We do not intend for the Business Combination to be the first step in a “going private” transaction. While Armada will not have securities listed on a national exchange following closing, one of the primary purposes of the Business Combination is to provide a platform for Rezolve to access the U.S. public markets and for the Rezolve Ordinary Shares and the Rezolve Warrants to trade on Nasdaq following Closing.</w:t>
      </w:r>
    </w:p>
    <w:p>
      <w:pPr>
        <w:spacing w:after="0" w:line="320" w:lineRule="exact"/>
        <w:rPr>
          <w:sz w:val="20"/>
          <w:szCs w:val="20"/>
          <w:color w:val="auto"/>
        </w:rPr>
      </w:pPr>
    </w:p>
    <w:p>
      <w:pPr>
        <w:ind w:left="540" w:right="560" w:hanging="424"/>
        <w:spacing w:after="0" w:line="286" w:lineRule="auto"/>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Armada’s Board of Directors obtain a third-party fairness opinion in determining whether or not to proceed with the Business Combination?</w:t>
      </w:r>
    </w:p>
    <w:p>
      <w:pPr>
        <w:spacing w:after="0" w:line="64" w:lineRule="exact"/>
        <w:rPr>
          <w:sz w:val="20"/>
          <w:szCs w:val="20"/>
          <w:color w:val="auto"/>
        </w:rPr>
      </w:pPr>
    </w:p>
    <w:p>
      <w:pPr>
        <w:ind w:left="540" w:right="100" w:hanging="424"/>
        <w:spacing w:after="0" w:line="254"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June 11, 2023, at a meeting of Armada’s board of directors held to evaluate the proposed Business Combination pursuant to the then-contemplated June 16, 2023 amendment to the Business Combination Agreement, Marshall &amp; Stevens Transaction Advisory Services LLC (“Marshall &amp; Stevens”)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Marshall &amp; Stevens</w:t>
      </w:r>
      <w:r>
        <w:rPr>
          <w:rFonts w:ascii="Times New Roman" w:cs="Times New Roman" w:eastAsia="Times New Roman" w:hAnsi="Times New Roman"/>
          <w:sz w:val="18"/>
          <w:szCs w:val="18"/>
          <w:color w:val="auto"/>
        </w:rPr>
        <w:t>” and the written opinion of Marshall &amp; Stevens attached as</w:t>
      </w:r>
      <w:r>
        <w:rPr>
          <w:rFonts w:ascii="Times New Roman" w:cs="Times New Roman" w:eastAsia="Times New Roman" w:hAnsi="Times New Roman"/>
          <w:sz w:val="18"/>
          <w:szCs w:val="18"/>
          <w:i w:val="1"/>
          <w:iCs w:val="1"/>
          <w:color w:val="auto"/>
        </w:rPr>
        <w:t xml:space="preserve"> Annex I </w:t>
      </w:r>
      <w:r>
        <w:rPr>
          <w:rFonts w:ascii="Times New Roman" w:cs="Times New Roman" w:eastAsia="Times New Roman" w:hAnsi="Times New Roman"/>
          <w:sz w:val="18"/>
          <w:szCs w:val="18"/>
          <w:color w:val="auto"/>
        </w:rPr>
        <w:t>hereto.</w:t>
      </w:r>
    </w:p>
    <w:p>
      <w:pPr>
        <w:spacing w:after="0" w:line="80" w:lineRule="exact"/>
        <w:rPr>
          <w:rFonts w:ascii="Times New Roman" w:cs="Times New Roman" w:eastAsia="Times New Roman" w:hAnsi="Times New Roman"/>
          <w:sz w:val="18"/>
          <w:szCs w:val="18"/>
          <w:color w:val="auto"/>
        </w:rPr>
      </w:pPr>
    </w:p>
    <w:p>
      <w:pPr>
        <w:ind w:left="5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2021, at a meeting of Armada’s board of directors held to evaluate the proposed Business Combination, Northland Securities, Inc.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Opinion of Northland</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management and board of directors of Rezolve change in the Business Combination?</w:t>
      </w:r>
    </w:p>
    <w:p>
      <w:pPr>
        <w:spacing w:after="0" w:line="135" w:lineRule="exact"/>
        <w:rPr>
          <w:sz w:val="20"/>
          <w:szCs w:val="20"/>
          <w:color w:val="auto"/>
        </w:rPr>
      </w:pPr>
    </w:p>
    <w:p>
      <w:pPr>
        <w:ind w:left="540" w:right="140" w:hanging="424"/>
        <w:spacing w:after="0" w:line="258"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all of the executive officers of Rezolve will remain with the post-combination company. Upon completion of the Business Combination, Stephen Herbert and Douglas Lurio will be appointed as members of the board of the directors of the post-combination company; none of our other current directors will serve as directors of the post-combination company. The board of directors of the post-combination company will be comprised of Daniel Wagner, John Wagner, Anthony Sharp, Sir David Wright, Stephen Perry, Derek Smith, Douglas Lurio, and Stephen Herbert (provided that Daniel Wagner shall have the right to appoint an additional director to the Board from time to time).</w:t>
      </w:r>
    </w:p>
    <w:p>
      <w:pPr>
        <w:spacing w:after="0" w:line="328" w:lineRule="exact"/>
        <w:rPr>
          <w:sz w:val="20"/>
          <w:szCs w:val="20"/>
          <w:color w:val="auto"/>
        </w:rPr>
      </w:pPr>
    </w:p>
    <w:p>
      <w:pPr>
        <w:ind w:left="540" w:right="240" w:hanging="424"/>
        <w:spacing w:after="0" w:line="286" w:lineRule="auto"/>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Armada and the Rezolve equity holders hold in the post-combination company after the Closing?</w:t>
      </w:r>
    </w:p>
    <w:p>
      <w:pPr>
        <w:spacing w:after="0" w:line="64"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assuming minimum redemptions: (i) the Armada public stockholders will</w:t>
      </w:r>
    </w:p>
    <w:p>
      <w:pPr>
        <w:spacing w:after="0" w:line="27" w:lineRule="exact"/>
        <w:rPr>
          <w:sz w:val="20"/>
          <w:szCs w:val="20"/>
          <w:color w:val="auto"/>
        </w:rPr>
      </w:pPr>
    </w:p>
    <w:p>
      <w:pPr>
        <w:ind w:left="540"/>
        <w:spacing w:after="0" w:line="251" w:lineRule="auto"/>
        <w:rPr>
          <w:sz w:val="20"/>
          <w:szCs w:val="20"/>
          <w:color w:val="auto"/>
        </w:rPr>
      </w:pPr>
      <w:r>
        <w:rPr>
          <w:rFonts w:ascii="Times New Roman" w:cs="Times New Roman" w:eastAsia="Times New Roman" w:hAnsi="Times New Roman"/>
          <w:sz w:val="18"/>
          <w:szCs w:val="18"/>
          <w:color w:val="auto"/>
        </w:rPr>
        <w:t xml:space="preserve">have an ownership interest of approximately   % in Rezolve (not including shares beneficially owned by our Sponsor); (ii) our Sponsor will own approximately   % of Rezolve; and (iii) the existing Rezolve equity holders will own approximately   % of Rezolve with 75% of the voting power of Rezolve being held by Daniel Wagner as the “Rezolve Founder”. The ownership percentage with respect to Rezolve following the Business Combination does not take into account (i) warrants to purchase Rezolve Ordinary Shares that will remain outstanding immediately following the Business Combination; (ii) the conversion of any of the outstanding secured Convertible Notes into shares in Rezolve and (iii) the issuance of any shares upon or after completion of the Business Combination under the Rezolve Incentive Equity Plan, a copy of which is attached to this proxy statement/prospectus as </w:t>
      </w:r>
      <w:r>
        <w:rPr>
          <w:rFonts w:ascii="Times New Roman" w:cs="Times New Roman" w:eastAsia="Times New Roman" w:hAnsi="Times New Roman"/>
          <w:sz w:val="18"/>
          <w:szCs w:val="18"/>
          <w:i w:val="1"/>
          <w:iCs w:val="1"/>
          <w:color w:val="auto"/>
        </w:rPr>
        <w:t>Annex F</w:t>
      </w:r>
      <w:r>
        <w:rPr>
          <w:rFonts w:ascii="Times New Roman" w:cs="Times New Roman" w:eastAsia="Times New Roman" w:hAnsi="Times New Roman"/>
          <w:sz w:val="18"/>
          <w:szCs w:val="18"/>
          <w:color w:val="auto"/>
        </w:rPr>
        <w:t>. If the actual facts are different than these assumptions, the percentage ownership retained by Armada’s stockholders in the post-combination company will be different. For more information, please see the sections entitled “</w:t>
      </w:r>
      <w:r>
        <w:rPr>
          <w:rFonts w:ascii="Times New Roman" w:cs="Times New Roman" w:eastAsia="Times New Roman" w:hAnsi="Times New Roman"/>
          <w:sz w:val="18"/>
          <w:szCs w:val="18"/>
          <w:i w:val="1"/>
          <w:iCs w:val="1"/>
          <w:color w:val="auto"/>
        </w:rPr>
        <w:t>Unaudited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Condensed Combined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3 — The Incentive Equity Plan Proposal</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we obtain new financing in connection with the Business Combination?</w:t>
      </w:r>
    </w:p>
    <w:p>
      <w:pPr>
        <w:spacing w:after="0" w:line="135" w:lineRule="exact"/>
        <w:rPr>
          <w:sz w:val="20"/>
          <w:szCs w:val="20"/>
          <w:color w:val="auto"/>
        </w:rPr>
      </w:pPr>
    </w:p>
    <w:p>
      <w:pPr>
        <w:ind w:left="540" w:right="120" w:hanging="424"/>
        <w:spacing w:after="0" w:line="261"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execution of the Business Combination Agreement on December 17, 2021, Armada entered into certain subscription agreements with certain investors, pursuant to which such investors agreed to purchase ordinary shares of the public company resulting from the Business Combination to be issued substantially concurrently with the consummation of the Business Combination. The subscription agreements terminated once the transactions contemplated by the Business Combination Agreement were not consummated on or prior to August 31, 2022.</w:t>
      </w:r>
    </w:p>
    <w:p>
      <w:pPr>
        <w:spacing w:after="0" w:line="71"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“Standby Purchase Agreement”), pursuant to which, among other things, upon the closing of the Business Combination, Rezolve shall have the right to issue and sell to YA up to $250 million of the ordinary shares of Rezolve. For additional information, see “</w:t>
      </w:r>
      <w:r>
        <w:rPr>
          <w:rFonts w:ascii="Times New Roman" w:cs="Times New Roman" w:eastAsia="Times New Roman" w:hAnsi="Times New Roman"/>
          <w:sz w:val="18"/>
          <w:szCs w:val="18"/>
          <w:i w:val="1"/>
          <w:iCs w:val="1"/>
          <w:color w:val="auto"/>
        </w:rPr>
        <w:t>Rezolve’s Management’s Discussion and Analysis—Liquidity and Capital Resources—Yorkville Capital Commitment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right="2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Notwithstanding the financing available under the Standby Purchase Agreement, Armada or Rezolve may need to obtain additional financing to consummate the Business Combination, but there is no assurance that new financing will be available to us on commercially acceptable terms.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p>
    <w:p>
      <w:pPr>
        <w:spacing w:after="0" w:line="135" w:lineRule="exact"/>
        <w:rPr>
          <w:sz w:val="20"/>
          <w:szCs w:val="20"/>
          <w:color w:val="auto"/>
        </w:rPr>
      </w:pPr>
    </w:p>
    <w:p>
      <w:pPr>
        <w:ind w:left="540" w:right="100" w:hanging="424"/>
        <w:spacing w:after="0" w:line="261"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Business Combination Agreement, including the approval by the stockholders of Armada of the Business Combination Proposal, the Nasdaq Proposal, and the Incentive Equity Plan Proposal. For a summary of the conditions that must be satisfied or waived prior to completion of the Business Combination, please see the sections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The Business Combination Agreement</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right="360" w:hanging="424"/>
        <w:spacing w:after="0" w:line="286" w:lineRule="auto"/>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Armada will have sufficient funds, together with the proceeds in its Trust Account, to fund the aggregate purchase price?</w:t>
      </w:r>
    </w:p>
    <w:p>
      <w:pPr>
        <w:spacing w:after="0" w:line="64" w:lineRule="exact"/>
        <w:rPr>
          <w:sz w:val="20"/>
          <w:szCs w:val="20"/>
          <w:color w:val="auto"/>
        </w:rPr>
      </w:pPr>
    </w:p>
    <w:p>
      <w:pPr>
        <w:ind w:left="540" w:right="20" w:hanging="424"/>
        <w:spacing w:after="0" w:line="255"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will use the funds in the Trust Account to: (i) pay Company stockholders who properly exercise their redemption rights; and, provided that there are funds remaining after this payment and (ii) pay certain other fees, costs and expenses (including deferred underwriting commissions,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There are no assurances, however, that Armada or Rezolve will not require additional financing to consummate the Business Combination, or that such new financing will be available to on commercially acceptable terms, if at all.</w:t>
      </w:r>
    </w:p>
    <w:p>
      <w:pPr>
        <w:spacing w:after="0" w:line="333"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Nasdaq Proposal?</w:t>
      </w:r>
    </w:p>
    <w:p>
      <w:pPr>
        <w:spacing w:after="0" w:line="135" w:lineRule="exact"/>
        <w:rPr>
          <w:sz w:val="20"/>
          <w:szCs w:val="20"/>
          <w:color w:val="auto"/>
        </w:rPr>
      </w:pPr>
    </w:p>
    <w:p>
      <w:pPr>
        <w:ind w:left="540" w:right="66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Nasdaq Proposal in order to comply with Nasdaq Listing Rule 5635, which requires stockholder approval of certain transactions that result in a change of control of Armada.</w:t>
      </w:r>
    </w:p>
    <w:p>
      <w:pPr>
        <w:spacing w:after="0" w:line="53" w:lineRule="exact"/>
        <w:rPr>
          <w:rFonts w:ascii="Times New Roman" w:cs="Times New Roman" w:eastAsia="Times New Roman" w:hAnsi="Times New Roman"/>
          <w:sz w:val="18"/>
          <w:szCs w:val="18"/>
          <w:color w:val="auto"/>
        </w:rPr>
      </w:pPr>
    </w:p>
    <w:p>
      <w:pPr>
        <w:ind w:left="56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Rezolve expects, on a pro forma basis, to issue approximately 207,364,562 Rezolve Ordinary Shares (assuming Maximum Redemptions) in the Business Combination, subject to certain adjustments. Because the issuance of the Rezolve Ordinary Shares in the Business Combination results in a change of control of Armada, we are required to obtain stockholder approval of such issuance pursuant to Nasdaq Listing Rule 5635. For more information, please see the section entitled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Incentive Equity Plan Proposal?</w:t>
      </w:r>
    </w:p>
    <w:p>
      <w:pPr>
        <w:spacing w:after="0" w:line="135" w:lineRule="exact"/>
        <w:rPr>
          <w:sz w:val="20"/>
          <w:szCs w:val="20"/>
          <w:color w:val="auto"/>
        </w:rPr>
      </w:pPr>
    </w:p>
    <w:p>
      <w:pPr>
        <w:ind w:left="540" w:right="500" w:hanging="424"/>
        <w:spacing w:after="0" w:line="266"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Incentive Equity Plan Proposal is to further align the interests of the eligible participants with those of stockholders by providing long-term incentive compensation opportunities tied to the performance of Rezolve. Please see the section entitled “</w:t>
      </w:r>
      <w:r>
        <w:rPr>
          <w:rFonts w:ascii="Times New Roman" w:cs="Times New Roman" w:eastAsia="Times New Roman" w:hAnsi="Times New Roman"/>
          <w:sz w:val="18"/>
          <w:szCs w:val="18"/>
          <w:i w:val="1"/>
          <w:iCs w:val="1"/>
          <w:color w:val="auto"/>
        </w:rPr>
        <w:t>The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Plan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Charter Limitation Amendment Proposal?</w:t>
      </w:r>
    </w:p>
    <w:p>
      <w:pPr>
        <w:spacing w:after="0" w:line="135" w:lineRule="exact"/>
        <w:rPr>
          <w:sz w:val="20"/>
          <w:szCs w:val="20"/>
          <w:color w:val="auto"/>
        </w:rPr>
      </w:pPr>
    </w:p>
    <w:p>
      <w:pPr>
        <w:ind w:left="540" w:right="80" w:hanging="424"/>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Charter Limitation Amendment proposal Armada stockholders because, in the judgment of Armada’s board of the directors, the adoption of the proposed amendments to the Armada Charter, prior to the Closing is necessary to facilitate the Business Combination. Please see the section entitled “</w:t>
      </w:r>
      <w:r>
        <w:rPr>
          <w:rFonts w:ascii="Times New Roman" w:cs="Times New Roman" w:eastAsia="Times New Roman" w:hAnsi="Times New Roman"/>
          <w:sz w:val="18"/>
          <w:szCs w:val="18"/>
          <w:i w:val="1"/>
          <w:iCs w:val="1"/>
          <w:color w:val="auto"/>
        </w:rPr>
        <w:t>The Charter Limitation Amendment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Adjournment Proposal?</w:t>
      </w:r>
    </w:p>
    <w:p>
      <w:pPr>
        <w:spacing w:after="0" w:line="135" w:lineRule="exact"/>
        <w:rPr>
          <w:sz w:val="20"/>
          <w:szCs w:val="20"/>
          <w:color w:val="auto"/>
        </w:rPr>
      </w:pPr>
    </w:p>
    <w:p>
      <w:pPr>
        <w:ind w:left="540" w:hanging="424"/>
        <w:spacing w:after="0" w:line="258"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Proposal, the Incentive Equity Plan Proposal or the Charter Limitation Amendment Proposal, but no other proposal if the Business Combination Proposal, the Nasdaq Proposal, the Incentive Equity Plan Proposal and the Charter Limitation Amendment Proposal are approved. Please see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for additional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you sell your shares of Armada Common Stock before the Special Meeting?</w:t>
      </w:r>
    </w:p>
    <w:p>
      <w:pPr>
        <w:spacing w:after="0" w:line="135" w:lineRule="exact"/>
        <w:rPr>
          <w:sz w:val="20"/>
          <w:szCs w:val="20"/>
          <w:color w:val="auto"/>
        </w:rPr>
      </w:pPr>
    </w:p>
    <w:p>
      <w:pPr>
        <w:ind w:left="540" w:right="60" w:hanging="424"/>
        <w:spacing w:after="0" w:line="256"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date of the Special Meeting. If you transfer your shares of Armada Common Stock after the record date, but before the Special Meeting, unless the transferee obtains from you a proxy to vote those shares, you will retain your right to vote at the Special Meeting. However, you will not be able to seek redemption of your shares of Armada Common Stock because you will no longer be able to deliver them two business days prior to the Special Meeting. If you transfer your shares of Armada Common Stock prior to the record date, you will have no right to vote those shares at the Special Meeting or redeem those shares for a pro rata portion of the proceeds held in our Trust Account.</w:t>
      </w:r>
    </w:p>
    <w:p>
      <w:pPr>
        <w:spacing w:after="0" w:line="332"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35" w:lineRule="exact"/>
        <w:rPr>
          <w:sz w:val="20"/>
          <w:szCs w:val="20"/>
          <w:color w:val="auto"/>
        </w:rPr>
      </w:pPr>
    </w:p>
    <w:p>
      <w:pPr>
        <w:ind w:left="540" w:right="20" w:hanging="424"/>
        <w:spacing w:after="0" w:line="256"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voting power of all outstanding shares of the capital stock of Armada entitled to vote must be present in person or by proxy (which would include presence at the virtual Special Meeting) to constitute a quorum for the transaction of business at the Special Meeting. Abstentions will be counted as present for the purpose of determining a quorum. Our Sponsor, who currently owns approximately 74.95% of our issued and outstanding shares of Armada Common Stock, will count towards this quorum. In the absence of a quorum, the chairman of the Special Meeting has power to adjourn the Special Meeting. As of the record date for the Special Meeting, 3,563,595 shares of Armada Common Stock (including the Founder Shares) would be required to achieve a quorum.</w:t>
      </w:r>
    </w:p>
    <w:p>
      <w:pPr>
        <w:spacing w:after="0" w:line="332"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1" w:lineRule="exact"/>
        <w:rPr>
          <w:sz w:val="20"/>
          <w:szCs w:val="20"/>
          <w:color w:val="auto"/>
        </w:rPr>
      </w:pPr>
    </w:p>
    <w:p>
      <w:pPr>
        <w:ind w:left="540" w:hanging="424"/>
        <w:spacing w:after="0" w:line="257"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Business Combination Proposal: </w:t>
      </w:r>
      <w:r>
        <w:rPr>
          <w:rFonts w:ascii="Times New Roman" w:cs="Times New Roman" w:eastAsia="Times New Roman" w:hAnsi="Times New Roman"/>
          <w:sz w:val="18"/>
          <w:szCs w:val="18"/>
          <w:color w:val="auto"/>
        </w:rPr>
        <w:t>The approval of the Business Combination Proposal requires the affirmative vote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votes cast by the stockholders present in person or represented by proxy and entitled to vote at the Special Meeting. Accordingly, an Armada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Sponsor has agreed to vote their shares of Armada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w:t>
      </w:r>
    </w:p>
    <w:p>
      <w:pPr>
        <w:spacing w:after="0" w:line="74" w:lineRule="exact"/>
        <w:rPr>
          <w:rFonts w:ascii="Times New Roman" w:cs="Times New Roman" w:eastAsia="Times New Roman" w:hAnsi="Times New Roman"/>
          <w:sz w:val="18"/>
          <w:szCs w:val="18"/>
          <w:color w:val="auto"/>
        </w:rPr>
      </w:pPr>
    </w:p>
    <w:p>
      <w:pPr>
        <w:ind w:left="560"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Nasdaq Proposal: </w:t>
      </w:r>
      <w:r>
        <w:rPr>
          <w:rFonts w:ascii="Times New Roman" w:cs="Times New Roman" w:eastAsia="Times New Roman" w:hAnsi="Times New Roman"/>
          <w:sz w:val="18"/>
          <w:szCs w:val="18"/>
          <w:color w:val="auto"/>
        </w:rPr>
        <w:t>The approval of the Nasdaq Proposal requires the affirmative vote of a majority of the votes cast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present in person or represented by proxy and entitled to vote at the Special Meeting. Accordingly, under Delaware law, an Armada stockholder’s failure to vote, as well as an abstention and broker non-vote, will have no effect on the Nasdaq Proposal. Abstentions will be counted in connection with the determination of whether a valid quorum is established but will have no effect on the Nasdaq Proposal.</w:t>
      </w:r>
    </w:p>
    <w:p>
      <w:pPr>
        <w:spacing w:after="0" w:line="68" w:lineRule="exact"/>
        <w:rPr>
          <w:rFonts w:ascii="Times New Roman" w:cs="Times New Roman" w:eastAsia="Times New Roman" w:hAnsi="Times New Roman"/>
          <w:sz w:val="18"/>
          <w:szCs w:val="18"/>
          <w:color w:val="auto"/>
        </w:rPr>
      </w:pPr>
    </w:p>
    <w:p>
      <w:pPr>
        <w:ind w:left="56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Incentive Equity Plan Proposal: </w:t>
      </w:r>
      <w:r>
        <w:rPr>
          <w:rFonts w:ascii="Times New Roman" w:cs="Times New Roman" w:eastAsia="Times New Roman" w:hAnsi="Times New Roman"/>
          <w:sz w:val="18"/>
          <w:szCs w:val="18"/>
          <w:color w:val="auto"/>
        </w:rPr>
        <w:t>The Incentive Equity Plan Proposal requires the affirmative vote of a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cast by the stockholders present in person or represented by proxy and entitled to vote at the Special Meeting. Accordingly, under Delaware law, an Armada stockholder’s failure to vote by proxy, as well as an abstention and broker non-vote, will have no effect on the Incentive Equity Plan Proposal.</w:t>
      </w:r>
    </w:p>
    <w:p>
      <w:pPr>
        <w:spacing w:after="0" w:line="68" w:lineRule="exact"/>
        <w:rPr>
          <w:rFonts w:ascii="Times New Roman" w:cs="Times New Roman" w:eastAsia="Times New Roman" w:hAnsi="Times New Roman"/>
          <w:sz w:val="18"/>
          <w:szCs w:val="18"/>
          <w:color w:val="auto"/>
        </w:rPr>
      </w:pPr>
    </w:p>
    <w:p>
      <w:pPr>
        <w:ind w:left="560" w:right="1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Charter Limitation Amendment Proposal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Charter Limitation Amendment Proposal requires the affirmative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majority of the votes cast by the stockholders present in person or represented by proxy and entitled to vote at the Special Meeting. Accordingly, under Delaware law, an Armada stockholder’s failure to vote by proxy, as well as an abstention and broker non-vote, will have no effect on the Charter Limitation Amendment Proposal.</w:t>
      </w:r>
    </w:p>
    <w:p>
      <w:pPr>
        <w:spacing w:after="0" w:line="68" w:lineRule="exact"/>
        <w:rPr>
          <w:rFonts w:ascii="Times New Roman" w:cs="Times New Roman" w:eastAsia="Times New Roman" w:hAnsi="Times New Roman"/>
          <w:sz w:val="18"/>
          <w:szCs w:val="18"/>
          <w:color w:val="auto"/>
        </w:rPr>
      </w:pPr>
    </w:p>
    <w:p>
      <w:pPr>
        <w:ind w:left="560" w:right="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Adjournment Proposal: </w:t>
      </w:r>
      <w:r>
        <w:rPr>
          <w:rFonts w:ascii="Times New Roman" w:cs="Times New Roman" w:eastAsia="Times New Roman" w:hAnsi="Times New Roman"/>
          <w:sz w:val="18"/>
          <w:szCs w:val="18"/>
          <w:color w:val="auto"/>
        </w:rPr>
        <w:t>The approval of the Adjournment Proposal requires the affirmative vote of a majority of the votes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right="920" w:hanging="424"/>
        <w:spacing w:after="0" w:line="286" w:lineRule="auto"/>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Armada, the Sponsor or Armada’s directors or officers or their affiliates purchase shares in connection with the Business Combination?</w:t>
      </w:r>
    </w:p>
    <w:p>
      <w:pPr>
        <w:spacing w:after="0" w:line="64" w:lineRule="exact"/>
        <w:rPr>
          <w:sz w:val="20"/>
          <w:szCs w:val="20"/>
          <w:color w:val="auto"/>
        </w:rPr>
      </w:pPr>
    </w:p>
    <w:p>
      <w:pPr>
        <w:ind w:left="540" w:right="60" w:hanging="424"/>
        <w:spacing w:after="0" w:line="253"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 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 share pro rata portion of the Trust Account.</w:t>
      </w:r>
    </w:p>
    <w:p>
      <w:pPr>
        <w:spacing w:after="0" w:line="336"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you have at the Special Meeting?</w:t>
      </w:r>
    </w:p>
    <w:p>
      <w:pPr>
        <w:spacing w:after="0" w:line="135"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is entitled to one vote on each proposal presented at the Special Meeting for each share of Armada Common Stock held of record</w:t>
      </w:r>
    </w:p>
    <w:p>
      <w:pPr>
        <w:spacing w:after="0" w:line="27" w:lineRule="exact"/>
        <w:rPr>
          <w:sz w:val="20"/>
          <w:szCs w:val="20"/>
          <w:color w:val="auto"/>
        </w:rPr>
      </w:pPr>
    </w:p>
    <w:p>
      <w:pPr>
        <w:ind w:left="540" w:right="460"/>
        <w:spacing w:after="0" w:line="260" w:lineRule="auto"/>
        <w:rPr>
          <w:sz w:val="20"/>
          <w:szCs w:val="20"/>
          <w:color w:val="auto"/>
        </w:rPr>
      </w:pPr>
      <w:r>
        <w:rPr>
          <w:rFonts w:ascii="Times New Roman" w:cs="Times New Roman" w:eastAsia="Times New Roman" w:hAnsi="Times New Roman"/>
          <w:sz w:val="18"/>
          <w:szCs w:val="18"/>
          <w:color w:val="auto"/>
        </w:rPr>
        <w:t>by such stockholder as of         , 2024, the record date for the Special Meeting. As of the close of business on the record date, there were 7,127,187 outstanding shares of our Armada Common Stock and founder shares entitled to vote at the Special Meeting.</w:t>
      </w:r>
    </w:p>
    <w:p>
      <w:pPr>
        <w:spacing w:after="0" w:line="326"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our Sponsor, directors and officers vote?</w:t>
      </w:r>
    </w:p>
    <w:p>
      <w:pPr>
        <w:spacing w:after="0" w:line="135" w:lineRule="exact"/>
        <w:rPr>
          <w:sz w:val="20"/>
          <w:szCs w:val="20"/>
          <w:color w:val="auto"/>
        </w:rPr>
      </w:pPr>
    </w:p>
    <w:p>
      <w:pPr>
        <w:ind w:left="540" w:right="420" w:hanging="424"/>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IPO, we entered into agreements with our Sponsor, pursuant to which the Sponsor agreed to vote any shares of Armada Common Stock owned by it in favor of the Business Combination Proposal. Currently, our Sponsor owns approximately 74.95% of our issued and outstanding shares of Armada Common Stock and will be able to vote all such shares at the Special Meeting.</w:t>
      </w:r>
    </w:p>
    <w:p>
      <w:pPr>
        <w:spacing w:after="0" w:line="320"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A:</w:t>
        <w:tab/>
        <w:t>If you were a stockholder of record at the close of business on             , 2024, you may vote by granting a proxy. Specifically, you may vote:</w:t>
      </w:r>
    </w:p>
    <w:p>
      <w:pPr>
        <w:spacing w:after="0" w:line="129"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 You may vote by mail by completing, signing, dating and returning the enclosed proxy card in the postage-paid envelope</w:t>
      </w:r>
    </w:p>
    <w:p>
      <w:pPr>
        <w:spacing w:after="0" w:line="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b w:val="1"/>
          <w:bCs w:val="1"/>
          <w:color w:val="auto"/>
        </w:rPr>
        <w:t>Votes submitted by mail must be received by 11:59 p.m. Eastern time on             , 2024.</w:t>
      </w:r>
    </w:p>
    <w:p>
      <w:pPr>
        <w:spacing w:after="0" w:line="112" w:lineRule="exact"/>
        <w:rPr>
          <w:sz w:val="20"/>
          <w:szCs w:val="20"/>
          <w:color w:val="auto"/>
        </w:rPr>
      </w:pPr>
    </w:p>
    <w:p>
      <w:pPr>
        <w:ind w:left="1540" w:right="240" w:hanging="331"/>
        <w:spacing w:after="0" w:line="282"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you to sign and return the proxy card even if you plan to attend the Special Meeting so that your shares will be voted if you are unable to attend the Special Meeting.</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proxy card, it is an indication that your shares are held in multiple accounts. Please sign and return all proxy cards to ensure that all of your shares are voted.</w:t>
      </w:r>
    </w:p>
    <w:p>
      <w:pPr>
        <w:spacing w:after="0" w:line="65" w:lineRule="exact"/>
        <w:rPr>
          <w:rFonts w:ascii="Times New Roman" w:cs="Times New Roman" w:eastAsia="Times New Roman" w:hAnsi="Times New Roman"/>
          <w:sz w:val="18"/>
          <w:szCs w:val="18"/>
          <w:color w:val="auto"/>
        </w:rPr>
      </w:pPr>
    </w:p>
    <w:p>
      <w:pPr>
        <w:jc w:val="both"/>
        <w:ind w:left="1080" w:right="420" w:hanging="424"/>
        <w:spacing w:after="0" w:line="267"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at the Special Meeting </w:t>
      </w:r>
      <w:r>
        <w:rPr>
          <w:rFonts w:ascii="Times New Roman" w:cs="Times New Roman" w:eastAsia="Times New Roman" w:hAnsi="Times New Roman"/>
          <w:sz w:val="18"/>
          <w:szCs w:val="18"/>
          <w:color w:val="auto"/>
        </w:rPr>
        <w:t>— We will be hosting the Special Meeting via live webcast. If you attend the Special Meeting, 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submit your vote at the Special Meeting online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in which case any votes that you previously submitted will be superseded by the vote that you cast at the Special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320"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31" w:lineRule="exact"/>
        <w:rPr>
          <w:sz w:val="20"/>
          <w:szCs w:val="20"/>
          <w:color w:val="auto"/>
        </w:rPr>
      </w:pPr>
    </w:p>
    <w:p>
      <w:pPr>
        <w:ind w:left="540" w:hanging="424"/>
        <w:spacing w:after="0" w:line="268"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we will count a properly executed proxy marked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a particular proposal as present for purposes of determining whether a quorum is present. For purposes of approval, a broker non-vote, or an abstention will have no effect on the Business Combination Proposal, the Nasdaq Proposal, the Incentive Equity Plan Proposal, and the Adjournment Proposal.</w:t>
      </w:r>
    </w:p>
    <w:p>
      <w:pPr>
        <w:spacing w:after="0" w:line="319"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31" w:lineRule="exact"/>
        <w:rPr>
          <w:sz w:val="20"/>
          <w:szCs w:val="20"/>
          <w:color w:val="auto"/>
        </w:rPr>
      </w:pPr>
    </w:p>
    <w:p>
      <w:pPr>
        <w:jc w:val="both"/>
        <w:ind w:left="540" w:right="280" w:hanging="424"/>
        <w:spacing w:after="0" w:line="268"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us without an indication of how the stockholder intends to vote on a proposal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 presented to the stockholders. The proxyholders may use their discretion to vote on any other matters which properly come before the Special Meeting.</w:t>
      </w:r>
    </w:p>
    <w:p>
      <w:pPr>
        <w:spacing w:after="0" w:line="319"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35" w:lineRule="exact"/>
        <w:rPr>
          <w:sz w:val="20"/>
          <w:szCs w:val="20"/>
          <w:color w:val="auto"/>
        </w:rPr>
      </w:pPr>
    </w:p>
    <w:p>
      <w:pPr>
        <w:ind w:left="540" w:right="160" w:hanging="424"/>
        <w:spacing w:after="0" w:line="25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the enclosed proxy statement/prospectus carefully. If you are a stockholder of record of Armada Common Stock as of the close of business on the record date, you can vote by proxy by mail by following the instructions provided in the enclosed proxy card. Please note that if you are a beneficial owner of Armada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332"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135" w:lineRule="exact"/>
        <w:rPr>
          <w:sz w:val="20"/>
          <w:szCs w:val="20"/>
          <w:color w:val="auto"/>
        </w:rPr>
      </w:pPr>
    </w:p>
    <w:p>
      <w:pPr>
        <w:ind w:left="540" w:right="20" w:hanging="424"/>
        <w:spacing w:after="0" w:line="258"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Armada’s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328"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hanging="424"/>
        <w:spacing w:after="0" w:line="254"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this Special Meeting will be considered non-routine and, therefore, your broker, bank, or nominee </w:t>
      </w:r>
      <w:r>
        <w:rPr>
          <w:rFonts w:ascii="Times New Roman" w:cs="Times New Roman" w:eastAsia="Times New Roman" w:hAnsi="Times New Roman"/>
          <w:sz w:val="18"/>
          <w:szCs w:val="18"/>
          <w:b w:val="1"/>
          <w:bCs w:val="1"/>
          <w:u w:val="single" w:color="auto"/>
          <w:color w:val="auto"/>
        </w:rPr>
        <w:t>cannot vote your shares without your instruction</w:t>
      </w:r>
      <w:r>
        <w:rPr>
          <w:rFonts w:ascii="Times New Roman" w:cs="Times New Roman" w:eastAsia="Times New Roman" w:hAnsi="Times New Roman"/>
          <w:sz w:val="18"/>
          <w:szCs w:val="18"/>
          <w:color w:val="auto"/>
        </w:rPr>
        <w:t xml:space="preserve"> on any of the proposals presented at the Special Meeting. If you do not submit voting instructions,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333"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a broker non-vote impact the results of each proposal?</w:t>
      </w:r>
    </w:p>
    <w:p>
      <w:pPr>
        <w:spacing w:after="0" w:line="135" w:lineRule="exact"/>
        <w:rPr>
          <w:sz w:val="20"/>
          <w:szCs w:val="20"/>
          <w:color w:val="auto"/>
        </w:rPr>
      </w:pPr>
    </w:p>
    <w:p>
      <w:pPr>
        <w:ind w:left="5540" w:right="5140" w:hanging="5424"/>
        <w:spacing w:after="0" w:line="367" w:lineRule="auto"/>
        <w:tabs>
          <w:tab w:leader="none" w:pos="55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 non-votes will not have any effect on the outcome of any Proposals. 24</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returned my signed proxy card or voting instruction form?</w:t>
      </w:r>
    </w:p>
    <w:p>
      <w:pPr>
        <w:spacing w:after="0" w:line="135" w:lineRule="exact"/>
        <w:rPr>
          <w:sz w:val="20"/>
          <w:szCs w:val="20"/>
          <w:color w:val="auto"/>
        </w:rPr>
      </w:pPr>
    </w:p>
    <w:p>
      <w:pPr>
        <w:ind w:left="540" w:right="60" w:hanging="424"/>
        <w:spacing w:after="0" w:line="282"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holder of record of Armada Common Stock as of the close of business on the record date, whether you vote by mail or in person, you can change or revoke your proxy before it is voted at the Special Meeting by:</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signed written notice of revocation to our Secretary at Armada Acquisition Corp. I, 2005 Market Street, Suite 3120, Philadelphia, Pennsylvania 19103, bearing a date later than the date of the proxy, stating that the proxy is revoked;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proxy, relating to the same shares and bearing a later date;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although attendance at the Special Meeting will not, by itself, revoke a proxy.</w:t>
      </w:r>
    </w:p>
    <w:p>
      <w:pPr>
        <w:spacing w:after="0" w:line="117"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Armada Common Stock as of the close of business on the record date, you must follow the instructions of your broker, bank, or other nominee to revoke or change your voting instructions.</w:t>
      </w:r>
    </w:p>
    <w:p>
      <w:pPr>
        <w:spacing w:after="0" w:line="306"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28"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our Sponsor and our current officers and directors have in the Business Combination?</w:t>
      </w:r>
    </w:p>
    <w:p>
      <w:pPr>
        <w:spacing w:after="0" w:line="135" w:lineRule="exact"/>
        <w:rPr>
          <w:sz w:val="20"/>
          <w:szCs w:val="20"/>
          <w:color w:val="auto"/>
        </w:rPr>
      </w:pPr>
    </w:p>
    <w:p>
      <w:pPr>
        <w:ind w:left="540" w:right="200" w:hanging="424"/>
        <w:spacing w:after="0" w:line="281"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These interests include, among other things:</w:t>
      </w:r>
    </w:p>
    <w:p>
      <w:pPr>
        <w:spacing w:after="0" w:line="7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and directors have agreed not to redeem any of the Founder Shares in connection with a stockholder vote to approve the Business Combination, as provided in the Armada Letter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$56,392,875 and $2,367,750, respectively, based upon the closing price of $11.55 per public share on the Nasdaq on June 10,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had to consummate a business combination,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 Shares to the Non-Redeeming Stockholders, which shares will be transferred to</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the Non-Redeeming Stockholders at Closing,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a subscription agreement (the “Polar Subscription Agreement”) with Polar Multi-Strategy Master Fund (“Polar”), an unaffiliated third party of the 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01" w:lineRule="exact"/>
        <w:rPr>
          <w:sz w:val="20"/>
          <w:szCs w:val="20"/>
          <w:color w:val="auto"/>
        </w:rPr>
      </w:pPr>
    </w:p>
    <w:p>
      <w:pPr>
        <w:jc w:val="both"/>
        <w:ind w:left="1080" w:right="20" w:hanging="424"/>
        <w:spacing w:after="0" w:line="261"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 The Founder Shares will likely be worthless if Armada does not complete a business combination by the applicable deadline.</w:t>
      </w:r>
    </w:p>
    <w:p>
      <w:pPr>
        <w:spacing w:after="0" w:line="162"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w:t>
      </w:r>
    </w:p>
    <w:p>
      <w:pPr>
        <w:spacing w:after="0" w:line="1" w:lineRule="exact"/>
        <w:rPr>
          <w:sz w:val="20"/>
          <w:szCs w:val="20"/>
          <w:color w:val="auto"/>
        </w:rPr>
      </w:pPr>
    </w:p>
    <w:p>
      <w:pPr>
        <w:ind w:left="120" w:hanging="4"/>
        <w:spacing w:after="0" w:line="253" w:lineRule="auto"/>
        <w:tabs>
          <w:tab w:leader="none" w:pos="36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7"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320"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you vote against the Business Combination Proposal?</w:t>
      </w:r>
    </w:p>
    <w:p>
      <w:pPr>
        <w:spacing w:after="0" w:line="135" w:lineRule="exact"/>
        <w:rPr>
          <w:sz w:val="20"/>
          <w:szCs w:val="20"/>
          <w:color w:val="auto"/>
        </w:rPr>
      </w:pPr>
    </w:p>
    <w:p>
      <w:pPr>
        <w:ind w:left="540" w:right="220" w:hanging="424"/>
        <w:spacing w:after="0" w:line="266"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but the Business Combination Proposal still obtains the affirmative vote of a majority of the votes cast by holders of Armada Common Stock represented in person or by proxy and entitled to vote at the Special Meeting, then the Business Combination Proposal will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320"/>
        <w:spacing w:after="0" w:line="282" w:lineRule="auto"/>
        <w:rPr>
          <w:sz w:val="20"/>
          <w:szCs w:val="20"/>
          <w:color w:val="auto"/>
        </w:rPr>
      </w:pPr>
      <w:r>
        <w:rPr>
          <w:rFonts w:ascii="Times New Roman" w:cs="Times New Roman" w:eastAsia="Times New Roman" w:hAnsi="Times New Roman"/>
          <w:sz w:val="18"/>
          <w:szCs w:val="18"/>
          <w:color w:val="auto"/>
        </w:rPr>
        <w:t>be approved and, assuming the approval of the Nasdaq Proposal, the Incentive Equity Plan Proposal and the satisfaction or waiver of the other conditions to closing, the Business Combination will be consummated in accordance with the terms of the Business Combination Agreement.</w:t>
      </w:r>
    </w:p>
    <w:p>
      <w:pPr>
        <w:spacing w:after="0" w:line="5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If you vote against the Business Combination Proposal and the Business Combination Proposal does not obtain the affirmative vote of a majority of the votes cast by holders of Armada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w:t>
      </w:r>
    </w:p>
    <w:p>
      <w:pPr>
        <w:spacing w:after="0" w:line="332"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have Redemption Rights?</w:t>
      </w:r>
    </w:p>
    <w:p>
      <w:pPr>
        <w:spacing w:after="0" w:line="135" w:lineRule="exact"/>
        <w:rPr>
          <w:sz w:val="20"/>
          <w:szCs w:val="20"/>
          <w:color w:val="auto"/>
        </w:rPr>
      </w:pPr>
    </w:p>
    <w:p>
      <w:pPr>
        <w:ind w:left="540" w:hanging="424"/>
        <w:spacing w:after="0" w:line="253"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our amended and restated certificate of incorporation, we are providing our public stockholders with the opportunity to redeem, upon the Closing, shares of Armada Common Stock for cash equal to the pro rata share of the aggregate amount on deposit (as of two business days prior to the Closing) in the Trust Account that holds the proceeds of our IPO (including interest not previously released to Armada to pay franchise and income taxes), subject to certain limitations. For illustrative purposes, based on the approximate balance of the Trust Account of approximately $16,028,736 as of June 10, 2024, the estimated per share redemption price would have been approximately $11.31.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may elect to redeem their shares even if they vote for the Business Combination</w:t>
      </w:r>
      <w:r>
        <w:rPr>
          <w:rFonts w:ascii="Times New Roman" w:cs="Times New Roman" w:eastAsia="Times New Roman" w:hAnsi="Times New Roman"/>
          <w:sz w:val="18"/>
          <w:szCs w:val="18"/>
          <w:color w:val="auto"/>
        </w:rPr>
        <w:t>. Any request to redeem public shares, once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w:t>
      </w:r>
    </w:p>
    <w:p>
      <w:pPr>
        <w:spacing w:after="0" w:line="81"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agreed to waive its redemption rights with respect to its shares, which will be excluded from the pro rata calculation used to determine the per-share redemption price. Each redemption of shares of Armada Common Stock by our public stockholders will reduce the amount in the Trust Account. The Armada Charter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Holders of our outstanding public warrants do not have redemption rights in connection with the Business Combination. Unless otherwise specified, the information in the accompanying proxy statement/prospectus assumes that none of our public stockholders exercise their redemption rights with respect to their shares of Armada Common Stock by the applicable deadline.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If you elect not to redeem your shares of Armada Common Stock you will become a stockholder of Rezolve following the Closing. If you elect to redeem your shares of Armada Common stock, such exercise will not result in the loss of any Armada Warrants that you may hold. The following table illustrates varying ownership levels, potential sources of dilution that may occur following the consummation of the Business Combination and, for each scenario, the book value per share of Rezolve, on a pro forma basis as of December 31, 2023, assuming minimum redemptions by Armada’s public stockholders, 50% of the maximum redemptions by Armada’s public stockholders, and maximum redemptions by Armada’s public stockholders: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amounts per</w:t>
            </w:r>
          </w:p>
        </w:tc>
        <w:tc>
          <w:tcPr>
            <w:tcW w:w="100" w:type="dxa"/>
            <w:vAlign w:val="bottom"/>
          </w:tcPr>
          <w:p>
            <w:pPr>
              <w:spacing w:after="0"/>
              <w:rPr>
                <w:sz w:val="13"/>
                <w:szCs w:val="13"/>
                <w:color w:val="auto"/>
              </w:rPr>
            </w:pPr>
          </w:p>
        </w:tc>
        <w:tc>
          <w:tcPr>
            <w:tcW w:w="19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Minimum Redemption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Scenario</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 Scenario</w:t>
            </w: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amounts and percentages</w:t>
            </w: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62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Shareholders</w:t>
            </w:r>
          </w:p>
        </w:tc>
        <w:tc>
          <w:tcPr>
            <w:tcW w:w="49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170,435,916</w:t>
            </w:r>
          </w:p>
        </w:tc>
        <w:tc>
          <w:tcPr>
            <w:tcW w:w="22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95.99%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170,435,916</w:t>
            </w:r>
          </w:p>
        </w:tc>
        <w:tc>
          <w:tcPr>
            <w:tcW w:w="3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96.76%</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Armada Stockholders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1,417,687</w:t>
            </w:r>
          </w:p>
        </w:tc>
        <w:tc>
          <w:tcPr>
            <w:tcW w:w="2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Non-redeeming and Polar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1,755,557</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1,755,557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Founder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3,953,943</w:t>
            </w:r>
          </w:p>
        </w:tc>
        <w:tc>
          <w:tcPr>
            <w:tcW w:w="2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3,953,943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 Rezolve Ordinary Shares Outstanding</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177,563,103</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176,145,416</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Rezolve Book Value of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(37,674,138)</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(53,383,851)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Rezolve Book Value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hanging="4"/>
        <w:spacing w:after="0" w:line="218" w:lineRule="auto"/>
        <w:tabs>
          <w:tab w:leader="none" w:pos="322" w:val="left"/>
        </w:tabs>
        <w:numPr>
          <w:ilvl w:val="0"/>
          <w:numId w:val="9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Assumes 713,057 Founder Shares are allocated to the Non-Redeeming Stockholders by the Sponsor pursuant to the Non-Redemption Agreements and 880,000 Founder Shares are allocated to Polar pursuant to the Polar Subscription Agreement.</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Potential sources of dilution</w:t>
            </w: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 Combined</w:t>
            </w:r>
          </w:p>
        </w:tc>
      </w:tr>
      <w:tr>
        <w:trPr>
          <w:trHeight w:val="148"/>
        </w:trPr>
        <w:tc>
          <w:tcPr>
            <w:tcW w:w="1720" w:type="dxa"/>
            <w:vAlign w:val="bottom"/>
            <w:tcBorders>
              <w:top w:val="single" w:sz="8" w:color="auto"/>
            </w:tcBorders>
          </w:tcPr>
          <w:p>
            <w:pPr>
              <w:spacing w:after="0"/>
              <w:rPr>
                <w:sz w:val="12"/>
                <w:szCs w:val="12"/>
                <w:color w:val="auto"/>
              </w:rPr>
            </w:pPr>
          </w:p>
        </w:tc>
        <w:tc>
          <w:tcPr>
            <w:tcW w:w="584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redemptions</w:t>
            </w:r>
          </w:p>
        </w:tc>
        <w:tc>
          <w:tcPr>
            <w:tcW w:w="320" w:type="dxa"/>
            <w:vAlign w:val="bottom"/>
          </w:tcPr>
          <w:p>
            <w:pPr>
              <w:spacing w:after="0"/>
              <w:rPr>
                <w:sz w:val="12"/>
                <w:szCs w:val="12"/>
                <w:color w:val="auto"/>
              </w:rPr>
            </w:pPr>
          </w:p>
        </w:tc>
        <w:tc>
          <w:tcPr>
            <w:tcW w:w="1480" w:type="dxa"/>
            <w:vAlign w:val="bottom"/>
            <w:tcBorders>
              <w:top w:val="single" w:sz="8" w:color="auto"/>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redemptions</w:t>
            </w:r>
          </w:p>
        </w:tc>
        <w:tc>
          <w:tcPr>
            <w:tcW w:w="2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Armada Warrants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Public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7,500,000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subscription agreements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10,783,484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10,783,484</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9,814,940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9,814,940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and warrants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10,620,722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10,620,722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pro forma Rezolve Ordinary Shares Outstanding</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216,282,249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214,864,562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Book Value Impacts from Sources of Dilution: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w:t>
            </w:r>
          </w:p>
        </w:tc>
      </w:tr>
      <w:tr>
        <w:trPr>
          <w:trHeight w:val="210"/>
        </w:trPr>
        <w:tc>
          <w:tcPr>
            <w:tcW w:w="54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Armada Warrants </w:t>
            </w:r>
            <w:r>
              <w:rPr>
                <w:rFonts w:ascii="Times New Roman" w:cs="Times New Roman" w:eastAsia="Times New Roman" w:hAnsi="Times New Roman"/>
                <w:sz w:val="24"/>
                <w:szCs w:val="24"/>
                <w:color w:val="auto"/>
                <w:vertAlign w:val="superscript"/>
              </w:rPr>
              <w:t>(2)</w:t>
            </w: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86,250,000</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$ 11.50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86,250,000</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$ 11.50</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Adjusted Pro Forma Rezolve Book Value</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of Equity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48,575,862</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32,866,149</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 Forma Rezolve Book Value per Share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0.22</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left="540" w:right="80" w:hanging="424"/>
        <w:spacing w:after="0" w:line="257"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illustrate the potential dilutive impacts to non-redeeming shareholders of Armada, the percentage dilution is calculated as the number of shares issued upon exercise of the dilutive instrument divided by the sum of (i) the pro forma Rezolve Ordinary Shares outstanding and (ii) the shares issued upon exercise of the dilutive instruments.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reflect receipt of the exercise price of $11.50 per share, consistent with the Armada Warrant Agreement.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The public warrants would have an aggregate market value of approximately $900,000 based upon the closing price of $0.12 per warrant on the Nasdaq on June 10, 2024. The shares of Armada Common Stock issuable upon exercise of the public warrants would have an aggregate market value of approximately $86,625,000 based upon the closing price of $11.55 per share of Armada Common Stock on the Nasdaq on June 10, 2024. Once the warrants become exercisable, though, Rezolve may redeem the outstanding warrants. For a discussion of the terms of redemption for the warrants, see “</w:t>
      </w:r>
      <w:r>
        <w:rPr>
          <w:rFonts w:ascii="Times New Roman" w:cs="Times New Roman" w:eastAsia="Times New Roman" w:hAnsi="Times New Roman"/>
          <w:sz w:val="18"/>
          <w:szCs w:val="18"/>
          <w:i w:val="1"/>
          <w:iCs w:val="1"/>
          <w:color w:val="auto"/>
        </w:rPr>
        <w:t>Description of Securities — Warrants — Redemption of Warrants — Redemption of Warrants for Armada Common Stock</w:t>
      </w:r>
      <w:r>
        <w:rPr>
          <w:rFonts w:ascii="Times New Roman" w:cs="Times New Roman" w:eastAsia="Times New Roman" w:hAnsi="Times New Roman"/>
          <w:sz w:val="18"/>
          <w:szCs w:val="18"/>
          <w:color w:val="auto"/>
        </w:rPr>
        <w:t>.” and “— Risks Relating to Armada and the Business Combination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Notwithstanding the number of redemptions, the deferred underwriting commissions of $1,500,000 in connection with the Armada’s initial public offering will remain constant and be released to the underwriters only on completion of the Business Combination.</w:t>
      </w:r>
    </w:p>
    <w:p>
      <w:pPr>
        <w:spacing w:after="0" w:line="306"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are a Company public warrant holder, can you exercise Redemption Rights with respect to your public warrants?</w:t>
      </w:r>
    </w:p>
    <w:p>
      <w:pPr>
        <w:spacing w:after="0" w:line="135"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holders of our public warrants have no Redemption Rights with respect to such public warrants.</w:t>
      </w:r>
    </w:p>
    <w:p>
      <w:pPr>
        <w:spacing w:after="0" w:line="370"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Sponsor redeem its Founder Shares in connection with consummation of the Business Combination?</w:t>
      </w:r>
    </w:p>
    <w:p>
      <w:pPr>
        <w:spacing w:after="0" w:line="135" w:lineRule="exact"/>
        <w:rPr>
          <w:sz w:val="20"/>
          <w:szCs w:val="20"/>
          <w:color w:val="auto"/>
        </w:rPr>
      </w:pPr>
    </w:p>
    <w:p>
      <w:pPr>
        <w:ind w:left="540" w:right="280" w:hanging="424"/>
        <w:spacing w:after="0" w:line="282"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Our Sponsor, officers and directors have agreed to waive their redemption rights with respect to their shares of Armada Common Stock, as described in the Armada Letter Agreement in connection with the consummation of the Business Combination.</w:t>
      </w:r>
    </w:p>
    <w:p>
      <w:pPr>
        <w:spacing w:after="0" w:line="306"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number of shares you may redeem?</w:t>
      </w:r>
    </w:p>
    <w:p>
      <w:pPr>
        <w:spacing w:after="0" w:line="135" w:lineRule="exact"/>
        <w:rPr>
          <w:sz w:val="20"/>
          <w:szCs w:val="20"/>
          <w:color w:val="auto"/>
        </w:rPr>
      </w:pPr>
    </w:p>
    <w:p>
      <w:pPr>
        <w:ind w:left="540" w:right="60" w:hanging="424"/>
        <w:spacing w:after="0" w:line="258"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specified maximum redemption threshold under our current amended and restated certificate of incorporation. Each redemption of shares of Armada Common Stock by our public stockholders will reduce the amount in the Trust Account. In the event we redeem shares of Armada Common Stock in an amount that would result in Armada’s failure to have net tangible assets equaling or exceeding $5,000,001, we will not be able to consummate the Business Combination, unless the Charter Limitation Amendment Proposal is approved and the Charter Limitation Amendment is implemented prior to the closing of the Business Combination.</w:t>
      </w:r>
    </w:p>
    <w:p>
      <w:pPr>
        <w:spacing w:after="0" w:line="328"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total number of shares that may be redeemed?</w:t>
      </w:r>
    </w:p>
    <w:p>
      <w:pPr>
        <w:spacing w:after="0" w:line="135" w:lineRule="exact"/>
        <w:rPr>
          <w:sz w:val="20"/>
          <w:szCs w:val="20"/>
          <w:color w:val="auto"/>
        </w:rPr>
      </w:pPr>
    </w:p>
    <w:p>
      <w:pPr>
        <w:ind w:left="540" w:right="20" w:hanging="424"/>
        <w:spacing w:after="0" w:line="273" w:lineRule="auto"/>
        <w:tabs>
          <w:tab w:leader="none" w:pos="5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Our current amended and restated certificate of incorporation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prior to closing of the Business Combination. In the event the aggregate cash consideration we would be required to pay for all shares of Armada Common Stock that are validly submitted for redemption plus any amount required to satisfy cash conditions pursuant to the terms of the Business Combination Agreement exceed the aggregate amount of cash available to us, we may not complete the Business Combination or redeem any shares, all shares of Armada Common Stock submitted for redemption will be returned to the holders thereof, and we instead may search for an alternate business combination.</w:t>
      </w:r>
    </w:p>
    <w:p>
      <w:pPr>
        <w:spacing w:after="0" w:line="316"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you vote affect your ability to exercise Redemption Rights?</w:t>
      </w:r>
    </w:p>
    <w:p>
      <w:pPr>
        <w:spacing w:after="0" w:line="135" w:lineRule="exact"/>
        <w:rPr>
          <w:sz w:val="20"/>
          <w:szCs w:val="20"/>
          <w:color w:val="auto"/>
        </w:rPr>
      </w:pPr>
    </w:p>
    <w:p>
      <w:pPr>
        <w:ind w:left="540" w:hanging="424"/>
        <w:spacing w:after="0" w:line="282"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shares of Armada Common Stock for or against, or whether you abstain from voting on, the Business Combination Proposal, or any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color w:val="auto"/>
        </w:rPr>
        <w:t>proposal described by this proxy statement/prospectus.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w:t>
      </w:r>
    </w:p>
    <w:p>
      <w:pPr>
        <w:spacing w:after="0" w:line="324"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you exercise your Redemption Rights?</w:t>
      </w:r>
    </w:p>
    <w:p>
      <w:pPr>
        <w:spacing w:after="0" w:line="135" w:lineRule="exact"/>
        <w:rPr>
          <w:sz w:val="20"/>
          <w:szCs w:val="20"/>
          <w:color w:val="auto"/>
        </w:rPr>
      </w:pPr>
    </w:p>
    <w:p>
      <w:pPr>
        <w:ind w:left="540" w:right="280" w:hanging="424"/>
        <w:spacing w:after="0" w:line="276" w:lineRule="auto"/>
        <w:tabs>
          <w:tab w:leader="none" w:pos="5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w:t>
      </w:r>
    </w:p>
    <w:p>
      <w:pPr>
        <w:spacing w:after="0" w:line="1"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color w:val="auto"/>
        </w:rPr>
        <w:t>(ii) prior to 5:00 p.m. Eastern time on         , 2024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 State Street – 30th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9" w:lineRule="exact"/>
        <w:rPr>
          <w:sz w:val="20"/>
          <w:szCs w:val="20"/>
          <w:color w:val="auto"/>
        </w:rPr>
      </w:pPr>
    </w:p>
    <w:p>
      <w:pPr>
        <w:ind w:left="560" w:right="180"/>
        <w:spacing w:after="0" w:line="256" w:lineRule="auto"/>
        <w:rPr>
          <w:sz w:val="20"/>
          <w:szCs w:val="20"/>
          <w:color w:val="auto"/>
        </w:rPr>
      </w:pPr>
      <w:r>
        <w:rPr>
          <w:rFonts w:ascii="Times New Roman" w:cs="Times New Roman" w:eastAsia="Times New Roman" w:hAnsi="Times New Roman"/>
          <w:sz w:val="18"/>
          <w:szCs w:val="18"/>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7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75"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stockholder’s option.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 for physical or electronic delivery prior to the Special Meeting ensures that a redeeming stockholder’s election to redeem is irrevocable once the Business Combination is approved</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75" w:lineRule="exact"/>
        <w:rPr>
          <w:sz w:val="20"/>
          <w:szCs w:val="20"/>
          <w:color w:val="auto"/>
        </w:rPr>
      </w:pPr>
    </w:p>
    <w:p>
      <w:pPr>
        <w:ind w:left="560" w:right="240"/>
        <w:spacing w:after="0" w:line="289" w:lineRule="auto"/>
        <w:rPr>
          <w:sz w:val="20"/>
          <w:szCs w:val="20"/>
          <w:color w:val="auto"/>
        </w:rPr>
      </w:pPr>
      <w:r>
        <w:rPr>
          <w:rFonts w:ascii="Times New Roman" w:cs="Times New Roman" w:eastAsia="Times New Roman" w:hAnsi="Times New Roman"/>
          <w:sz w:val="17"/>
          <w:szCs w:val="17"/>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request that our Transfer Agent return the shares (physically or electronically). You may make such request by contacting our Transfer Agent at the address listed under the question “Who can help answer my questions?” below.</w:t>
      </w:r>
    </w:p>
    <w:p>
      <w:pPr>
        <w:spacing w:after="0" w:line="306"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have appraisal rights if you object to the Business Combination?</w:t>
      </w:r>
    </w:p>
    <w:p>
      <w:pPr>
        <w:spacing w:after="0" w:line="135"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Appraisal rights are not available to holders of Armada Common Stock in connection with the Business Combination.</w:t>
      </w:r>
    </w:p>
    <w:p>
      <w:pPr>
        <w:spacing w:after="0" w:line="370"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right="60" w:hanging="424"/>
        <w:spacing w:after="0" w:line="258"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held in the Trust Account will be used to: (i) pay Armada stockholders who properly exercise their redemption rights; and, provided that there are funds remaining after this payment, (ii) pay certain other fees, costs and expenses (including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and (iii) the Promissory Note.</w:t>
      </w:r>
    </w:p>
    <w:p>
      <w:pPr>
        <w:spacing w:after="0" w:line="328"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33" w:lineRule="exact"/>
        <w:rPr>
          <w:sz w:val="20"/>
          <w:szCs w:val="20"/>
          <w:color w:val="auto"/>
        </w:rPr>
      </w:pPr>
    </w:p>
    <w:p>
      <w:pPr>
        <w:ind w:left="540" w:right="180" w:hanging="424"/>
        <w:spacing w:after="0" w:line="267"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Business Combination Agreement may be terminated. Please see the section entitled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the Business Combination — The Business Combination Agreement</w:t>
      </w:r>
      <w:r>
        <w:rPr>
          <w:rFonts w:ascii="Times New Roman" w:cs="Times New Roman" w:eastAsia="Times New Roman" w:hAnsi="Times New Roman"/>
          <w:sz w:val="18"/>
          <w:szCs w:val="18"/>
          <w:color w:val="auto"/>
        </w:rPr>
        <w:t>” for information regarding the parties’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rights.</w:t>
      </w:r>
    </w:p>
    <w:p>
      <w:pPr>
        <w:spacing w:after="0" w:line="67"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Armada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(iii) dissolve and liquidate our Trust Account, unless we amend our certificate of incorporation to extend the time that we have to consummate a business combination; and (iv)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Times New Roman" w:cs="Times New Roman" w:eastAsia="Times New Roman" w:hAnsi="Times New Roman"/>
          <w:sz w:val="18"/>
          <w:szCs w:val="18"/>
          <w:i w:val="1"/>
          <w:iCs w:val="1"/>
          <w:color w:val="auto"/>
        </w:rPr>
        <w:t>Risk Factors — Risks Relating to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and Risks Relating to Armada’s Due Diligence and Evaluation of Rezolve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56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w:t>
      </w:r>
    </w:p>
    <w:p>
      <w:pPr>
        <w:spacing w:after="0" w:line="324"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35" w:lineRule="exact"/>
        <w:rPr>
          <w:sz w:val="20"/>
          <w:szCs w:val="20"/>
          <w:color w:val="auto"/>
        </w:rPr>
      </w:pPr>
    </w:p>
    <w:p>
      <w:pPr>
        <w:ind w:left="540" w:right="120" w:hanging="424"/>
        <w:spacing w:after="0" w:line="282"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Business Combination is expected to take place on or prior to the third business day following the satisfaction or waiver of the conditions described below in the subsection entitled “</w:t>
      </w:r>
      <w:r>
        <w:rPr>
          <w:rFonts w:ascii="Times New Roman" w:cs="Times New Roman" w:eastAsia="Times New Roman" w:hAnsi="Times New Roman"/>
          <w:sz w:val="18"/>
          <w:szCs w:val="18"/>
          <w:i w:val="1"/>
          <w:iCs w:val="1"/>
          <w:color w:val="auto"/>
        </w:rPr>
        <w:t>Proposal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the Business Combination — The Business Combination Agreement — Conditions to the Closing of the Business Combination.</w:t>
      </w:r>
      <w:r>
        <w:rPr>
          <w:rFonts w:ascii="Times New Roman" w:cs="Times New Roman" w:eastAsia="Times New Roman" w:hAnsi="Times New Roman"/>
          <w:sz w:val="18"/>
          <w:szCs w:val="18"/>
          <w:color w:val="auto"/>
        </w:rPr>
        <w:t>” The closing is expected to occur in         , 2024. The Business Combination Agreement may be terminated by Armada,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Rezolve, as applicable if the Closing has not occurred on or prior to fifteen (15) days prior to the last date on which Armada may consummate a Business Combination (which is currently on or prior to October 2, 2023).</w:t>
      </w:r>
    </w:p>
    <w:p>
      <w:pPr>
        <w:spacing w:after="0" w:line="72"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color w:val="auto"/>
        </w:rPr>
        <w:t>For a description of the conditions to the completion of the Business Combination,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 The Business Combination Agreement — Conditions to the Closing of the Business Combination.</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you need to do now?</w:t>
      </w:r>
    </w:p>
    <w:p>
      <w:pPr>
        <w:spacing w:after="0" w:line="135" w:lineRule="exact"/>
        <w:rPr>
          <w:sz w:val="20"/>
          <w:szCs w:val="20"/>
          <w:color w:val="auto"/>
        </w:rPr>
      </w:pPr>
    </w:p>
    <w:p>
      <w:pPr>
        <w:ind w:left="540" w:right="80" w:hanging="424"/>
        <w:spacing w:after="0" w:line="261"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324"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135"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Armada Common Stock, including those shares held as a constituent part of our units, at the close of business on</w:t>
      </w:r>
    </w:p>
    <w:p>
      <w:pPr>
        <w:spacing w:after="0" w:line="27" w:lineRule="exact"/>
        <w:rPr>
          <w:sz w:val="20"/>
          <w:szCs w:val="20"/>
          <w:color w:val="auto"/>
        </w:rPr>
      </w:pPr>
    </w:p>
    <w:p>
      <w:pPr>
        <w:ind w:left="540" w:right="300"/>
        <w:spacing w:after="0" w:line="260" w:lineRule="auto"/>
        <w:rPr>
          <w:sz w:val="20"/>
          <w:szCs w:val="20"/>
          <w:color w:val="auto"/>
        </w:rPr>
      </w:pPr>
      <w:r>
        <w:rPr>
          <w:rFonts w:ascii="Times New Roman" w:cs="Times New Roman" w:eastAsia="Times New Roman" w:hAnsi="Times New Roman"/>
          <w:sz w:val="18"/>
          <w:szCs w:val="18"/>
          <w:color w:val="auto"/>
        </w:rPr>
        <w:t>        , 2024, are entitled to have their vote counted at the Special Meeting and any adjournments or postponements thereof. On this record date, 7,127,187 shares of Armada Common Stock were outstanding and entitled to vote.</w:t>
      </w:r>
    </w:p>
    <w:p>
      <w:pPr>
        <w:spacing w:after="0" w:line="7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on the record date your shares or units were registered directly in your name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Armada’s transfer agent, Continental Stock Transfer &amp; Trust Company, then you are a stockholder of record. As a stockholder of record, you may vote in person at the Special Meeting or vote by proxy. Whether or not you plan to attend the Special Meeting in person, Armada urges you to fill out and return the enclosed proxy card to ensure your vote is counted.</w:t>
      </w:r>
    </w:p>
    <w:p>
      <w:pPr>
        <w:spacing w:after="0" w:line="72"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r>
        <w:rPr>
          <w:rFonts w:ascii="Times New Roman" w:cs="Times New Roman" w:eastAsia="Times New Roman" w:hAnsi="Times New Roman"/>
          <w:sz w:val="18"/>
          <w:szCs w:val="18"/>
          <w:color w:val="auto"/>
        </w:rPr>
        <w:t>. If on the record date your shares or units were held, not in your name,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329"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Special Meeting?</w:t>
      </w:r>
    </w:p>
    <w:p>
      <w:pPr>
        <w:spacing w:after="0" w:line="135" w:lineRule="exact"/>
        <w:rPr>
          <w:sz w:val="20"/>
          <w:szCs w:val="20"/>
          <w:color w:val="auto"/>
        </w:rPr>
      </w:pPr>
    </w:p>
    <w:p>
      <w:pPr>
        <w:ind w:left="540" w:right="60" w:hanging="424"/>
        <w:spacing w:after="0" w:line="258"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will pay the cost of soliciting proxies for the Special Meeting. Armada is soliciting proxies on behalf of the Board and Armada has not engaged anyone to assist in the solicitation of proxies for the Stockholder Meeting. Armada will also reimburse banks, brokers and other custodians, nominees and fiduciaries representing beneficial owners of Common Stock for their expenses in forwarding soliciting materials to beneficial owners of Common Stock and in obtaining voting instructions from those owners. The directors, officers and employees of Armada may also solicit proxies by telephone, by facsimile, by mail or on the Internet. They will not be paid any additional amounts for soliciting proxies.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right="460" w:hanging="424"/>
        <w:spacing w:after="0" w:line="282" w:lineRule="auto"/>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 or the enclosed proxy card you should contact:</w:t>
      </w:r>
    </w:p>
    <w:p>
      <w:pPr>
        <w:spacing w:after="0" w:line="5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Acquisition Corp. I</w:t>
      </w:r>
    </w:p>
    <w:p>
      <w:pPr>
        <w:spacing w:after="0" w:line="27" w:lineRule="exact"/>
        <w:rPr>
          <w:rFonts w:ascii="Times New Roman" w:cs="Times New Roman" w:eastAsia="Times New Roman" w:hAnsi="Times New Roman"/>
          <w:sz w:val="18"/>
          <w:szCs w:val="18"/>
          <w:color w:val="auto"/>
        </w:rPr>
      </w:pPr>
    </w:p>
    <w:p>
      <w:pPr>
        <w:ind w:left="560" w:right="8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1760 Market Street, Suite 602 Philadelphia, PA 19103 Email: sherbert@armadaacq.com</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timely delivery, our stockholders must request the materials no later than five business days prior to the Special Meeting.</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us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“How do I exercise my Redemption Rights?” If you have questions regarding the certification of your position or delivery of your stock, please contact our Transfer Agent: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560"/>
        <w:spacing w:after="0" w:line="196" w:lineRule="auto"/>
        <w:rPr>
          <w:sz w:val="20"/>
          <w:szCs w:val="20"/>
          <w:color w:val="auto"/>
        </w:rPr>
      </w:pPr>
      <w:r>
        <w:rPr>
          <w:rFonts w:ascii="Times New Roman" w:cs="Times New Roman" w:eastAsia="Times New Roman" w:hAnsi="Times New Roman"/>
          <w:sz w:val="18"/>
          <w:szCs w:val="18"/>
          <w:color w:val="auto"/>
        </w:rPr>
        <w:t>1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93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7" w:lineRule="exact"/>
        <w:rPr>
          <w:sz w:val="20"/>
          <w:szCs w:val="20"/>
          <w:color w:val="auto"/>
        </w:rPr>
      </w:pPr>
    </w:p>
    <w:p>
      <w:pPr>
        <w:ind w:left="300" w:right="1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proxy statement/prospectus and does not contain all of the information that is important to you. To better understand the proposals to be submitted for a vote at the Armada Special Meeting, including the Business Combination, you should read this entire document carefully, including the Business Combination Agreement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to this proxy statement/prospectus. The Business Combination Agreement is the legal document that governs the Merger and the other transactions that will be undertaken in connection with the Business Combination. It is also described in detail in this proxy statement/prospectus in the section entitled “The Business Combination Agreement.”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1" w:lineRule="exact"/>
        <w:rPr>
          <w:sz w:val="20"/>
          <w:szCs w:val="20"/>
          <w:color w:val="auto"/>
        </w:rPr>
      </w:pPr>
    </w:p>
    <w:p>
      <w:pPr>
        <w:ind w:left="300" w:firstLine="426"/>
        <w:spacing w:after="0" w:line="244"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5"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300" w:right="2660" w:firstLine="426"/>
        <w:spacing w:after="0" w:line="272" w:lineRule="auto"/>
        <w:rPr>
          <w:sz w:val="20"/>
          <w:szCs w:val="20"/>
          <w:color w:val="auto"/>
        </w:rPr>
      </w:pPr>
      <w:r>
        <w:rPr>
          <w:rFonts w:ascii="Times New Roman" w:cs="Times New Roman" w:eastAsia="Times New Roman" w:hAnsi="Times New Roman"/>
          <w:sz w:val="17"/>
          <w:szCs w:val="17"/>
          <w:color w:val="auto"/>
        </w:rPr>
        <w:t>We expect to commercialize the Rezolve platform in quarter 4 of 2024, initially in South America with Grupo Carso. We expect revenues to increase significantly in 2024. Revenues from Brain are also forecast to begin in Q4 2024, increasing significantly in 2025. We also expect to generate revenues in Q4 2024 in Europe,</w:t>
      </w:r>
    </w:p>
    <w:p>
      <w:pPr>
        <w:spacing w:after="0" w:line="2" w:lineRule="exact"/>
        <w:rPr>
          <w:sz w:val="20"/>
          <w:szCs w:val="20"/>
          <w:color w:val="auto"/>
        </w:rPr>
      </w:pPr>
    </w:p>
    <w:p>
      <w:pPr>
        <w:jc w:val="both"/>
        <w:ind w:left="300" w:right="380"/>
        <w:spacing w:after="0" w:line="290" w:lineRule="auto"/>
        <w:rPr>
          <w:sz w:val="20"/>
          <w:szCs w:val="20"/>
          <w:color w:val="auto"/>
        </w:rPr>
      </w:pPr>
      <w:r>
        <w:rPr>
          <w:rFonts w:ascii="Times New Roman" w:cs="Times New Roman" w:eastAsia="Times New Roman" w:hAnsi="Times New Roman"/>
          <w:sz w:val="17"/>
          <w:szCs w:val="17"/>
          <w:color w:val="auto"/>
        </w:rPr>
        <w:t>South America and the Middle East. North American revenues are forecast in Q1 2025. We have signed partner agreements with Adobe, ACI, Haendlerbund, Epages, JTL, Oxid and Chatwerk and others and are in discussions with significant new partners in markets around the world.</w:t>
      </w:r>
    </w:p>
    <w:p>
      <w:pPr>
        <w:spacing w:after="0" w:line="157"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was re-registered as a public limited company on         , 2024. Rezolve Limited was</w:t>
      </w:r>
    </w:p>
    <w:p>
      <w:pPr>
        <w:spacing w:after="0" w:line="149" w:lineRule="exact"/>
        <w:rPr>
          <w:sz w:val="20"/>
          <w:szCs w:val="20"/>
          <w:color w:val="auto"/>
        </w:rPr>
      </w:pPr>
    </w:p>
    <w:p>
      <w:pPr>
        <w:ind w:left="500" w:right="540" w:hanging="202"/>
        <w:spacing w:after="0" w:line="208" w:lineRule="auto"/>
        <w:tabs>
          <w:tab w:leader="none" w:pos="500" w:val="left"/>
        </w:tabs>
        <w:numPr>
          <w:ilvl w:val="0"/>
          <w:numId w:val="1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320" w:top="455"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60"/>
        <w:spacing w:after="0" w:line="282" w:lineRule="auto"/>
        <w:rPr>
          <w:sz w:val="20"/>
          <w:szCs w:val="20"/>
          <w:color w:val="auto"/>
        </w:rPr>
      </w:pPr>
      <w:r>
        <w:rPr>
          <w:rFonts w:ascii="Times New Roman" w:cs="Times New Roman" w:eastAsia="Times New Roman" w:hAnsi="Times New Roman"/>
          <w:sz w:val="18"/>
          <w:szCs w:val="18"/>
          <w:color w:val="auto"/>
        </w:rPr>
        <w:t>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62"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mailing address of Rezolve’s registered office is 3rd Floor, 80 New Bond Street, London, United Kingdom, W1S 1SB. After the consummation of the Business Combination, its principal executive office will be 3rd Floor, 80 New Bond Street, London, United Kingdom, W1S 1SB.</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Armada</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Armada is a blank check company or a special purpose acquisition company, incorporated on November 5, 2020, as a Delaware corporation and formed for the purpose of effecting a merger, capital stock exchange, asset acquisition, stock purchase, reorganization or similar business combination with one or more businesses. As of the date of the this proxy statement/prospectus, the Company had not commenced any operations.</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public units began trading on the Nasdaq under the symbol “AACIU” on August 13, 2021. On November 16, 2021, Armada announced that the holders of Armada’s units may elect to separately trade the securities underlying such units. On November 16, 2021, the shares and warrants began trading on the Nasdaq under the symbols “AACI”, and “AACIW” respectively.</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mailing address of Armada’s principal executive office is c/o Armada Acquisition Corp. I., 2005 Market Street, Suite 3120, Philadelphia, Pennsylvania 19103.</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Armada will merge with and into Rezolve Merger Sub, with Armada continuing as the surviving entity and all the undertakings, properties and liabilities of Rezolve Merger Sub will vest in Armada by virtue of such merger pursuant to the Delaware General Corporation Law (the “DGCL”) and the plan of merger attached hereto as Annex A. Following completion of the Merger, Armada shall be a wholly-owned subsidiary of Rezolve.</w:t>
      </w:r>
    </w:p>
    <w:p>
      <w:pPr>
        <w:spacing w:after="0" w:line="180"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Escrow Agreement to allow Continental Stock Transfer &amp; Trust Company to distribute the Escrow Shares prior to the expiration of the Escrow Period.</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121" w:lineRule="exact"/>
        <w:rPr>
          <w:sz w:val="20"/>
          <w:szCs w:val="20"/>
          <w:color w:val="auto"/>
        </w:rPr>
      </w:pPr>
    </w:p>
    <w:p>
      <w:pPr>
        <w:jc w:val="both"/>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Nasdaq listing rules require that its listed companies obtain shareholder approval for issuances of securities that result in a change of control of the company. In connection with the approval of the Business Combination Proposal, Armada’s stockholders will be asked to consider and vote upon a proposal to approve, for purposes of complying with applicable Nasdaq listing rules, the issuance of securities which will result in a change of control of Armada.</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 for additional information regarding this proposal.</w:t>
      </w:r>
    </w:p>
    <w:p>
      <w:pPr>
        <w:spacing w:after="0" w:line="3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455" w:right="6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Incentive Equity Plan Proposal</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Rezolve and Armada boards approved the adoption by Rezolve of the Rezolve Long Term Incentive Plan, or the “Rezolve Incentive Equity Plan,” subject to Armada shareholder approval, in order to facilitate the grant of equity awards to attract, retain and incentive employees (including executive officers), independent contractors and directors of Rezolve and its affiliates, which is essential to Rezolve’s long-term success.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Incentive Equity Plan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Charter Limitation Amendment Proposal</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Times New Roman" w:cs="Times New Roman" w:eastAsia="Times New Roman" w:hAnsi="Times New Roman"/>
          <w:sz w:val="17"/>
          <w:szCs w:val="17"/>
          <w:color w:val="auto"/>
        </w:rPr>
        <w:t>As discussed in this proxy statement/prospectus, Armada is asking its shareholders to approve the Charter Limitation Amendment Proposal in order to facilitate the consummation of the Business Combination. Armada will ask its shareholders to approve the Charter Limitation Amendment Proposal to delete the limitation that Armada shall not consummate a business combination if Armada has net tangible of less than $5,000,001.</w:t>
      </w:r>
    </w:p>
    <w:p>
      <w:pPr>
        <w:spacing w:after="0" w:line="1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Charter Limitation Amendment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In addition, the stockholders of Armada will be asked to vote on a proposal to adjourn the Special Meeting to a later date or dates, if necessary, to permit further solicitation and vote of proxies if there are insufficient votes for, or otherwise in connection with, the approval of the Business Combination Proposal, the Nasdaq Proposal, the Incentive Equity Plan Proposal or the Charter Limitation Amendment Proposal.</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Armada Initial Shareholders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As of the Record Date, the Armada Initial Shareholders beneficially owned and are entitled to vote an aggregate of 5,547,000 Founder Shares that were issued prior to the IPO of Armada. The Founder Shares currently constitute 77.83% of the outstanding Armada Common Stock.</w:t>
      </w:r>
    </w:p>
    <w:p>
      <w:pPr>
        <w:spacing w:after="0" w:line="162"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Each of the Sponsor and officers and directors of Armada agreed to vote the Founder Shares, as well as any Armada Public Shares acquired in the aftermarket, in favor of the Business Combination Proposal, and all other proposals being presented at the Armada Special Meeting. If Armada does not consummate a Business Combination and must liquidate and its remaining net assets are insufficient to complete such liquidation, the Sponsor has agreed to advance such funds necessary to complete such liquidation and agrees not to seek repayment for such expenses.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 of Armada Special Meeting</w:t>
      </w:r>
    </w:p>
    <w:p>
      <w:pPr>
        <w:spacing w:after="0" w:line="119" w:lineRule="exact"/>
        <w:rPr>
          <w:sz w:val="20"/>
          <w:szCs w:val="20"/>
          <w:color w:val="auto"/>
        </w:rPr>
      </w:pPr>
    </w:p>
    <w:p>
      <w:pPr>
        <w:ind w:left="300" w:right="220" w:firstLine="426"/>
        <w:spacing w:after="0" w:line="267" w:lineRule="auto"/>
        <w:rPr>
          <w:sz w:val="20"/>
          <w:szCs w:val="20"/>
          <w:color w:val="auto"/>
        </w:rPr>
      </w:pPr>
      <w:r>
        <w:rPr>
          <w:rFonts w:ascii="Times New Roman" w:cs="Times New Roman" w:eastAsia="Times New Roman" w:hAnsi="Times New Roman"/>
          <w:sz w:val="18"/>
          <w:szCs w:val="18"/>
          <w:color w:val="auto"/>
        </w:rPr>
        <w:t xml:space="preserve">The Special Meeting will be held 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2024 at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Eastern Time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or at such other date, time and place to which such meeting may be adjourned or postponed, to consider and vote upon the proposals. The Special Meeting will be conducted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0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60"/>
        <w:spacing w:after="0" w:line="266" w:lineRule="auto"/>
        <w:rPr>
          <w:sz w:val="20"/>
          <w:szCs w:val="20"/>
          <w:color w:val="auto"/>
        </w:rPr>
      </w:pPr>
      <w:r>
        <w:rPr>
          <w:rFonts w:ascii="Times New Roman" w:cs="Times New Roman" w:eastAsia="Times New Roman" w:hAnsi="Times New Roman"/>
          <w:sz w:val="18"/>
          <w:szCs w:val="18"/>
          <w:color w:val="auto"/>
        </w:rPr>
        <w:t xml:space="preserve">exclusively via live webcast so stockholders will not be able to attend the meeting in person. Stockholders may attend the Special Meeting online and vote at the Special Meeting by visiting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entering your 12-digit control number, which is either included on the proxy card you received or obtained through Continental Stock Transfer &amp; Trust Company.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Instructions for the Special Meeting</w:t>
      </w:r>
    </w:p>
    <w:p>
      <w:pPr>
        <w:spacing w:after="0" w:line="121"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To vote upon the proposals included in this proxy statement/prospectus, please follow these instructions as applicable to the nature of your ownership of Armada Common Stock:</w:t>
      </w:r>
    </w:p>
    <w:p>
      <w:pPr>
        <w:spacing w:after="0" w:line="67" w:lineRule="exact"/>
        <w:rPr>
          <w:sz w:val="20"/>
          <w:szCs w:val="20"/>
          <w:color w:val="auto"/>
        </w:rPr>
      </w:pPr>
    </w:p>
    <w:p>
      <w:pPr>
        <w:ind w:left="1240" w:right="36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date and return the proxy card pursuant to the instructions on the card. If you return your signed proxy card before the Special Meeting, we will vote your shares as directed.</w:t>
      </w:r>
    </w:p>
    <w:p>
      <w:pPr>
        <w:spacing w:after="0" w:line="186" w:lineRule="exact"/>
        <w:rPr>
          <w:rFonts w:ascii="Times New Roman" w:cs="Times New Roman" w:eastAsia="Times New Roman" w:hAnsi="Times New Roman"/>
          <w:sz w:val="18"/>
          <w:szCs w:val="18"/>
          <w:color w:val="auto"/>
        </w:rPr>
      </w:pPr>
    </w:p>
    <w:p>
      <w:pPr>
        <w:ind w:left="1240" w:right="520" w:hanging="415"/>
        <w:spacing w:after="0" w:line="284"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before the meeting, go to </w:t>
      </w:r>
      <w:r>
        <w:rPr>
          <w:rFonts w:ascii="Times New Roman" w:cs="Times New Roman" w:eastAsia="Times New Roman" w:hAnsi="Times New Roman"/>
          <w:sz w:val="18"/>
          <w:szCs w:val="18"/>
          <w:i w:val="1"/>
          <w:iCs w:val="1"/>
          <w:color w:val="auto"/>
        </w:rPr>
        <w:t>www.cstproxyvote.com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armadaacquisition/2024</w:t>
      </w:r>
      <w:r>
        <w:rPr>
          <w:rFonts w:ascii="Times New Roman" w:cs="Times New Roman" w:eastAsia="Times New Roman" w:hAnsi="Times New Roman"/>
          <w:sz w:val="18"/>
          <w:szCs w:val="18"/>
          <w:color w:val="auto"/>
        </w:rPr>
        <w:t xml:space="preserve"> and follow the on-screen instructions. Your Internet vote must be received by 11:59 p.m. Eastern Time 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2024 to be counted.</w:t>
      </w:r>
    </w:p>
    <w:p>
      <w:pPr>
        <w:spacing w:after="0" w:line="158" w:lineRule="exact"/>
        <w:rPr>
          <w:sz w:val="20"/>
          <w:szCs w:val="20"/>
          <w:color w:val="auto"/>
        </w:rPr>
      </w:pPr>
    </w:p>
    <w:p>
      <w:pPr>
        <w:ind w:left="300" w:right="440"/>
        <w:spacing w:after="0" w:line="284" w:lineRule="auto"/>
        <w:rPr>
          <w:sz w:val="20"/>
          <w:szCs w:val="20"/>
          <w:color w:val="auto"/>
        </w:rPr>
      </w:pPr>
      <w:r>
        <w:rPr>
          <w:rFonts w:ascii="Times New Roman" w:cs="Times New Roman" w:eastAsia="Times New Roman" w:hAnsi="Times New Roman"/>
          <w:sz w:val="18"/>
          <w:szCs w:val="18"/>
          <w:color w:val="auto"/>
        </w:rPr>
        <w:t xml:space="preserve">To vote through the Internet during the meeting, please visit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have available the 12-digit control number included in your Notice, on your proxy card or on the instructions that accompanied your proxy materials.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19"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color w:val="auto"/>
        </w:rPr>
        <w:t xml:space="preserve">Only Armada stockholders of record at the close of business 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2024, the record date for the Special Meeting, will be entitled to vote at the Special Meeting. You are entitled to one vote for each share of Armada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7,127,187 shares of Armada Common Stock and Founder Shares outstanding and entitled to vote, of which 1,417,687 are public shares, 459,500 are Private Placement Shares held by our Sponsor, and 5,087,500 are Founder Shares held by our Sponsor, officers and directors.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 and Vote of Armada Stockholders</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an Armada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94"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172" w:lineRule="exact"/>
        <w:rPr>
          <w:sz w:val="20"/>
          <w:szCs w:val="20"/>
          <w:color w:val="auto"/>
        </w:rPr>
      </w:pPr>
    </w:p>
    <w:p>
      <w:pPr>
        <w:ind w:left="300" w:right="140" w:firstLine="4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Pursuant to our current amended and restated certificate of incorporation,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not previously released to Armada to pay its franchise and income taxes, by (ii) the total number of then-outstanding public shares. Although the Armada Charter does not provide a specified maximum redemption threshold, the Armada Charter prohibits Armada from closing the Business Combination if its net tangible assets would be less than $5,000,001, unless the Charter Limitation Amendment Proposal is approved and implemented prior to the closing of the Business Combination. As of June 10, 2024, the estimated per share redemption price would have been approximately $11.31.</w:t>
      </w:r>
    </w:p>
    <w:p>
      <w:pPr>
        <w:spacing w:after="0" w:line="189"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If a holder exercises its redemption rights, then such holder will be exchanging its shares of Armada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for the procedures to be followed if you wish to redeem your shares for cash. Any request for redemption may be withdrawn until the deadline for submitting redemption requests and thereafter, with our consent, until the vote is taken with respect to the Business Combination.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Appraisal rights are not available to holders of shares of Armada Common Stock in connection with the Business Combination.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Proxies may be solicited by mail. Armada has not engaged anyone to assist in the solicitation of proxies.</w:t>
      </w:r>
    </w:p>
    <w:p>
      <w:pPr>
        <w:spacing w:after="0" w:line="225" w:lineRule="exact"/>
        <w:rPr>
          <w:sz w:val="20"/>
          <w:szCs w:val="20"/>
          <w:color w:val="auto"/>
        </w:rPr>
      </w:pPr>
    </w:p>
    <w:p>
      <w:pPr>
        <w:jc w:val="both"/>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If a stockholder grants a proxy, it may still vote its shares in person if it revokes its proxy before the Special Meeting. A stockholder may also change its vote by submitting a later-dated proxy, as described in the section entitled “</w:t>
      </w:r>
      <w:r>
        <w:rPr>
          <w:rFonts w:ascii="Times New Roman" w:cs="Times New Roman" w:eastAsia="Times New Roman" w:hAnsi="Times New Roman"/>
          <w:sz w:val="18"/>
          <w:szCs w:val="18"/>
          <w:i w:val="1"/>
          <w:iCs w:val="1"/>
          <w:color w:val="auto"/>
        </w:rPr>
        <w:t>Special Meeting of Company Stockholders — Revoking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Armada Directors and Officers in the Business Combination</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320" w:top="455"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240" w:hanging="415"/>
        <w:spacing w:after="0" w:line="254"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240" w:right="120" w:hanging="415"/>
        <w:spacing w:after="0" w:line="256"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240" w:right="160" w:hanging="415"/>
        <w:spacing w:after="0" w:line="277" w:lineRule="auto"/>
        <w:tabs>
          <w:tab w:leader="none" w:pos="12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73" w:lineRule="exact"/>
        <w:rPr>
          <w:rFonts w:ascii="Times New Roman" w:cs="Times New Roman" w:eastAsia="Times New Roman" w:hAnsi="Times New Roman"/>
          <w:sz w:val="17"/>
          <w:szCs w:val="17"/>
          <w:color w:val="auto"/>
        </w:rPr>
      </w:pPr>
    </w:p>
    <w:p>
      <w:pPr>
        <w:ind w:left="1240" w:hanging="415"/>
        <w:spacing w:after="0" w:line="261"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24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53" w:lineRule="auto"/>
        <w:rPr>
          <w:sz w:val="20"/>
          <w:szCs w:val="20"/>
          <w:color w:val="auto"/>
        </w:rPr>
      </w:pPr>
      <w:r>
        <w:rPr>
          <w:rFonts w:ascii="Times New Roman" w:cs="Times New Roman" w:eastAsia="Times New Roman" w:hAnsi="Times New Roman"/>
          <w:sz w:val="18"/>
          <w:szCs w:val="18"/>
          <w:color w:val="auto"/>
        </w:rPr>
        <w:t>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w:t>
      </w:r>
    </w:p>
    <w:p>
      <w:pPr>
        <w:spacing w:after="0" w:line="5" w:lineRule="exact"/>
        <w:rPr>
          <w:sz w:val="20"/>
          <w:szCs w:val="20"/>
          <w:color w:val="auto"/>
        </w:rPr>
      </w:pPr>
    </w:p>
    <w:p>
      <w:pPr>
        <w:ind w:left="1240"/>
        <w:spacing w:after="0" w:line="250" w:lineRule="auto"/>
        <w:rPr>
          <w:sz w:val="20"/>
          <w:szCs w:val="20"/>
          <w:color w:val="auto"/>
        </w:rPr>
      </w:pPr>
      <w:r>
        <w:rPr>
          <w:rFonts w:ascii="Times New Roman" w:cs="Times New Roman" w:eastAsia="Times New Roman" w:hAnsi="Times New Roman"/>
          <w:sz w:val="18"/>
          <w:szCs w:val="18"/>
          <w:color w:val="auto"/>
        </w:rPr>
        <w:t>1,125,000 founder shares forfeited to Armada for no consideration. The 4,882,500 Founder Shares owned by the Sponsor and the 205,000 Founder Shares held by Armada’s chief executive officer, president and independent directors would have had an aggregate market value of approximately $56,392,875 and $2,367,750, respectively, based upon the closing price of $11.55 per public share on the Nasdaq on June 10,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13" w:lineRule="exact"/>
        <w:rPr>
          <w:sz w:val="20"/>
          <w:szCs w:val="20"/>
          <w:color w:val="auto"/>
        </w:rPr>
      </w:pPr>
    </w:p>
    <w:p>
      <w:pPr>
        <w:ind w:left="1240" w:right="100" w:hanging="415"/>
        <w:spacing w:after="0" w:line="281" w:lineRule="auto"/>
        <w:tabs>
          <w:tab w:leader="none" w:pos="124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64" w:lineRule="exact"/>
        <w:rPr>
          <w:sz w:val="20"/>
          <w:szCs w:val="20"/>
          <w:color w:val="auto"/>
        </w:rPr>
      </w:pPr>
    </w:p>
    <w:p>
      <w:pPr>
        <w:ind w:left="300" w:right="20" w:firstLine="426"/>
        <w:spacing w:after="0" w:line="312" w:lineRule="auto"/>
        <w:rPr>
          <w:sz w:val="20"/>
          <w:szCs w:val="20"/>
          <w:color w:val="auto"/>
        </w:rPr>
      </w:pPr>
      <w:r>
        <w:rPr>
          <w:rFonts w:ascii="Times New Roman" w:cs="Times New Roman" w:eastAsia="Times New Roman" w:hAnsi="Times New Roman"/>
          <w:sz w:val="17"/>
          <w:szCs w:val="17"/>
          <w:color w:val="auto"/>
        </w:rPr>
        <w:t>Armada’s Sponsor holds in the aggregate approximately 74.95% of the total shares outstanding as of the date of this proxy statement/prospectus. The Founder Shares will likely be worthless if Armada does not complete a business combination by the applicable deadline.</w:t>
      </w: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20"/>
          </w:cols>
          <w:pgMar w:left="320" w:top="455" w:right="6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jc w:val="both"/>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to Stockholders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Board believes that the Business Combination Proposal, the Nasdaq Proposal, the Incentive Equity Plan Proposal and the Adjournment Proposal to be presented at the Special Meeting are each in the best interests of Armada and our stockholders and recommends that its stockholders vote “FOR” each of the proposals.</w:t>
      </w:r>
    </w:p>
    <w:p>
      <w:pPr>
        <w:spacing w:after="0" w:line="176"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Please see “</w:t>
      </w:r>
      <w:r>
        <w:rPr>
          <w:rFonts w:ascii="Times New Roman" w:cs="Times New Roman" w:eastAsia="Times New Roman" w:hAnsi="Times New Roman"/>
          <w:sz w:val="18"/>
          <w:szCs w:val="18"/>
          <w:i w:val="1"/>
          <w:iCs w:val="1"/>
          <w:color w:val="auto"/>
        </w:rPr>
        <w:t>Special Meeting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Recommendation to Company Stockholders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Closing of the Business Combination</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16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the approval for listing on Nasdaq (subject to official notice of issuance) of the Rezolve Ordinary Shares held by the existing Rezolve Shareholders and those to be issued in connection with the Merger (the “Nasdaq Listing Condition”); (e) Rezolve’s board of directors receiving authorization from its shareholders to (A) allot the Rezolve Ordinary Shares and Rezolve Warrants in connection with the Merger in accordance with section 551 of the U.K. Companies Act, via ordinary resolution, (B) dis-apply pre-emption rights in accordance with section 561 of the U.K. Companies Act, via special resolution, and (C) amend Rezolve’s articles of association via special resolution; (f) the Pre-Closing Demerger, the Company Reorganization and Merger shall have occurred; (g) the Rezolve Incentive Equity Plan shall have been adopted; (h) each consent required by Armada and Rezolve has been obtained (i) the expiration or termination of any applicable waiting period under applicable anti-trust laws; (i) Rezolve’s fundamental representations remain true and correct; (j) Rezolve will have performed and complied in all material respects with the covenants and agreements required to be performed or complied with by it; (k) there has been no review under the National Security and Investment Act 2021; (l) no material adverse effect will have occurred in relation to Rezolve; and (m) certain documents are</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320" w:top="45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3902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33902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1" w:lineRule="auto"/>
        <w:rPr>
          <w:sz w:val="20"/>
          <w:szCs w:val="20"/>
          <w:color w:val="auto"/>
        </w:rPr>
      </w:pPr>
      <w:r>
        <w:rPr>
          <w:rFonts w:ascii="Times New Roman" w:cs="Times New Roman" w:eastAsia="Times New Roman" w:hAnsi="Times New Roman"/>
          <w:sz w:val="17"/>
          <w:szCs w:val="17"/>
          <w:color w:val="auto"/>
        </w:rPr>
        <w:t>delivered by Rezolve to Armada, including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21"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Accordingly, for accounting purposes, the Business Combination will be treated as the equivalent of Rezolve issuing stock for the net assets of Armada, accompanied by a recapitalization. The net assets of Armada will be stated at historical cost, with no goodwill or other intangible assets recorded.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1460" w:firstLine="426"/>
        <w:spacing w:after="0" w:line="282" w:lineRule="auto"/>
        <w:rPr>
          <w:sz w:val="20"/>
          <w:szCs w:val="20"/>
          <w:color w:val="auto"/>
        </w:rPr>
      </w:pPr>
      <w:r>
        <w:rPr>
          <w:rFonts w:ascii="Times New Roman" w:cs="Times New Roman" w:eastAsia="Times New Roman" w:hAnsi="Times New Roman"/>
          <w:sz w:val="18"/>
          <w:szCs w:val="18"/>
          <w:color w:val="auto"/>
        </w:rPr>
        <w:t>In evaluating the proposals to be presented at the Armada Special Meeting, a shareholder should carefully read this proxy statement/prospectus and especially consider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320" w:top="455"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9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SUMMARY HISTORICAL FINANCIAL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Financial Information of Armada</w:t>
      </w:r>
    </w:p>
    <w:p>
      <w:pPr>
        <w:spacing w:after="0" w:line="121" w:lineRule="exact"/>
        <w:rPr>
          <w:sz w:val="20"/>
          <w:szCs w:val="20"/>
          <w:color w:val="auto"/>
        </w:rPr>
      </w:pPr>
    </w:p>
    <w:p>
      <w:pPr>
        <w:ind w:left="300" w:right="640" w:firstLine="426"/>
        <w:spacing w:after="0" w:line="282" w:lineRule="auto"/>
        <w:rPr>
          <w:sz w:val="20"/>
          <w:szCs w:val="20"/>
          <w:color w:val="auto"/>
        </w:rPr>
      </w:pPr>
      <w:r>
        <w:rPr>
          <w:rFonts w:ascii="Times New Roman" w:cs="Times New Roman" w:eastAsia="Times New Roman" w:hAnsi="Times New Roman"/>
          <w:sz w:val="18"/>
          <w:szCs w:val="18"/>
          <w:color w:val="auto"/>
        </w:rPr>
        <w:t>Armada is providing the following summary historical financial information to assist you in your analysis of the financial aspects of the Business Combination.</w:t>
      </w:r>
    </w:p>
    <w:p>
      <w:pPr>
        <w:spacing w:after="0" w:line="162" w:lineRule="exact"/>
        <w:rPr>
          <w:sz w:val="20"/>
          <w:szCs w:val="20"/>
          <w:color w:val="auto"/>
        </w:rPr>
      </w:pPr>
    </w:p>
    <w:p>
      <w:pPr>
        <w:ind w:left="300" w:right="200" w:firstLine="426"/>
        <w:spacing w:after="0" w:line="252" w:lineRule="auto"/>
        <w:rPr>
          <w:sz w:val="20"/>
          <w:szCs w:val="20"/>
          <w:color w:val="auto"/>
        </w:rPr>
      </w:pPr>
      <w:r>
        <w:rPr>
          <w:rFonts w:ascii="Times New Roman" w:cs="Times New Roman" w:eastAsia="Times New Roman" w:hAnsi="Times New Roman"/>
          <w:sz w:val="18"/>
          <w:szCs w:val="18"/>
          <w:color w:val="auto"/>
        </w:rPr>
        <w:t>The following table contains summary financial information of Armada as of and for the twelve months ended September 30, 2023 and 2022, as of and for the three months ended December 31, 2023 and 2022 and as of and for the six months ended March 31, 2024 and 2023. Armada’s summary financial information as of and for the twelve months ended September 30, 2023 and 2022, statements of operations for the twelve months ended September 30, 2023 and 2022, statements of changes in stockholders’ equity (deficit) for the twelve months ended September 30, 2023 and 2022 and statements of cash flows for the twelve months ended September 30, 2023 and 2022 are derived from Armada’s audited financial statements included elsewhere in this proxy statement/prospectus. Armada’s summary financial information as of and for the three months ended December 31, 2023 and 2022, unaudited condensed statements of operations for the three months ended December 31, 2023 and 2022, Armada’s Condensed Statements of Changes in Stockholders’ Equity (Deficit) for the three months ended December 31, 2023 and 2022 and the Unaudited Condensed Statements of Cash Flows for the three months ended December 31, 2023 and 2022 are derived from Armada’s condensed financial statements included elsewhere in this proxy statement/prospectus. Armada’s summary financial information as of and for the six months ended March 31, 2024 and 2023, unaudited condensed statements of operations for the six months ended March 31, 2024 and 2023, Armada’s Condensed Statements of Changes in Stockholders’ Equity (Deficit) for the six months ended March 31, 2024 and 2023 and the Unaudited Condensed Statements of Cash Flows for the six months ended March 31, 2024 and 2023 are derived from Armada’s condensed financial statements included elsewhere in this proxy statement/prospectus.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financial statements of Armada are stated in U.S. dollars ($).</w:t>
      </w:r>
    </w:p>
    <w:p>
      <w:pPr>
        <w:spacing w:after="0" w:line="225" w:lineRule="exact"/>
        <w:rPr>
          <w:sz w:val="20"/>
          <w:szCs w:val="20"/>
          <w:color w:val="auto"/>
        </w:rPr>
      </w:pPr>
    </w:p>
    <w:p>
      <w:pPr>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The information in this section is only a summary and should be read in conjunction with each of Armada’s financial statements and related notes and “</w:t>
      </w:r>
      <w:r>
        <w:rPr>
          <w:rFonts w:ascii="Times New Roman" w:cs="Times New Roman" w:eastAsia="Times New Roman" w:hAnsi="Times New Roman"/>
          <w:sz w:val="18"/>
          <w:szCs w:val="18"/>
          <w:i w:val="1"/>
          <w:iCs w:val="1"/>
          <w:color w:val="auto"/>
        </w:rPr>
        <w:t>Other Information Related to Armada — Armada’s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contained elsewhere herein. The historical results included below and elsewhere in this proxy statement/prospectus are not indicative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future performance of Armada.</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9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0"/>
        </w:trPr>
        <w:tc>
          <w:tcPr>
            <w:tcW w:w="1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980" w:type="dxa"/>
            <w:vAlign w:val="bottom"/>
            <w:gridSpan w:val="6"/>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1"/>
        </w:trPr>
        <w:tc>
          <w:tcPr>
            <w:tcW w:w="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4"/>
                <w:szCs w:val="14"/>
                <w:color w:val="auto"/>
              </w:rPr>
            </w:pPr>
          </w:p>
        </w:tc>
        <w:tc>
          <w:tcPr>
            <w:tcW w:w="19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color w:val="auto"/>
              </w:rPr>
              <w:t>(Audited)</w:t>
            </w:r>
          </w:p>
        </w:tc>
      </w:tr>
      <w:tr>
        <w:trPr>
          <w:trHeight w:val="142"/>
        </w:trPr>
        <w:tc>
          <w:tcPr>
            <w:tcW w:w="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1,031,440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1,185,087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$ 571,529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394,352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2,570,872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$ 4,391,263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8"/>
              </w:rPr>
              <w:t>(1,107,040)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8"/>
              </w:rPr>
              <w:t>(1,241,013)</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(621,929)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(422,315)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8"/>
              </w:rPr>
              <w:t>(2,789,126)</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(4,503,115)</w:t>
            </w:r>
          </w:p>
        </w:tc>
        <w:tc>
          <w:tcPr>
            <w:tcW w:w="200" w:type="dxa"/>
            <w:vAlign w:val="bottom"/>
          </w:tcPr>
          <w:p>
            <w:pPr>
              <w:spacing w:after="0"/>
              <w:rPr>
                <w:sz w:val="17"/>
                <w:szCs w:val="17"/>
                <w:color w:val="auto"/>
              </w:rPr>
            </w:pPr>
          </w:p>
        </w:tc>
      </w:tr>
      <w:tr>
        <w:trPr>
          <w:trHeight w:val="230"/>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3"/>
        </w:trPr>
        <w:tc>
          <w:tcPr>
            <w:tcW w:w="18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Trust interest income</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604,992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2,264,081</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1,289,673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3,084,260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1,025,942</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 other income</w:t>
            </w:r>
          </w:p>
        </w:tc>
        <w:tc>
          <w:tcPr>
            <w:tcW w:w="10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480,794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2,264,081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329,449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1,289,673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3,084,260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(443,184)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(615,284)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(145,621)</w:t>
            </w: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(741,160)</w:t>
            </w:r>
          </w:p>
        </w:tc>
        <w:tc>
          <w:tcPr>
            <w:tcW w:w="240" w:type="dxa"/>
            <w:vAlign w:val="bottom"/>
            <w:gridSpan w:val="2"/>
          </w:tcPr>
          <w:p>
            <w:pPr>
              <w:jc w:val="center"/>
              <w:ind w:left="32"/>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579,884</w:t>
            </w:r>
          </w:p>
        </w:tc>
        <w:tc>
          <w:tcPr>
            <w:tcW w:w="1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(360,314)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607,027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(320,150)</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(3,622,794)</w:t>
            </w: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516"/>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81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51"/>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13"/>
                <w:szCs w:val="13"/>
                <w:color w:val="auto"/>
              </w:rPr>
            </w:pPr>
          </w:p>
        </w:tc>
        <w:tc>
          <w:tcPr>
            <w:tcW w:w="154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13"/>
                <w:szCs w:val="13"/>
                <w:color w:val="auto"/>
              </w:rPr>
            </w:pPr>
          </w:p>
        </w:tc>
        <w:tc>
          <w:tcPr>
            <w:tcW w:w="132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71"/>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(Unaudited)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(Unaudited)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(Audited)</w:t>
            </w: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Data:</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107,722</w:t>
            </w: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54,405</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15,882,693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25,939,504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9,771,340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(9,636,093)</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(9,155,176)</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(8,486,012)</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Historical Summary Financial Information of Rezolve</w:t>
      </w:r>
    </w:p>
    <w:p>
      <w:pPr>
        <w:spacing w:after="0" w:line="121"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Rezolve’s financial data. Rezolve has derived the following statements of operations and comprehensive loss for the years ended December 31, 2023 and 2022 and balance sheet data as of December 31, 2023 and 2022 from Rezolve AI Limited’s audited carve-out financial statements included elsewhere in this proxy statement/prospectus, which includes the financial statements of Rezolve AI Limited, Rezolve Limited, its consolidated subsidiaries, and any variable interest entity in which Rezolve is the primary beneficiary, with the exception of the subsidiaries Rezolve Information Technology (Shanghai) Co., Ltd. and Nine Stone (Shanghai) Ltd (the “Rezolve Financial Statements”).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Rezolve Financial Statements are stated in U.S. dollars ($).</w:t>
      </w:r>
    </w:p>
    <w:p>
      <w:pPr>
        <w:spacing w:after="0" w:line="225" w:lineRule="exact"/>
        <w:rPr>
          <w:sz w:val="20"/>
          <w:szCs w:val="20"/>
          <w:color w:val="auto"/>
        </w:rPr>
      </w:pPr>
    </w:p>
    <w:p>
      <w:pPr>
        <w:ind w:left="300" w:right="200" w:firstLine="426"/>
        <w:spacing w:after="0" w:line="289" w:lineRule="auto"/>
        <w:rPr>
          <w:sz w:val="20"/>
          <w:szCs w:val="20"/>
          <w:color w:val="auto"/>
        </w:rPr>
      </w:pPr>
      <w:r>
        <w:rPr>
          <w:rFonts w:ascii="Times New Roman" w:cs="Times New Roman" w:eastAsia="Times New Roman" w:hAnsi="Times New Roman"/>
          <w:sz w:val="17"/>
          <w:szCs w:val="17"/>
          <w:color w:val="auto"/>
        </w:rPr>
        <w:t>The information in this section is only a summary and should be read in conjunction with each of the Rezolve Financial Statements and related notes and “</w:t>
      </w:r>
      <w:r>
        <w:rPr>
          <w:rFonts w:ascii="Times New Roman" w:cs="Times New Roman" w:eastAsia="Times New Roman" w:hAnsi="Times New Roman"/>
          <w:sz w:val="17"/>
          <w:szCs w:val="17"/>
          <w:i w:val="1"/>
          <w:iCs w:val="1"/>
          <w:color w:val="auto"/>
        </w:rPr>
        <w:t>Rezolve’s Management’s Discussion and Analysis of Financial Condition and Results of Operations</w:t>
      </w:r>
      <w:r>
        <w:rPr>
          <w:rFonts w:ascii="Times New Roman" w:cs="Times New Roman" w:eastAsia="Times New Roman" w:hAnsi="Times New Roman"/>
          <w:sz w:val="17"/>
          <w:szCs w:val="17"/>
          <w:color w:val="auto"/>
        </w:rPr>
        <w:t>” contained elsewhere herein. The historical results included below and elsewhere in this proxy statement/prospectus are not indicative of the future performance of Rezolve.</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(26,006,274)</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(107,046,147)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for the year</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(30,736,098)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(110,712,948)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(87,941)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(30,805,663</w:t>
            </w:r>
          </w:p>
        </w:tc>
        <w:tc>
          <w:tcPr>
            <w:tcW w:w="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(110,800,889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2560" w:type="dxa"/>
            <w:vAlign w:val="bottom"/>
            <w:gridSpan w:val="5"/>
          </w:tcPr>
          <w:p>
            <w:pPr>
              <w:jc w:val="center"/>
              <w:ind w:right="15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Data: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10,441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39,380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2,536,484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1,648,939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26,480,326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(54,284,884)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(32,519,603)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46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360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provides summary selected unaudited pro forma financial information to correspond to the unaudited pro forma financial information provided for Rezolve and Armada in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 on selected financial information,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Balance Sheet as of December 31, 2023</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4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73"/>
        </w:trPr>
        <w:tc>
          <w:tcPr>
            <w:tcW w:w="4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17"/>
        </w:trPr>
        <w:tc>
          <w:tcPr>
            <w:tcW w:w="49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r>
      <w:tr>
        <w:trPr>
          <w:trHeight w:val="173"/>
        </w:trPr>
        <w:tc>
          <w:tcPr>
            <w:tcW w:w="4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40,213,715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55,923,429</w:t>
            </w: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(37,674,138)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(53,383,851)</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Statement Of Operations for the Year Ended December 31, 2023</w:t>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3"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 Net loss per share, basic and diluted</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73"/>
        </w:trPr>
        <w:tc>
          <w:tcPr>
            <w:tcW w:w="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17"/>
        </w:trPr>
        <w:tc>
          <w:tcPr>
            <w:tcW w:w="2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8"/>
        </w:trPr>
        <w:tc>
          <w:tcPr>
            <w:tcW w:w="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(76,227,653)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(76,383,195)</w:t>
            </w:r>
          </w:p>
        </w:tc>
        <w:tc>
          <w:tcPr>
            <w:tcW w:w="60" w:type="dxa"/>
            <w:vAlign w:val="bottom"/>
          </w:tcPr>
          <w:p>
            <w:pPr>
              <w:spacing w:after="0"/>
              <w:rPr>
                <w:sz w:val="19"/>
                <w:szCs w:val="19"/>
                <w:color w:val="auto"/>
              </w:rPr>
            </w:pPr>
          </w:p>
        </w:tc>
      </w:tr>
      <w:tr>
        <w:trPr>
          <w:trHeight w:val="409"/>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208,782,249</w:t>
            </w:r>
          </w:p>
        </w:tc>
        <w:tc>
          <w:tcPr>
            <w:tcW w:w="1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207,364,562</w:t>
            </w:r>
          </w:p>
        </w:tc>
        <w:tc>
          <w:tcPr>
            <w:tcW w:w="60" w:type="dxa"/>
            <w:vAlign w:val="bottom"/>
          </w:tcPr>
          <w:p>
            <w:pPr>
              <w:spacing w:after="0"/>
              <w:rPr>
                <w:sz w:val="24"/>
                <w:szCs w:val="24"/>
                <w:color w:val="auto"/>
              </w:rPr>
            </w:pPr>
          </w:p>
        </w:tc>
      </w:tr>
      <w:tr>
        <w:trPr>
          <w:trHeight w:val="234"/>
        </w:trPr>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(0.37)</w:t>
            </w:r>
          </w:p>
        </w:tc>
      </w:tr>
    </w:tbl>
    <w:p>
      <w:pPr>
        <w:spacing w:after="0" w:line="629" w:lineRule="exact"/>
        <w:rPr>
          <w:sz w:val="20"/>
          <w:szCs w:val="20"/>
          <w:color w:val="auto"/>
        </w:rPr>
      </w:pPr>
    </w:p>
    <w:p>
      <w:pPr>
        <w:sectPr>
          <w:pgSz w:w="11900" w:h="16838" w:orient="portrait"/>
          <w:cols w:equalWidth="0" w:num="2">
            <w:col w:w="7980" w:space="400"/>
            <w:col w:w="2560"/>
          </w:cols>
          <w:pgMar w:left="320" w:top="455" w:right="639" w:bottom="1440" w:gutter="0" w:footer="0" w:header="0"/>
          <w:type w:val="continuous"/>
        </w:sect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sets forth selected historical comparative share information for Armada and Rezolve and unaudited pro forma combined per share information of the post-combination business after giving effect to the Business Combination, assuming two redemption scenarios as follows:</w:t>
      </w:r>
    </w:p>
    <w:p>
      <w:pPr>
        <w:spacing w:after="0" w:line="81" w:lineRule="exact"/>
        <w:rPr>
          <w:sz w:val="20"/>
          <w:szCs w:val="20"/>
          <w:color w:val="auto"/>
        </w:rPr>
      </w:pPr>
    </w:p>
    <w:p>
      <w:pPr>
        <w:ind w:left="1240" w:right="300" w:hanging="415"/>
        <w:spacing w:after="0" w:line="282"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Minimum Redemptions — This assumes that the minimum number of Armada public stockholder exercises redemption rights with respect to Armada Public Shares for a pro rata portion of the funds in Armada’s Trust Account.</w:t>
      </w:r>
    </w:p>
    <w:p>
      <w:pPr>
        <w:spacing w:after="0" w:line="67" w:lineRule="exact"/>
        <w:rPr>
          <w:rFonts w:ascii="Times New Roman" w:cs="Times New Roman" w:eastAsia="Times New Roman" w:hAnsi="Times New Roman"/>
          <w:sz w:val="18"/>
          <w:szCs w:val="18"/>
          <w:color w:val="auto"/>
        </w:rPr>
      </w:pPr>
    </w:p>
    <w:p>
      <w:pPr>
        <w:ind w:left="1240" w:right="20" w:hanging="415"/>
        <w:spacing w:after="0" w:line="256"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Maximum Redemptions — This assumes that Armada public stockholders (who are not Armada Initial Shareholders or an officer or director of Armada) holding 1,417,687 of Armada Public Shares exercise their redemption rights and that such Armada Public Shares are redeemed for their pro rata share ($10.00 per share, plus any pro rata interest earned on the Trust Account not previously released to Armada (net of taxes payable), as of two business days prior to the consummation of the Business Combination) of the funds in Armada’s Trust Account for aggregate redemption for aggregate redemption payments of $14,176,870 at a redemption price of approximately $10.00 per share based on the investments held in the Trust Account.</w:t>
      </w:r>
    </w:p>
    <w:p>
      <w:pPr>
        <w:spacing w:after="0" w:line="187"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The unaudited pro forma weighted average shares outstanding and net loss per share information give pro forma effect to the Business Combination as if it had occurred on January 1, 2023.</w:t>
      </w:r>
    </w:p>
    <w:p>
      <w:pPr>
        <w:spacing w:after="0" w:line="162"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This information is only a summary and should be read together with the selected historical financial information included elsewhere in this proxy statement/prospectus and the audited financial statements of</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320" w:top="455" w:right="6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24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Armada and Rezolve and related notes that are included elsewhere in this proxy statement/prospectus. The unaudited pro forma combined per share information of Armada and Rezolve is derived from, and should be read in conjunction with, the unaudited pro forma condensed combined financial information and related notes included elsewhere in this proxy statement/prospectus.</w:t>
      </w:r>
    </w:p>
    <w:p>
      <w:pPr>
        <w:spacing w:after="0" w:line="176"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the earnings per share for any future date or period. The unaudited pro forma combined book value per share information below does not purport to represent what the value of Armada and Rezolve would have been had the companies been combined during the periods presented.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23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Rezolve equivalent pro forma</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gridSpan w:val="3"/>
            <w:vMerge w:val="continue"/>
          </w:tcPr>
          <w:p>
            <w:pPr>
              <w:spacing w:after="0"/>
              <w:rPr>
                <w:sz w:val="15"/>
                <w:szCs w:val="15"/>
                <w:color w:val="auto"/>
              </w:rPr>
            </w:pPr>
          </w:p>
        </w:tc>
        <w:tc>
          <w:tcPr>
            <w:tcW w:w="23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per share information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0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1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122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ind w:right="83"/>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040" w:type="dxa"/>
            <w:vAlign w:val="bottom"/>
            <w:tcBorders>
              <w:top w:val="single" w:sz="8" w:color="auto"/>
            </w:tcBorders>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4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0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7"/>
        </w:trPr>
        <w:tc>
          <w:tcPr>
            <w:tcW w:w="36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0"/>
                <w:szCs w:val="10"/>
                <w:b w:val="1"/>
                <w:bCs w:val="1"/>
                <w:color w:val="auto"/>
              </w:rPr>
              <w:t>(3)</w:t>
            </w: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 xml:space="preserve">Book value per share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1.13</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(0.06)</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outstanding, basic</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5,709,500</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1,168,213,657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1,166,795,970</w:t>
            </w:r>
          </w:p>
        </w:tc>
        <w:tc>
          <w:tcPr>
            <w:tcW w:w="140" w:type="dxa"/>
            <w:vAlign w:val="bottom"/>
          </w:tcPr>
          <w:p>
            <w:pPr>
              <w:spacing w:after="0"/>
              <w:rPr>
                <w:sz w:val="18"/>
                <w:szCs w:val="18"/>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208,782,249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207,364,562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Common</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(0.05)</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(0.37)</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subject to possible</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redemption outstanding, basic 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1,417,687</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redeemable</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(0.05)</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Ordinary Shares outstanding, basic</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927,204,508</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 per Ordinary Share</w:t>
            </w:r>
          </w:p>
        </w:tc>
        <w:tc>
          <w:tcPr>
            <w:tcW w:w="10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(0.03)</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20" w:right="260" w:hanging="522"/>
        <w:spacing w:after="0" w:line="298" w:lineRule="auto"/>
        <w:tabs>
          <w:tab w:leader="none" w:pos="8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value per share equals total equity available to common stockholders or ordinary shareholders, divided by the number of shares of common stock, ordinary shares and redeemable stock outstanding. Preferred and deferred shares are excluded.</w:t>
      </w:r>
    </w:p>
    <w:p>
      <w:pPr>
        <w:spacing w:after="0" w:line="69" w:lineRule="exact"/>
        <w:rPr>
          <w:rFonts w:ascii="Times New Roman" w:cs="Times New Roman" w:eastAsia="Times New Roman" w:hAnsi="Times New Roman"/>
          <w:sz w:val="16"/>
          <w:szCs w:val="16"/>
          <w:color w:val="auto"/>
        </w:rPr>
      </w:pPr>
    </w:p>
    <w:p>
      <w:pPr>
        <w:ind w:left="820" w:right="80" w:hanging="522"/>
        <w:spacing w:after="0" w:line="298" w:lineRule="auto"/>
        <w:tabs>
          <w:tab w:leader="none" w:pos="8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equivalent pro forma basic and diluted per share data for Rezolve is calculated by multiplying the pro forma combined per share data by the Exchange Rezolve Ordinary Ratio, which is expected to be one Ordinary Share for each share of Armada Common Stock.</w:t>
      </w:r>
    </w:p>
    <w:p>
      <w:pPr>
        <w:spacing w:after="0" w:line="69" w:lineRule="exact"/>
        <w:rPr>
          <w:rFonts w:ascii="Times New Roman" w:cs="Times New Roman" w:eastAsia="Times New Roman" w:hAnsi="Times New Roman"/>
          <w:sz w:val="16"/>
          <w:szCs w:val="16"/>
          <w:color w:val="auto"/>
        </w:rPr>
      </w:pPr>
    </w:p>
    <w:p>
      <w:pPr>
        <w:ind w:left="820" w:hanging="522"/>
        <w:spacing w:after="0"/>
        <w:tabs>
          <w:tab w:leader="none" w:pos="8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cash dividends declared in the period presented.</w:t>
      </w:r>
    </w:p>
    <w:p>
      <w:pPr>
        <w:spacing w:after="0" w:line="3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Shareholders should carefully consider the following risk factors, together with all of the other information included in this proxy statement/prospectus, before they decide whether to vote or instruct their vote to be cast to approve the proposals described in this proxy statement/prospectus. The value of your investment in Rezolve following the consummation of the Business Combination will be subject to significant risks affecting Rezolve and inherent in the industry in which Rezolve operates. If any of the events described below occur, the post-acquisition business and financial results could be adversely affected in a material way. This could cause the trading price of Rezolve Ordinary Shares to decline, perhaps significantly, and you therefore may lose all or part of your investment. Please see the section titled “Where You Can Find More Information” in this proxy statement/prospectus for information on where you can find the periodic reports and other documents Armada has filed with or furnished to the SEC.</w:t>
      </w:r>
    </w:p>
    <w:p>
      <w:pPr>
        <w:spacing w:after="0" w:line="18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risks set out below are not exhaustive and do not comprise all of the risks associated with an investment in Rezolve. Additional risks and uncertainties not currently known to Armada or Rezolve or which Armada or Rezolve currently deem immaterial may also have a material adverse effect on Rezolve’s business, financial condition, results of operations, prospects and/or its share price. Shareholders should consult a legal adviser, an independent financial adviser or a tax adviser for legal, financial or tax advice prior to deciding whether to vote or instruct their vote to be cast to approve the proposals described in this proxy statement/prospectus.</w:t>
      </w:r>
    </w:p>
    <w:p>
      <w:pPr>
        <w:spacing w:after="0" w:line="183"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and “our” refer to Armada prior to the consummation of the Business Combination and to Rezolve PLC and its subsidiaries following the consummation of the Business Combination.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Business Combination and Risks Relating to Armada’s Due Diligence and Evaluation of Rezolve</w:t>
      </w:r>
    </w:p>
    <w:p>
      <w:pPr>
        <w:spacing w:after="0" w:line="117"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an initial business combination prior to Armada’s applicable business combination deadline, our public stockholders may receive only approximately $11.31 per share on the liquidation of the Trust Account (or less than $11.31 per share in certain circumstances where a third party brings a claim against us that our Sponsor is unable to indemnify).</w:t>
      </w:r>
    </w:p>
    <w:p>
      <w:pPr>
        <w:spacing w:after="0" w:line="6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by the applicable deadline, our public stockholders may receive only approximately $11.31 per share on the liquidation of the Trust Account (or less than $11.31 per share in certain circumstances where a third-party brings a claim against us that our Sponsor is unable to indemnify (as described herein)). In such event, however, if Armada’s net assets are insufficient to complete such liquidation, the Sponsor has agreed to advance such funds necessary to complete such liquidation and agrees not to seek repayment for such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the Armada public stockholders vote.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stockholders agree to vote their Founder Shares in accordance with the majority of the votes cast by the public stockholders in connection with an initial business combination, the Sponsor has agreed (i) to vote its shares in favor of any proposed business combination, including the Business Combination, and (ii) not to sell any such shares to Armada in a tender offer in connection with any proposed business combination. Armada’s Sponsor has agreed to vote its shares in favor of each of the Business Combination Proposals. As a result, Armada would not need any of the shares held by public shareholders to be voted in favor of the Business Combination Agreement in order to have the Business Combination approved. Accordingly, it is more likely that the necessary stockholder approval will be received than would be the case if the Sponsor agreed to vote its Founder Shares and Private Placement Shares in accordance with the majority of the votes cast by the Armada public stockholders.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Armada’s public stockholders may not have the same benefits as an investor in an underwritten public offering.</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Like other business combination transactions and spin-offs, in connection with the Business Combination, Armada’s public stockholders will not receive the benefits of the diligence performed by the underwriters in an underwritten public offering. Investors in an underwritten public offering may benefit from the role of the underwriters in such an offering. In an underwritten public offering, an issuer initially sells its securities to the public market via one or more underwriters, who distribute or resell such securities to the public. Underwriters have liability under the U.S. securities laws for material misstatements or omissions in a registration statement pursuant to which an issuer sells securities.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the underwriters have a defense to any such liability by, among other things, conducting a reasonable investigation, the underwriters and their counsel conduct a “due diligence” investigation of the issuer. Due diligence entails engaging legal, financial and/or other experts to perform an investigation as to the accuracy of an issuer’s disclosure regarding, among other things, its business and financial results. Auditors of the issuer also will deliver a “comfort” letter with respect to the financial information contained in the registration statement. In making their investment decision, investors in underwritten public offerings have the benefit of such diligence.</w:t>
      </w:r>
    </w:p>
    <w:p>
      <w:pPr>
        <w:spacing w:after="0" w:line="28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proxy statement/prospectus may not be indicative of what Rezolve’s actual financial position or results of operations would have been.</w:t>
      </w:r>
    </w:p>
    <w:p>
      <w:pPr>
        <w:spacing w:after="0" w:line="5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in this proxy statement/prospectus is presented solely for illustrative purposes only and is not necessarily indicative of what Rezolve’s actual financial position or results of operations would have been had the Business Combination completed on the dates indicated. See the section titled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 for more information.</w:t>
      </w:r>
    </w:p>
    <w:p>
      <w:pPr>
        <w:spacing w:after="0" w:line="262"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 does not expect to obtain an updated opinion from Marshall &amp; Stevens reflecting changes in circumstances that may occur after the signing of the amended and restated Business Combination Agreement.</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 opinion rendered to the Armada Board by Northland was provided in connection with, and at the time of, the Board’s initial evaluation of the Business Combination on December 16, 2021, and subsequently confirmed in writing, and does not speak as of any other date. In connection with the amendment to the Business Combination Agreement, Northland rendered a new opinion to the Armada Board in connection with the Board’s evaluation of the Business Combination, which opinion is dated as of March 30, 2022, and does not speak as of any other date.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further amended and restated Business Combination Agreement, Marshall &amp; Stevens rendered a new opinion to the Armada Board in connection with the Board’s evaluation of the Business Combination, which opinion is dated as of June 11, 2023, and does not speak as of any other date. Each of Northland’s and Marshall &amp; Stevens’s opinion was based on financial forecasts and other information made available to Northland and Marshall &amp; Stevens, respectively, and on economic, market and other conditions in effect, as of the date of each such opinion, which may have changed, or may change, after the date of such opinion. Armada does not expect to obtain an updated opinion from Marshall &amp; Stevens as of the date of this proxy statement/prospectus and does not expect to obtain an updated opinion prior to completion of the Business Combination. Changes in the operations and prospects of Rezolve, general market and economic conditions and other factors on which Northland’s and Marshall &amp; Stevens’ opinions were based, may significantly alter the value of Rezolve by the time the Business Combination is completed. Northland’s and Marshall &amp; Stevens’ opinions do not speak as of the time the Business Combination will be completed or as of any date other than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date of such opinion. For a description of the opinion issued by Northland and the opinion issued by Marshall &amp; Stevens to the Board, please see the sections entitled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Business Combination Proposal — 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Northland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directors may decide not to enforce the indemnification obligations of Armada’s Sponsor, resulting in a reduction in the amount of funds in the Trust Account available for distribution to Armada’s public stockholders.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Armada’s Sponsor asserts that it is unable to satisfy its obligations or that it has no indemnification obligations related to a particular claim, Armada’s independent directors would determine whether to take legal action against Armada’s Sponsor to enforce its indemnification obligations. While Armada currently expects that its independent directors would take legal action on Armada’s behalf against its Sponsor to enforce its indemnification obligations, it is possible that Armada’s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Armada’s independent directors choose not to enforce these indemnification obligations, the amount of funds in the Trust Account available for distribution to Armada’s public stockholders may be reduced below $10.00 per share.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may not have sufficient funds to satisfy indemnification claims of its directors and executive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Armada has agreed to indemnify its officers and directors to the fullest extent permitted by law. However, Armada’s officers and directors have agreed to waive any right, title, interest or claim of any kind in or to any monies in the Trust Account and not to seek recourse against the Trust Account for any reason whatsoever. Accordingly, any indemnification provided will be able to be satisfied by Armada only if (i) Armada has sufficient funds outside of the Trust Account or (ii) Armada consummates an initial business combination. Armada’s obligation to indemnify its officers and directors may discourage stockholders from bringing a lawsuit against its officers or directors for breach of their fiduciary duty. These provisions also may have the effect of reducing the likelihood of derivative litigation against Armada’s officers and directors, even though such an action, if successful, might otherwise benefit Armada and its stockholders. Furthermore, a stockholder’s investment may be adversely affected to the extent Armada pays the costs of settlement and damage awards against its officers and directors pursuant to these indemnification provisions.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ability to successfully effect the Business Combination and to be successful thereafter will be totally dependent upon the efforts of its and Rezolve’s key personnel.</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Armada’s ability to successfully effect the Business Combination is dependent upon the efforts of its key personnel. Additionally, while Rezolve expects all of its key personnel to remain with the post-combination company following the Business Combination, it is possible that the post-combination company will lose some key personnel, the loss of which could negatively impact the operations and profitability of the post-combination company. Armada cannot assure you that these individuals will be familiar with the requirements of operating a public company, which could cause the post-combination company to have to expend time and resources helping them become familiar with such requirements. This could be expensive and time-consuming and could lead to various regulatory issues which may adversely affect its operations. Accordingly, there can be no assurances as to the success of Rezolve following the Business Combination.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and Rezolve will be subject to business uncertainties and contractual restrictions while the Business Combination is pending.</w:t>
      </w:r>
    </w:p>
    <w:p>
      <w:pPr>
        <w:spacing w:after="0" w:line="121" w:lineRule="exact"/>
        <w:rPr>
          <w:sz w:val="20"/>
          <w:szCs w:val="20"/>
          <w:color w:val="auto"/>
        </w:rPr>
      </w:pPr>
    </w:p>
    <w:p>
      <w:pPr>
        <w:jc w:val="both"/>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Uncertainty about the effect of the Business Combination on employees and third parties may have an adverse effect on Armada and Rezolve. These uncertainties may impair Armada’s or Rezolve’s ability to retain and motivate key personnel and could cause third parties that deal with any of Armada or them to defer entering into contracts or making other decisions or seek to change existing business relationships. If key employees depart because of uncertainty about their future roles and the potential complexities of the Business Combination, Armada’s or Rezolve’s business could be harmed.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may waive one or more of the conditions to the Business Combination.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Armada may agree to waive, in whole or in part, one or more of the conditions to Armada’s obligations to complete the Business Combination, to the extent permitted by Armada’s current amended and restated certificate of incorporation and bylaws and applicable laws. Armada may not waive the condition that Armada’s stockholders approve the Business Combination. Please see the section entitled “</w:t>
      </w:r>
      <w:r>
        <w:rPr>
          <w:rFonts w:ascii="Times New Roman" w:cs="Times New Roman" w:eastAsia="Times New Roman" w:hAnsi="Times New Roman"/>
          <w:sz w:val="18"/>
          <w:szCs w:val="18"/>
          <w:i w:val="1"/>
          <w:iCs w:val="1"/>
          <w:color w:val="auto"/>
        </w:rPr>
        <w:t>Proposal No. 1 — Approval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The Business Combination Agreement</w:t>
      </w:r>
      <w:r>
        <w:rPr>
          <w:rFonts w:ascii="Times New Roman" w:cs="Times New Roman" w:eastAsia="Times New Roman" w:hAnsi="Times New Roman"/>
          <w:sz w:val="18"/>
          <w:szCs w:val="18"/>
          <w:color w:val="auto"/>
        </w:rPr>
        <w:t>” for additional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and Rezolve will incur significant transaction and transition costs in connection with the Business Combination.</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Armada and Rezolve have both incurred and expect to incur significant, non-recurring costs in connection with consummating the Business Combination and operating as a public company following the consummation of the Business Combination. Armada and Rezolve may also incur additional costs to retain key employees. All expenses incurred in connection with the Business Combination Agreement and the transactions contemplated thereby (including the Business Combination), including all legal, accounting, consulting, investment banking and other fees, expenses and costs, will be for the account of the party incurring such fees, expenses and costs.</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aggregate transaction expenses as a result of the Business Combination are expected to be approximately $    million. The per-share amount Armada will distribute to stockholders who properly exercise their redemption rights will not be reduced by the transaction expenses and after such redemptions, the per-share value of shares held by non-redeeming stockholders will reflect Armada’s obligation to pay the transaction expenses.</w:t>
      </w:r>
    </w:p>
    <w:p>
      <w:pPr>
        <w:spacing w:after="0" w:line="262"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Armada’s Sponsor, certain members of Armada’s Board, and Armada’s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w:t>
      </w:r>
    </w:p>
    <w:p>
      <w:pPr>
        <w:spacing w:after="0" w:line="67"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When considering Armada’s Board’s recommendation that Armada’s stockholders vote in favor of the approval of the Business Combination Proposal, Armada’s stockholders should be aware that the directors and officers of Armada have interests in the Business Combination that may be different from, or in addition to, the interests of Armada’s stockholders. These interests include:</w:t>
      </w:r>
    </w:p>
    <w:p>
      <w:pPr>
        <w:spacing w:after="0" w:line="81" w:lineRule="exact"/>
        <w:rPr>
          <w:sz w:val="20"/>
          <w:szCs w:val="20"/>
          <w:color w:val="auto"/>
        </w:rPr>
      </w:pPr>
    </w:p>
    <w:p>
      <w:pPr>
        <w:ind w:left="1080" w:hanging="424"/>
        <w:spacing w:after="0" w:line="254"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each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$56,392,875 and $2,367,750, respectively, based upon the closing price of $11.55 per public share on the Nasdaq on June 10,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02" w:lineRule="exact"/>
        <w:rPr>
          <w:sz w:val="20"/>
          <w:szCs w:val="20"/>
          <w:color w:val="auto"/>
        </w:rPr>
      </w:pPr>
    </w:p>
    <w:p>
      <w:pPr>
        <w:jc w:val="both"/>
        <w:ind w:left="108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Armada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Armada Common Stock in connection with the completion of Armada’s Business Combination; and (b) to waive their redemption rights with respect to their shares of Armada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of Armada or to provide for redemption in connection with a business combination.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Armada’s Sponsor, directors or officers or their affiliates may elect to purchase shares from public stockholders, which may influence a vote on a proposed Business Combination and the other proposals described in this proxy statement/prospectus and reduce the public “float” of Rezolve’s Ordinary Shares.</w:t>
      </w:r>
    </w:p>
    <w:p>
      <w:pPr>
        <w:spacing w:after="0" w:line="6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Armada’s Sponsor, directors, or officers or their affiliates may purchase shares in privately negotiated transactions or in the open market either prior to or following the completion of its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although they are under no obligation to do so. Such a purchase may include a contractual acknowledgement that such stockholder, although still the record holder of Armada’s shares is no longer the beneficial owner thereof and therefore agrees not to exercise its redemption rights. In the event that Armada’s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Any such purchases will be reported pursuant to Section 13 and Section 16 of the Exchange Act to the extent such purchasers are subject to such reporting requirements.</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Rezolve’s Ordinary Shares and the number of beneficial holders of Rezolve’s securities may be reduced, possibly making it difficult to obtain or maintain the quotation, listing or trading of its securities on the Nasdaq or another national securities exchange or reducing the liquidity of the trading market for its Ordinary Shares.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of the post-combination company may not be able to enforce judgments entered by United States courts against certain of Rezolve’s officers and directors.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Armada is incorporated in the State of Delaware. However, following the Business Combination, some of Rezolve’s directors and executive officers are expected to reside outside of the U.S. As a result, shareholders of the post-combination company may not be able to effect service of process upon those persons within the U.S. or enforce against those persons judgments obtained in U.S. courts.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post-combination company fails to introduce or acquire new offerings or services that achieve broad market acceptance on a timely basis, or if its offerings or services are not adopted as expected, Rezolve will not be able to compete effectively.</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post-combination company will operate in a highly competitive, quickly changing environment, and Rezolve’s future success depends on its ability to develop or acquire and introduce new offerings and services that achieve broad market acceptance. The post-combination company’s ability to successfully introduce and market new offerings is unproven. Because the post-combination company will have a limited operating history and the market for its offerings, including newly acquired or developed offerings, is rapidly evolving, it is difficult to predict Rezolve’s operating results, particularly with respect to any new offerings that it may introduce. The post-combination company’s future success will depend in large part upon its ability to identify demand trends in the market in which it will operate and quickly develop or acquire, and design, manufacture and sell, offerings and services that satisfy these demands in a cost-effective manner.</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order to differentiate the post-combination company’s offerings and services from competitors’ products or offerings, the post-combination company will need to increase focus and capital investment in research and development, including software development. If any offerings currently sold by, and services offered by, Rezolve do not continue, or if the post-combination company’s new offerings or services fail to achieve widespread market acceptance, or if Rezolve is unsuccessful in capitalizing on opportunities in the market in which the post-combination company will operate, the post-combination company’s future growth may be slowed and its business, results of operations, and financial condition could be materially adversely affected. Successfully predicting demand trends is difficult, and it is very difficult to predict the effect that introducing a new offering or service will have on existing offering or service sales. It is possible that the post-combination company may not be successful with its new offerings and services, and as a result the post-combination company’s future growth may be slowed and its business, results of operations, and financial condition could be materially adversely affected. Also, the post-combination company may not be able to respond effectively to new product, offering or service announcements by competitors by quickly introducing competitive offerings and services.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the post-combination company may acquire companies and technologies in the future. In these circumstances, Rezolve may not be able to successfully manage integration of the new offering and service lines with Rezolve’s existing suite of offerings and services. If the post-combination company is unable to effectively and successfully further develop these new offering and service lines, the post-combination company may not be able to increase or maintain sales (as compared to sales of Rezolve on a standalone basis), and the post-combination company’s gross margin (as compared to sales of Rezolve on a standalone basis) may be adversely affected.</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Furthermore, the success of the post-combination company’s new offerings will depend on several factors, including, but not limited to, market demand, costs, timely completion and introduction of these offerings, prompt resolution of any defects or bugs in these offerings, the post-combination company’s ability to support these offerings, differentiation of new offerings from those of the post-combination company’s competitors, market acceptance of these offerings, delays and quality issues in releasing new offerings and services. One or more of the foregoing factors may result in lower quarterly revenues than expected, and the post-combination company may in the future experience offering or service introductions that fall short of its projected rates of market adoption.</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internal controls over financial reporting may not be effective and its independent registered public accounting firm may not be able to certify as to their effectiveness, which could have a significant and adverse effect on its business and reputation.</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Armada is required to comply with the SEC’s rules implementing Sections 302 and 404 of SOX, which require management to certify financial and other information in Armada’s quarterly and annual reports and provide an annual management report on the effectiveness of internal control over financial reporting. To comply with the requirements of being a public company, Rezolve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Rezolve as a privately-held company. Further, as an emerging growth company, Rezolve’s independent registered public accounting firm will not be required to formally attest to the effectiveness of its internal controls over financial reporting pursuant to Section 404 until the date Rezolve is no longer an emerging growth company. At such time, Rezolve’s independent registered public accounting firm may issue a report that is adverse in the event that it is not satisfied with the level at which the controls of the post-combination company are documented, designed, or operating.</w:t>
      </w:r>
    </w:p>
    <w:p>
      <w:pPr>
        <w:spacing w:after="0" w:line="188"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Testing and maintaining these controls can divert Rezolve’s management’s attention from other matters that are important to the operation of its business. If Rezolve identifies material weaknesses in the internal control over financial reporting of the post-combination company or, if it becomes subject to the requirements of Section 404 of Sarbanes-Oxley, is unable to comply with the requirements of Section 404 or assert that Rezolve’s internal control over financial reporting is effective, or if its independent registered public accounting firm is unable to express an opinion as to the effectiveness of its internal controls over financial reporting when Rezolve no longer qualifies as an emerging growth company, investors may lose confidence in the accuracy and completeness of its financial reports and the market price of Rezolve Ordinary Shares could be negatively affected, and Rezolve could become subject to investigations by the SEC or other regulatory authorities, which could require additional financial and management resources.</w:t>
      </w:r>
    </w:p>
    <w:p>
      <w:pPr>
        <w:spacing w:after="0" w:line="275"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Armada’s affiliates to purchase, directly or indirectly, public shares will increase the likelihood of approval of the Business Combination Proposal and the other Proposals and may affect the market price of Armada’s securities.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Armada’s Sponsor, directors, officers, advisors, or their affiliates may purchase shares in privately negotiated transactions either prior to or following the consummation of the Business Combination. None of Armada’s Sponsor, directors, officers, advisors, or their affiliates will make any such purchases when such parties are in possession of any material non-public information not disclosed to the seller or during a restricted period under Regulation M under the Exchange Act. Although none of Armada’s Sponsor, directors, officers,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Armada’s Sponsor, directors, officers, advisors or their affiliates, or the price such parties may pay.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Armada’s securities. In addition, the termination of the support provided by these purchases may materially adversely affect the market price of Armada’s securities.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consummation of the Business Combination, the post-combination company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Armada has conducted due diligence on Rezolve, Armada cannot assure you that this diligence revealed all material issues that may be present in Rezolve’s business, that it would be possible to uncover all material issues through a customary amount of due diligence, or that factors outside of Armada’s and Rezolve’s control will not later arise. As a result, the post-combination company may be forced to later write-down or write-off assets, restructure its operations, or incur impairment or other charges that could result in losses. Even if Armada’s due diligence successfully identifies certain risks, unexpected risks may arise, and previously known risks may materialize in a manner not consistent with Armada’s preliminary risk analysis. Even though these charges may be non-cash items and may not have an immediate impact on the post-combination company’s liquidity, the fact that the post-combination company reports charges of this nature could contribute to negative market perceptions about it or its securities. In addition, charges of this nature may cause the post-combination company to be unable to obtain future financing on favorable terms or at all.</w:t>
      </w:r>
    </w:p>
    <w:p>
      <w:pPr>
        <w:spacing w:after="0" w:line="29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Armada’s business, investments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Armada is subject to laws, regulations and rules enacted by national, regional and local governments. In particular, Armada is required to comply with certain SEC, Nasdaq and other legal or regulatory requirements, including the Nasdaq upon the transfer of its listing.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Armada’s business, investments, and results of operations. In addition, a failure to comply with applicable laws, regulations and rules, as interpreted and applied, could have a material adverse effect on Armada’s business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the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292"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Armada Warrant Agreement designates the courts of the State of New York or the United States District Court for the Southern District of New York as the sole and exclusive forums for certain types of actions and proceedings that may be initiated by holders of Rezolve Warrants, which could limit the ability of warrant holders to obtain a favorable judicial forum for disputes with Rezolve.</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Armada Warrant Agreement provides that, subject to applicable law, (i) any action, proceeding or claim arising out of or relating in any way to the Armada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forums for any such action, proceeding or claim. We will waive any objection to such exclusive jurisdiction and that such courts represent an inconvenient forum.</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these provisions of the Armada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the Armada Warrant Agreement.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provisions of the Armada Warrant Agreement, is filed in a court other than courts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the Armada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Closing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does not have a specified maximum redemption threshold.</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absence of such a redemption threshold may make it easier for Armada to consummate a business combination even where a substantial number of public stockholders seek to redeem their shares to cash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connection with the vote on the Business Combination. Armada has no specified percentage threshold for redemption in its amended and restated certificate of incorporation. As a result, Armada may be able to consummate a Business Combination even though a substantial number of its public stockholders do not agree with the transaction and have redeemed their shares. However, in no event will Armada be able to consummate an initial business combination unless it has net tangible assets of at least $5,000,001 immediately prior to or upon consummation of its initial business combination, unless the Charter Limitation Amendment Proposal is approved and implemented. If there are insufficient funds in the Trust Account at Closing to satisfy the requirement for $5,000,001 of net tangible assets and the Charter Limitation Amendment Proposal is not approved, the Combined Company will have to obtain additional funding, and if it fails to do so, may not be able to close the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Business Combination Agreement are not met, the Business Combination may not occur.</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Even if the Business Combination Agreement is approved by the stockholders of Armada, specified conditions must be satisfied or waived before the parties to the Business Combination Agreement are obligated to complete the Business Combination. For a list of the material closing conditions contained in the Business Combination Agreement, see the sections entitled “</w:t>
      </w:r>
      <w:r>
        <w:rPr>
          <w:rFonts w:ascii="Times New Roman" w:cs="Times New Roman" w:eastAsia="Times New Roman" w:hAnsi="Times New Roman"/>
          <w:sz w:val="18"/>
          <w:szCs w:val="18"/>
          <w:i w:val="1"/>
          <w:iCs w:val="1"/>
          <w:color w:val="auto"/>
        </w:rPr>
        <w:t>Conditions to the Closing of the Business Combination Agreement</w:t>
      </w:r>
      <w:r>
        <w:rPr>
          <w:rFonts w:ascii="Times New Roman" w:cs="Times New Roman" w:eastAsia="Times New Roman" w:hAnsi="Times New Roman"/>
          <w:sz w:val="18"/>
          <w:szCs w:val="18"/>
          <w:color w:val="auto"/>
        </w:rPr>
        <w:t>.” Armada and Rezolve may not satisfy all of the closing conditions in the Business Combination Agreement. If the closing conditions are not satisfied or waived, the Business Combination will not occur, or will be delayed pending later satisfaction or waiver, and such delay may cause Armada and Rezolve to each lose some or all of the intended benefits of the Business Combination.</w:t>
      </w:r>
    </w:p>
    <w:p>
      <w:pPr>
        <w:spacing w:after="0" w:line="291"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 cannot assure you that the Nasdaq Listing Condition will be satisfied or that Rezolve will be able to comply with the continued listing standard of Nasdaq if listed. If the Nasdaq Listing Condition is not satisfied, Armada would be unable to consummate the Business Combination without a waiver of the Nasdaq Listing Condition.</w:t>
      </w:r>
    </w:p>
    <w:p>
      <w:pPr>
        <w:spacing w:after="0" w:line="17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Armada’s securities are currently listed on the Nasdaq and it is anticipated that, following the Business Combination, Rezolve’s securities will be listed on the Nasdaq. However, Armada cannot assure you that Rezolve’s securities will be able to meet the initial listing requirements of Nasdaq or continue to be listed on the Nasdaq in the future. Rezolve’s eligibility for listing on Nasdaq may depend on the number of shares of Armada Common Stock that are redeemed in connection with the Business Combination, and Rezolve’s ability to satisfy initial listing criteria, including certain financial and liquidity measures. Financial and liquidity measures, depending on the listing standard, may include, among others, stockholders’ equity or the market value of Rezolve’s publicly traded shares, as well as the number of unrestricted round lot stockholders.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 which may involve dilutive equity issuances or the incurrence of indebtedness at higher-than-desirable levels. In order to continue to maintain the listing of Rezolve’s securities on the Nasdaq, Rezolve must also maintain certain financial, distribution and stock price levels. In addition to the listing requirements for Rezolve Ordinary Shares, the Nasdaq imposes listing standards on warrants, including the Rezolve Warrants. Armada cannot assure you that Rezolve will be able to meet those initial listing requirements.</w:t>
      </w:r>
    </w:p>
    <w:p>
      <w:pPr>
        <w:spacing w:after="0" w:line="19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Nasdaq delists Rezolve’s securities from trading on its exchange for failure to meet its listing standards after the Business Combination or the Nasdaq Listing Condition is waived by Rezolve and Rezolve is not able to list its securities on another national securities exchange, Rezolve and its stockholders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Rezolve’s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Rezolve Ordinary Shares are a “penny stock” which will require brokers trading in Rezolve Ordinary Shares to adhere to more stringent rules, possibly resulting in a reduced level of trading activity in the secondary trading market for Rezolve Ordinary Shares;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Armada nor its stockholders will have the protection of any indemnification, escrow, price adjustment or other provisions that allow for a post-closing adjustment to be made to the total aggregate closing consideration in the event that any of the representations and warranties made by Rezolve in the Business Combination ultimately proves to be inaccurate or incorrect.</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made by Rezolve and Armada to each other in the Business Combination Agreement will not survive the consummation of the Business Combination. As a result, Armada and its stockholders will not have the protection of any indemnification, escrow, price adjustment or other provisions that allow for a post-closing adjustment to be made to the total merger consideration if any representation or warranty made by Rezolve in the Business Combination Agreement proves to be inaccurate or incorrect. Accordingly, to the extent such representations or warranties are incorrect, Armada would have no indemnification claim with respect thereto and its financial condition or results of operations could be adversely affected.</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discretion by Armada’s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Armada’s stockholders.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period leading up to the Closing, other events may occur that, pursuant to the Business Combination Agreement, would require Armada to agree to amend the Business Combination Agreement to consent to certain actions or to waive rights that Armada is entitled to under those agreements. Such events could arise because of changes in the course of Rezolve’s business, a request by Rezolve to undertake actions that would otherwise be prohibited by the terms of the Business Combination Agreement or the occurrence of other events that would have a material adverse effect on Rezolve’s business and would entitle Armada to terminate the Business Combination Agreement, as applicable. In any of such circumstances, it would be in the discretion of Armada, acting through the Board, to grant its consent or waive its rights. The existence of the financial and personal interests of the directors described elsewhere in this proxy statement/prospectus may result in a conflict of interest on the part of one or more of the directors between what he or she may believe is best for Armada and Armada’s stockholders and what he or she may believe is best for himself or herself or his or her affiliates in determining whether or not to take the requested action. As of the date of this proxy statement/prospectus, Armada does not believe there will be any changes or waivers that Armada’s directors and officers would be likely to make after stockholder approval of the Business Combination has been obtained. While certain changes could be made without further stockholder approval, if there is a change to the terms of the Business Combination that would have a material impact on the stockholders, Armada will be required to circulate a new or amended proxy statement or supplement thereto and resolicit the vote of Armada’s stockholders with respect to the Business Combination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Redemptions</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 does not have a specified maximum redemption threshold. The absence of such a redemption threshold may make it possible for Armada to complete a Business Combination with which a substantial majority of our stockholders do not agree.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Armada Charter does not provide a specified maximum redemption threshold, except that the Armada Charter prohibits Armada from closing the Business Combination if its net tangible assets would be less than $5,000,001, unless the Charter Limitation Amendment Proposal is approved and implemented. As a result, Armada may be able to complete Armada’s Business Combination even though a portion of its public stockholders do not agree with the transaction and have redeemed their shares or have entered into privately negotiated agreements to sell their shares to Armada’s Sponsor, directors or officers or their affiliates. Based on the amount of approximately $16,028,736 in Armada’s Trust Account as of June 10, 2024, 1,417,687 shares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Armada Common Stock may be redeemed and still enable Armada to have sufficient cash to satisfy the $5,000,001 net tangible assets requirement. 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statement/prospectus) at the Special Meeting.</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the aggregate cash consideration Armada would be required to pay for all shares of Armada Common Stock that are validly submitted for redemption plus the cash amount specified in the Business Combination Agreement exceeds the aggregate amount of cash available to Armada, Armada may not complete the Business Combination or redeem any shares, all shares of Armada Common Stock submitted for redemption will be returned to the holders thereof, and Armada instead may search for an alternate business combination.</w:t>
      </w:r>
    </w:p>
    <w:p>
      <w:pPr>
        <w:spacing w:after="0" w:line="284" w:lineRule="exact"/>
        <w:rPr>
          <w:sz w:val="20"/>
          <w:szCs w:val="20"/>
          <w:color w:val="auto"/>
        </w:rPr>
      </w:pPr>
    </w:p>
    <w:p>
      <w:pPr>
        <w:ind w:left="120"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ability of Armada’s stockholders to exercise their redemption rights with respect to a large number of Armada’s shares could increase the probability that the Business Combination would be unsuccessful and that you would have to wait for liquidation in order to redeem your shares.</w:t>
      </w:r>
    </w:p>
    <w:p>
      <w:pPr>
        <w:spacing w:after="0" w:line="2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Armada Charter would prohibit Armada from closing the Business Combination if its net tangible assets would be less than $5,000,001, unless the Charter Limitation Amendment Proposal is approved and implemented. Armada does not know how many stockholders will exercise their redemption rights in connection with the Business Combination and therefore whether it will be able to close the Business Combination if the Charter Limitation Amendment is not approved and implemented. If the Business Combination is unsuccessful, you would not receive your pro rata portion of the funds in the Trust Account until Armada liquidates the Trust Account. If you are in need of immediate liquidity, you could attempt to sell your shares in the open market; however, at such time the Armada Common Stock may trade at a discount to the pro rata amount per share in the Trust Account. In either situation, you may suffer a material loss on your investment or lose the benefit of funds expected in connection with your exercise of the redemption rights of our Armada Public Shares until Armada liquidates or you are able to sell your shares in the open market.</w:t>
      </w:r>
    </w:p>
    <w:p>
      <w:pPr>
        <w:spacing w:after="0" w:line="296"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5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Armada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Armada’s share price, and may result in a lower value realized now than a stockholder of Armada might realize in the future had the stockholder redeemed their shares.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27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Armada’s stockholders fail to comply with the redemption requirements specified in this proxy statement/prospectus, they will not be entitled to redeem their shares of Armada Common Stock for a pro rata portion of the funds held in the Trust Account.</w:t>
      </w:r>
    </w:p>
    <w:p>
      <w:pPr>
        <w:spacing w:after="0" w:line="5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Holders of public shares are not required to affirmatively vote for or against the Business Combination Proposal or any other proposal in order to exercise their rights to redeem their shares for a pro rata portion of the Trust Account. In order to exercise their Redemption Rights, they are required to submit a request in writing and deliver their stock (either physically or electronically) to Armada’s transfer agent at least two (2) business days prior to the Special Meeting. Stockholders electing to redeem their shares will receive their pro rata portion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aggregate amount then on deposit in the Trust Account, including interest earned on the funds held in the Trust Account and not previously released to it to pay Armada’s franchise and income taxes, calculated as of two (2) business days prior to the anticipated consummation of the Business Combination. See the section 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284"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Armada’s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tender their certificates to Armada’s transfer agent or deliver their shares to the transfer agent electronically through the DTC at least two (2) business days prior to the Special Meeting. In order to obtain a physical stock certificate, a stockholder’s broker and/or clearing broker, DTC and Armada’s transfer agent will need to act to facilitate this request. It is Armada’s understanding that stockholders should generally allow at least two weeks to obtain physical certificates from the transfer agent. However, because Armada does not have any control over this process or over the brokers, which Armada refers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292"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stockholder fails to receive notice of Armada’s offer to redeem its public shares in connection with its Business Combination or fails to comply with the procedures for tendering its shares, such shares may not be redeemed.</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despite Armada’s compliance with the proxy rules, a stockholder fails to receive its proxy materials, such stockholder may not become aware of the opportunity to redeem its shares. In addition, the proxy materials that Armada is furnishing to holders of Armada’s public shares in connection with its Business Combination describe the various procedures that must be complied with in order to validly redeem public shares. In the event that a stockholder fails to comply with these procedures, its shares may not be redeemed.</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to execute the post-combination company’s strategic plan could be negatively impacted to the extent a significant number of stockholders choose to redeem their shares in connection with the Business Combination.</w:t>
      </w:r>
    </w:p>
    <w:p>
      <w:pPr>
        <w:spacing w:after="0" w:line="5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Depending upon the aggregate amount of cash consideration Armada would be required to pay for all shares of Armada Common Stock that are validly submitted for redemption, the post-combination company may be required to increase the financial leverage the post-combination company’s business would have to support. This may negatively impact its ability to execute on its own future strategic plan and its financial viability.</w:t>
      </w:r>
    </w:p>
    <w:p>
      <w:pPr>
        <w:spacing w:after="0" w:line="262" w:lineRule="exact"/>
        <w:rPr>
          <w:sz w:val="20"/>
          <w:szCs w:val="20"/>
          <w:color w:val="auto"/>
        </w:rPr>
      </w:pPr>
    </w:p>
    <w:p>
      <w:pPr>
        <w:ind w:left="12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Armada, the proceeds held in trust could be reduced and the per-share redemption price received by stockholders may be less than $10.00 per share.</w:t>
      </w:r>
    </w:p>
    <w:p>
      <w:pPr>
        <w:spacing w:after="0" w:line="15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Armada’s placing of funds in trust may not protect those funds from third party claims against Armada. Although Armada has sought to have all vendors and service providers Armada engages and prospective target businesses Armada negotiated with execute agreements with Armada waiving any right, title, interest or claim of any kind in or to any monies held in the Trust Account for the benefit of Armada’s public stockholders, they may not execute such agreements. Furthermore, even if such entities execute such agreements with Armada, they may seek recourse against the Trust Account. A court may not uphold the validity of such agreements. Accordingly, the proceeds held in trust could be subject to claims which could take priority over those of Armada’s public stockholders. If Armada is unable to complete a business combination and distribute the proceeds held in trust to Armada’s public stockholders, the Sponsor has agreed (subject to certain exceptions described elsewhere in this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proxy statement/prospectus) that it will be liable to ensure that the proceeds in the Trust Account are not reduced below $10.00 per share by the claims of target businesses or claims of vendors or other entities that are owed money by Armada for services rendered or contracted for or products sold to Armada. However, it may not be able to meet such obligation. Therefore, the per-share distribution from the Trust Account may be less than $10.00, plus interest, due to such claims.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if Armada is forced to file a bankruptcy case or an involuntary bankruptcy case is filed against Armada which is not dismissed, the proceeds held in the Trust Account could be subject to applicable bankruptcy law and may be included in Armada’s bankruptcy estate and subject to the claims of third parties with priority over the claims of Armada’s stockholders. To the extent any bankruptcy claims deplete the Trust Account, Armada may not be able to return to Armada’s public stockholders at least $10.00. The Sponsor may not have sufficient funds to satisfy its indemnity obligations, as its only assets are securities of Armada.</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stockholders may be held liable for claims by third parties against Armada to the extent of distributions received by them upon redemption of their shares.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Armada enters into an insolvency proceeding, any distributions received by stockholders could be viewed as an unlawful payment if it was proved that, for example, immediately following the distribution, Armada was unable to pay its debts as they fall due in the ordinary course of business. As a result, a liquidator could seek to recover some or all amounts received by Armada’s stockholders. Furthermore, Armada’s directors may be viewed as having breached their fiduciary duties to the stockholders or its creditors or may have acted in bad faith, and thereby exposing itself and Armada to claims, by paying public stockholders from the Trust Account prior to addressing the claims of creditors. Armada cannot assure the stockholders that claims will not be brought against it for these reasons.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Shares</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Nasdaq may not list Rezolve’s securities on its exchange, which could limit investors’ ability to make transactions in its securities and subject Rezolve to additional trading restrictions.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in order to obtain the listing of the post-combination company’s securities on the Nasdaq, Rezolve will be required to demonstrate compliance with the Nasdaq’s initial listing requirements, which are more rigorous than the Nasdaq’s continued listing requirements. Armada and Rezolve will seek to have the post-combination company’s securities listed on the Nasdaq upon consummation of the Business Combination. Rezolve cannot assure you that it will be able to meet all initial listing requirements. Even if the post-combination company’s securities are listed on the Nasdaq, Rezolve may be unable to maintain the listing of its securities in the future.</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Rezolve fails to meet the initial listing requirements and the Nasdaq does not list the post-combination company’s securities on its exchange, Rezolve would not be required to consummate the Business Combination. In the event that Rezolve elected to waive this condition, and the Business Combination was consummated without the post-combination company’s securities being listed on the Nasdaq or on another national securities exchange, Rezolve could face significant material adverse consequences, including:</w:t>
      </w:r>
    </w:p>
    <w:p>
      <w:pPr>
        <w:spacing w:after="0" w:line="85"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Rezolve’s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Rezolve’s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Rezolve’s Ordinary Shares are a “penny stock” which will require brokers trading in the Rezolve Ordinary Shares to adhere to more stringent rules and possibly result in a reduced level of trading activity in the secondary trading market for its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U.S. federal statute, prevents or preempts U.S. states from regulating the sale of certain securities, which are referred to as “covered securities.” If the post-combination company’s securities were not listed on the Nasdaq, such securities would not qualify as covered securities and Rezolve would be subject to regulation in each U.S. state in which Armada offers its securities because U.S. states are not preempted from regulating the sale of securities that are not covered securities. Although U.S. states are preempted from regulating the sale of Rezolve’s securities, the U.S. federal statute does allow U.S. states to investigate companies if there is a suspicion of fraud, and, if there is a finding of fraudulent activity, then U.S. states can regulate or bar the sale of covered securities in a particular case. While Armada and Rezolve are not aware of a U.S. state, other than the State of Idaho, having used these powers to prohibit or restrict the sale of securities issued by blank check companies, certain U.S. state securities regulators view blank check companies unfavorably and might use these powers, or threaten to use these powers, to hinder the sale of securities of blank check companies in their states.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estimates or judgments relating to Rezolve’s critical accounting policies are ultimately incorrect, Rezolve’s results of operations could be adversely affected.</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Rezolve Financial Statements and accompanying notes. Rezolve bases its estimates on historical experience and on various other assumptions that Rezolve believes to be reasonable under the circumstances. The results of these estimates form the basis for making judgments about the carrying values of assets, liabilities and equity and the amount of revenues and expenses that are not readily apparent from other sources. Assumptions and estimates used in preparing the Rezolve Financial Statements include those related to revenue recognition and business combinations. Rezolve’s results of operations may be adversely affected if Rezolve’s assumptions change or if actual circumstances differ from those in Rezolve’s assumptions, which could adversely affect Rezolve’s business, results of operations and financial condition.</w:t>
      </w:r>
    </w:p>
    <w:p>
      <w:pPr>
        <w:spacing w:after="0" w:line="293"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adversely affect Rezolve’s results of operations.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change in accounting standards or practices may have a significant adverse effect on Rezolve’s results of operations and/or may affect Rezolve’s reporting of transactions completed before any such change is effective. New accounting pronouncements and varying interpretations of accounting pronouncements have occurred in the past and may occur in the future. Changes to existing rules or the questioning of current practices may adversely affect Rezolve’s reported financial results or the way Rezolve conducts its business.</w:t>
      </w:r>
    </w:p>
    <w:p>
      <w:pPr>
        <w:spacing w:after="0" w:line="284"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As a result, we qualify for, and may rely on, exemptions from certain corporate governance requirements that provide protection to stockholders of other companies.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 result of provisions in Rezolve’s articles of association, Daniel Wagner, the Rezolve Founder and Chief Executive Officer, controls 75% of the voting power of our outstanding capital stock. As a result, we are a “controlled company” within the meaning of the corporate governance standards of the Nasdaq. Under these rules, a company of which more than 50% of the voting power is held by an individual, group or another company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 as defined under the Nasdaq rules;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have a compensation committee that is composed entirely of independent directors with a written charter addressing the committee’s purpose and responsibilities;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have a nominating and corporate governance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compensation and nominating and corporate governance committees.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Rezolve may choose to utilize certain of these exemptions. Accordingly, you will not have the same protections afforded to stockholders of companies that are subject to all of the corporate governance requirements of the Nasdaq.</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Nasdaq has developed listing standards regarding compensation committee independence requirements and the role and disclosure of compensation consultants and other advisers to the compensation committee that, among other things, requires:</w:t>
      </w:r>
    </w:p>
    <w:p>
      <w:pPr>
        <w:spacing w:after="0" w:line="67"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composed of independent directors, as determined pursuant to new independence requirements;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explicitly charged with hiring and overseeing compensation consultants, legal counsel and other committee advisors; and</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required to consider, when engaging compensation consultants, legal counsel or other advisors, certain independence factors, including factors that examine the relationship between the consultant or advisor’s employer and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controlled company, Rezolve will not be subject to these compensation committee independence requirements.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Rezolve’s financial position, results of operations, and cash flows.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Any new taxes could adversely affect Rezolve’s domestic and international business operations, and Rezolve’s business and financial performance. Further, existing tax laws, statutes, rules, regulations or ordinances could be interpreted, changed, modified or applied adversely to Rezolve. Although Rezolve believes that it has complied with all applicable tax laws, there can be no assurance that a taxing authority will not have a different interpretation of the law and assess Rezolve with additional taxes (and possibly related interest and/or penalties). These events could require Rezolve, its business partners or its customers to pay additional tax amounts on a prospective or retroactive basis, as well as require Rezolve, its business partners or customers to pay fines and/or penalties and interest for past amounts deemed to be due.</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new, changed, modified or newly interpreted or applied tax laws could increase Rezolve’s business partners’, customers’ and Rezolve’s compliance, operating and other costs, as well as the costs of Rezolve’s platform. Any or all of these events could adversely impact Rezolve’s business and financial performance. Furthermore, as Rezolve’s employees continue to work remotely from geographic locations, Rezolve may become subject to additional taxes, and Rezolve’s compliance burdens with respect to the tax laws of additional jurisdictions may be increased, all of which could adversely affect Rezolve’s business, results of operations and financial condition.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public stockholders will experience immediate dilution as a consequence of the issuance of Rezolve Ordinary Shares as consideration in the Business Combination and due to future issuances pursuant to the Rezolve Incentive Equity Plan, the future conversion of the Convertible Notes into Rezolve Ordinary Shares and future issuances of Rezolve Ordinary Shares under the Standby Purchase Agreement. Having a minority share position may reduce the influence that Armada’s current stockholders have on the management of Rezolve.</w:t>
      </w:r>
    </w:p>
    <w:p>
      <w:pPr>
        <w:spacing w:after="0" w:line="7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assuming minimum redemptions: (i) Armada public stockholders will retain an ownership interest of approximately   % in Rezolve (not including shares beneficially owned by Armada’s Sponsor); (ii) Armada’s Sponsor will own approximately   % of Rezolve; and (iii) the existing Rezolve equity holders will own approximately   % of Rezolve. The ownership percentage with respect to Rezolve following the Business Combination does not take into account the issuance of any shares upon completion of the Business Combination under the Rezolve Incentive Equity Plan, a copy of which is attached to this proxy statement/prospectus as Annex F, the future conversion of the secured Convertible Notes into Rezolve Ordinary Shares, nor future issuances of Rezolve Ordinary Shares to YA pursuant to the Standby Purchase Agreement. If the actual facts are different than these assumptions, the percentage ownership of Armada’s existing stockholders in the post-combination company will be different. For more information, please see the sections entitled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“Proposal No. 3 — The Incentive Equity Plan Proposal</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additional Ordinary Shares will significantly dilute the equity interests of existing holders of Armada securities and may adversely affect prevailing market prices for Armada’s units, public shares or public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Rezolve’s Business and Industry</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31" w:lineRule="exact"/>
        <w:rPr>
          <w:sz w:val="20"/>
          <w:szCs w:val="20"/>
          <w:color w:val="auto"/>
        </w:rPr>
      </w:pPr>
    </w:p>
    <w:p>
      <w:pPr>
        <w:ind w:left="1080" w:right="54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30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81"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w:t>
      </w:r>
    </w:p>
    <w:p>
      <w:pPr>
        <w:spacing w:after="0" w:line="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8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81"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existing and new market business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new software development activity;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manage its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Rezolve can manage relationships with business partners and key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retain existing key management, integrate recent hires and attract, retain and motivate qualified personnel;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287"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31" w:lineRule="exact"/>
        <w:rPr>
          <w:sz w:val="20"/>
          <w:szCs w:val="20"/>
          <w:color w:val="auto"/>
        </w:rPr>
      </w:pPr>
    </w:p>
    <w:p>
      <w:pPr>
        <w:ind w:left="1080" w:right="12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jc w:val="both"/>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31" w:lineRule="exact"/>
        <w:rPr>
          <w:sz w:val="20"/>
          <w:szCs w:val="20"/>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8"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81" w:lineRule="exact"/>
        <w:rPr>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8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Rezolve’s platform and systems may be subject to distributed denial-of-service (“DDoS”)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left="120"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2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“European Data Protection Laws”).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0"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Rezolve’s Memorandum and Articles of Association will provide that Rezolve will indemnify its directors and officers, in each case to the fullest extent permitted by English law.</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6"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PLC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Rezolve Ordinary Shares and Rezolve Operating as a Public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Rezolve Ordinary Shares could be volatile, and the value of Rezolve Ordinary Shares may decline.</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cannot predict the prices at which Rezolve Ordinary Shares will trade. The price of Rezolve Ordinary Shares may not bear any relationship to the market price at which Rezolve Ordinary Shares will trade after the Transactions or to any other established criteria of the value of our business and prospects, and the market price of Rezolve Ordinary Shares following the Transactions may fluctuate substantially and may be lower than the price agreed by Armada with Rezolve in connection with the Transactions. In addition, the trading price of Rezolve Ordinary Shares following the Transactions is likely to be volatile and could be subject to fluctuations in response to various factors, some of which are beyond our control. These fluctuations could cause you to lose all or part of your investment in Rezolve Ordinary Shares as you might be unable to sell your shares at or above the price you paid in the Transactions. Factors that could cause fluctuations in the trading price of Rezolve Ordinary Shares include the following:</w:t>
      </w:r>
    </w:p>
    <w:p>
      <w:pPr>
        <w:spacing w:after="0" w:line="94" w:lineRule="exact"/>
        <w:rPr>
          <w:sz w:val="20"/>
          <w:szCs w:val="20"/>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30" w:lineRule="exact"/>
        <w:rPr>
          <w:rFonts w:ascii="Times New Roman" w:cs="Times New Roman" w:eastAsia="Times New Roman" w:hAnsi="Times New Roman"/>
          <w:sz w:val="18"/>
          <w:szCs w:val="18"/>
          <w:color w:val="auto"/>
        </w:rPr>
      </w:pPr>
    </w:p>
    <w:p>
      <w:pPr>
        <w:ind w:left="5540" w:right="4120" w:hanging="4884"/>
        <w:spacing w:after="0" w:line="454" w:lineRule="auto"/>
        <w:tabs>
          <w:tab w:leader="none" w:pos="109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 87</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Rezolve Ordinary Shares by shareholders;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Rezolve Ordinary Shares could decline for reasons unrelated to our business, financial condition or results of operations. The trading price of Rezolve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320" w:top="455" w:right="5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Rezolve Ordinary Shares.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the Closing, the price of Rezolve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8"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Rezolve will become a public reporting company by means other than a traditional underwritten initial public offering, the shareholders of Rezolve may face additional risks and uncertainties.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Because Rezolve will become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188"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5"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Rezolve’s Ordinary Shares could have an adverse effect on Rezolve’s ability to develop a liquid market for Rezolve’s Ordinary Shares.</w:t>
      </w:r>
    </w:p>
    <w:p>
      <w:pPr>
        <w:spacing w:after="0" w:line="329"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Rezolve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91"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are an “emerging growth company” as that term is used in the JOBS Act, and we may remain an emerging growth company until the earlier of</w:t>
      </w:r>
    </w:p>
    <w:p>
      <w:pPr>
        <w:spacing w:after="0" w:line="39" w:lineRule="exact"/>
        <w:rPr>
          <w:sz w:val="20"/>
          <w:szCs w:val="20"/>
          <w:color w:val="auto"/>
        </w:rPr>
      </w:pPr>
    </w:p>
    <w:p>
      <w:pPr>
        <w:jc w:val="both"/>
        <w:ind w:left="120" w:right="560" w:hanging="4"/>
        <w:spacing w:after="0" w:line="253" w:lineRule="auto"/>
        <w:tabs>
          <w:tab w:leader="none" w:pos="33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Rezolve Ordinary Shares.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85" w:lineRule="exact"/>
        <w:rPr>
          <w:sz w:val="20"/>
          <w:szCs w:val="20"/>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3"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In addition, as a foreign private issuer we will be exempt from the provisions of Regulation Fair Disclosure (“Regulation FD”),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8"/>
          <w:szCs w:val="18"/>
          <w:i w:val="1"/>
          <w:iCs w:val="1"/>
          <w:color w:val="auto"/>
        </w:rPr>
        <w:t>Management Following the Business Combination—Foreign Private Issuer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Rezolve Ordinary Shares in connection with financings, acquisitions, investments, our stock incentive plans, or otherwise will dilute all other shareholders.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Rezolve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Rezolve Ordinary Shares to decline.</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holds our ordinary shares, certain adverse U.S. federal income tax consequences could apply to such U.S. Holder. Prospective U.S. Holders should consult their tax advisors regarding the potential application of the PFIC rules to them. See “</w:t>
      </w:r>
      <w:r>
        <w:rPr>
          <w:rFonts w:ascii="Times New Roman" w:cs="Times New Roman" w:eastAsia="Times New Roman" w:hAnsi="Times New Roman"/>
          <w:sz w:val="18"/>
          <w:szCs w:val="18"/>
          <w:i w:val="1"/>
          <w:iCs w:val="1"/>
          <w:color w:val="auto"/>
        </w:rPr>
        <w:t>Material Tax Considerations — Material U.S. Federal Income Tax Considerations—Tax Consequences to U.S.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and Disposition of Rezolve Ordinary Shares and Rezolve Warrants—Passive Foreign Investment Company Rules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(“IRS”)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Rezolve—Tax Residence of Rezolve for U.S. Federal Income Tax Purposes</w:t>
      </w:r>
      <w:r>
        <w:rPr>
          <w:rFonts w:ascii="Times New Roman" w:cs="Times New Roman" w:eastAsia="Times New Roman" w:hAnsi="Times New Roman"/>
          <w:sz w:val="18"/>
          <w:szCs w:val="18"/>
          <w:color w:val="auto"/>
        </w:rPr>
        <w:t>,” based on the terms of the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factual assumptions, 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7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Residence of Rezolve for U.S. Federal Income Tax Purposes</w:t>
      </w:r>
      <w:r>
        <w:rPr>
          <w:rFonts w:ascii="Times New Roman" w:cs="Times New Roman" w:eastAsia="Times New Roman" w:hAnsi="Times New Roman"/>
          <w:sz w:val="18"/>
          <w:szCs w:val="18"/>
          <w:color w:val="auto"/>
        </w:rPr>
        <w:t>” for a more detailed discussion of the application of Section 7874 of the Code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Investors in Rezolve should consult their own advisors regarding the application of Section 7874 of the Code to the Business Combination.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7874 of the Code may limit the ability of Armada to use certain tax attributes following the Business Combination, increase Rezolve’s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affiliates’ U.S. taxable income or have other adverse consequences to Rezolve and Rezolve’s shareholders.</w:t>
      </w:r>
    </w:p>
    <w:p>
      <w:pPr>
        <w:spacing w:after="0" w:line="9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 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w:t>
      </w:r>
      <w:r>
        <w:rPr>
          <w:rFonts w:ascii="Times New Roman" w:cs="Times New Roman" w:eastAsia="Times New Roman" w:hAnsi="Times New Roman"/>
          <w:sz w:val="18"/>
          <w:szCs w:val="18"/>
          <w:color w:val="auto"/>
        </w:rPr>
        <w:t>,” based on the terms of the Business Combination and certain factual assumptions, Rezolve does not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even if Rezolve is not subject to the above adverse consequences under Section 7874, Rezolve may be limited in using its equity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engage in future acquisitions of U.S. corporations over a 36-month period following the Business Combination. If Rezolve were to be treated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acquiring substantially all of the assets of a U.S. corporation or U.S. partnership within a 36-month period after the Business Combination,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7874 Regulations would exclude certain shares of Rezolve attributable to the Business Combination for purposes of determining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7874 Percentage of that subsequent acquisition, making it more likely that Section 7874 of the Code will apply to such subsequent acquisition.</w:t>
      </w:r>
    </w:p>
    <w:p>
      <w:pPr>
        <w:spacing w:after="0" w:line="205" w:lineRule="exact"/>
        <w:rPr>
          <w:sz w:val="20"/>
          <w:szCs w:val="20"/>
          <w:color w:val="auto"/>
        </w:rPr>
      </w:pPr>
    </w:p>
    <w:p>
      <w:pPr>
        <w:jc w:val="both"/>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w:t>
      </w:r>
      <w:r>
        <w:rPr>
          <w:rFonts w:ascii="Times New Roman" w:cs="Times New Roman" w:eastAsia="Times New Roman" w:hAnsi="Times New Roman"/>
          <w:sz w:val="18"/>
          <w:szCs w:val="18"/>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may be treated as a taxable exchange to Holders of Armada Common Stock or warrants.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is intended to qualify as a reorganization under Section 368(a) of the Code, but it is uncertain under applicable law whether it can so qualify.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order for the Business Combination to so qualify, among other requirements, it is necessary that Rezolve either (i) continue Armada’s historic business or (ii) use a significant portion of Armada’s historic business assets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60"/>
          </w:cols>
          <w:pgMar w:left="320" w:top="455"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3" w:lineRule="auto"/>
        <w:rPr>
          <w:sz w:val="20"/>
          <w:szCs w:val="20"/>
          <w:color w:val="auto"/>
        </w:rPr>
      </w:pPr>
      <w:r>
        <w:rPr>
          <w:rFonts w:ascii="Times New Roman" w:cs="Times New Roman" w:eastAsia="Times New Roman" w:hAnsi="Times New Roman"/>
          <w:sz w:val="17"/>
          <w:szCs w:val="17"/>
          <w:color w:val="auto"/>
        </w:rPr>
        <w:t>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taking into account prior redemptions, prevent a substantial part of the value of the proprietary interests in Armada from being preserved for this purpose. If it is not so preserved, then the Business Combination would not qualify as a Reorganization.</w:t>
      </w:r>
    </w:p>
    <w:p>
      <w:pPr>
        <w:spacing w:after="0" w:line="17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result of such uncertainty, no assurances can be provided that the Business Combination will qualify as a reorganization under Section 368(a) of the Code, and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Excise Tax imposed by the Inflation Reduction Act could be imposed on us in connection with redemptions by us of our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(the “IR Act”) into federal law. The IR Act provides for, among other things, a new U.S. federal 1% excise tax on certain repurchases (including redemptions) of stock by a “covered corporation” (which include publicly traded corporations) occurring after December 31, 2022.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Treasury has been given authority to provide regulations and other guidance to carry out and prevent the abuse or avoidance of the excise tax.</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redemptions occurring in connection with the Business Combination are generally expected to be subject to the excise tax. However, the extent we would be subject to the excise tax would depend on a number of factors, including (i) the fair market value of the redemptions and repurchases in connection with the Business Combination, and (ii) the content of regulations and other guidance from the Treasury. In addition, because the excise tax would be payable by us and not by the redeeming holder, the mechanics of any required payment of the excise tax have not been determined. The foregoing could cause a reduction in the cash held outside of the Trust Account, which we plan to use to complete the Business Combination.</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proceeds deposited in the Trust Account and the interest earned thereon will not be used to pay for any excise tax due under the IR Act in connection with any redemptions of public shares made pursuant to the Business Combination. The Company does intend to continue to use the accrued interest in the Trust Account to pay its franchise and income taxes.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Armada is providing the following unaudited pro forma condensed combined financial information to aid you in your analysis of the financial aspects of the Business Combination. 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8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combines the historical balance sheet of Armada and the carve-out consolidated balance sheet of Rezolve on a pro forma basis as if the Business Combination and related transactions, summarized below, had been consummated on December 31, 2023. The unaudited pro forma condensed combined statement of operations for the year ended December 31, 2023 combines the historical statements of operations of Armada and Rezolve on a pro forma basis as if the Business Combination and related transactions had been consummated on January 1, 2023, the beginning of the earliest period presented. For a description of the Business Combination and related transactions please see the section titled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would have been had the Business Combination taken place on December 31, 2023,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2023, nor are they indicative of the results of operations of the Combined Company for any future period. The unaudited pro forma condensed combined financial information should be read in conjunction with:</w:t>
      </w:r>
    </w:p>
    <w:p>
      <w:pPr>
        <w:spacing w:after="0" w:line="93" w:lineRule="exact"/>
        <w:rPr>
          <w:sz w:val="20"/>
          <w:szCs w:val="20"/>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080" w:right="800" w:hanging="424"/>
        <w:spacing w:after="0" w:line="284"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 of Armada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Rezolve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It has been prepared in accordance with Article 11 of Regulation S-X and is for informational purposes only and is subject to a number of uncertainties and assumptions as described in the accompanying notes.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Armada believes that its assumptions and methodologies provide a reasonable basis for presenting all of the significant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has been determined to be the accounting acquirer based on evaluation of the following facts and circumstances:</w:t>
      </w:r>
    </w:p>
    <w:p>
      <w:pPr>
        <w:spacing w:after="0" w:line="131" w:lineRule="exact"/>
        <w:rPr>
          <w:sz w:val="20"/>
          <w:szCs w:val="20"/>
          <w:color w:val="auto"/>
        </w:rPr>
      </w:pPr>
    </w:p>
    <w:p>
      <w:pPr>
        <w:ind w:left="1080" w:right="200" w:hanging="424"/>
        <w:spacing w:after="0" w:line="28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shareholders will have majority of the voting power under both the minimum redemption and maximum redemption scenarios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appoint majority of the directors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operations will comprise the ongoing operations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the larger entity based on historical revenues and business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will continue to use Rezolve’s name and Rezolve’s headquarters in London.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Pursuant to the Current Charter, Armada’s public stockholders may demand that Armada redeem their shares of common stock for cash if the Business Combination is consummated, irrespective of whether they vote for or against the Business Combination. If a public stockholder properly demands redemption of their shares, Armada will redeem each share for cash equal to the public stockholder’s pro rata portion of the Trust Account, calculated as of two business days prior to the anticipated consummation of the Business Combination.</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contained herein assumes that Armada’s public stockholders approve the Business Combination. Armada cannot predict how many of its public stockholders will exercise their right to redeem their Armada common stock for cash. Therefore, the unaudited pro forma condensed combined financial information has been prepared using the assumptions below with respect to the potential redemption of Armada common stock:</w:t>
      </w:r>
    </w:p>
    <w:p>
      <w:pPr>
        <w:spacing w:after="0" w:line="81" w:lineRule="exact"/>
        <w:rPr>
          <w:sz w:val="20"/>
          <w:szCs w:val="20"/>
          <w:color w:val="auto"/>
        </w:rPr>
      </w:pPr>
    </w:p>
    <w:p>
      <w:pPr>
        <w:ind w:left="1080" w:hanging="424"/>
        <w:spacing w:after="0" w:line="253"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Minimum Redemptions: </w:t>
      </w:r>
      <w:r>
        <w:rPr>
          <w:rFonts w:ascii="Times New Roman" w:cs="Times New Roman" w:eastAsia="Times New Roman" w:hAnsi="Times New Roman"/>
          <w:sz w:val="18"/>
          <w:szCs w:val="18"/>
          <w:color w:val="auto"/>
        </w:rPr>
        <w:t>This scenario gives effect to Armada Share Redemptions of 13,582,313 shares of Armada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for aggregate redemption payments of approximately $139.4 million at a aggregate redemption price of approximately $10.26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1" w:lineRule="auto"/>
        <w:rPr>
          <w:sz w:val="20"/>
          <w:szCs w:val="20"/>
          <w:color w:val="auto"/>
        </w:rPr>
      </w:pPr>
      <w:r>
        <w:rPr>
          <w:rFonts w:ascii="Times New Roman" w:cs="Times New Roman" w:eastAsia="Times New Roman" w:hAnsi="Times New Roman"/>
          <w:sz w:val="17"/>
          <w:szCs w:val="17"/>
          <w:color w:val="auto"/>
        </w:rPr>
        <w:t>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66" w:lineRule="exact"/>
        <w:rPr>
          <w:sz w:val="20"/>
          <w:szCs w:val="20"/>
          <w:color w:val="auto"/>
        </w:rPr>
      </w:pPr>
    </w:p>
    <w:p>
      <w:pPr>
        <w:ind w:left="1080" w:hanging="424"/>
        <w:spacing w:after="0" w:line="252"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w:t>
      </w:r>
      <w:r>
        <w:rPr>
          <w:rFonts w:ascii="Times New Roman" w:cs="Times New Roman" w:eastAsia="Times New Roman" w:hAnsi="Times New Roman"/>
          <w:sz w:val="18"/>
          <w:szCs w:val="18"/>
          <w:color w:val="auto"/>
        </w:rPr>
        <w:t>This scenario assumes that all shares of Armada common stock are redeemed for their pro rata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cash in the Trust Account in connection with the Armada Share Redemptions. This scenario gives effect to Armada Share Redemptions of 1,417,687 shares of Armada common stock for aggregate redemption payments of $15,554,172 at a redemption price of approximately $10.97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the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 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Transaction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Business Combination and related transactions is as follows:</w:t>
      </w:r>
    </w:p>
    <w:p>
      <w:pPr>
        <w:spacing w:after="0" w:line="131" w:lineRule="exact"/>
        <w:rPr>
          <w:sz w:val="20"/>
          <w:szCs w:val="20"/>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54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94" w:lineRule="exact"/>
        <w:rPr>
          <w:sz w:val="20"/>
          <w:szCs w:val="20"/>
          <w:color w:val="auto"/>
        </w:rPr>
      </w:pPr>
    </w:p>
    <w:p>
      <w:pPr>
        <w:ind w:left="1540" w:right="160" w:hanging="439"/>
        <w:spacing w:after="0" w:line="261" w:lineRule="auto"/>
        <w:tabs>
          <w:tab w:leader="none" w:pos="1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0"/>
        <w:spacing w:after="0" w:line="282" w:lineRule="auto"/>
        <w:rPr>
          <w:sz w:val="20"/>
          <w:szCs w:val="20"/>
          <w:color w:val="auto"/>
        </w:rPr>
      </w:pPr>
      <w:r>
        <w:rPr>
          <w:rFonts w:ascii="Times New Roman" w:cs="Times New Roman" w:eastAsia="Times New Roman" w:hAnsi="Times New Roman"/>
          <w:sz w:val="18"/>
          <w:szCs w:val="18"/>
          <w:color w:val="auto"/>
        </w:rPr>
        <w:t>the terms and conditions set forth in the Business Combination Agreement (such steps and any additional necessary steps being collectively referred to as the “Company Reorganization”).</w:t>
      </w:r>
    </w:p>
    <w:p>
      <w:pPr>
        <w:spacing w:after="0" w:line="67" w:lineRule="exact"/>
        <w:rPr>
          <w:sz w:val="20"/>
          <w:szCs w:val="20"/>
          <w:color w:val="auto"/>
        </w:rPr>
      </w:pPr>
    </w:p>
    <w:p>
      <w:pPr>
        <w:ind w:left="1080" w:right="160" w:hanging="424"/>
        <w:spacing w:after="0" w:line="261"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w:t>
      </w:r>
    </w:p>
    <w:p>
      <w:pPr>
        <w:spacing w:after="0" w:line="3" w:lineRule="exact"/>
        <w:rPr>
          <w:sz w:val="20"/>
          <w:szCs w:val="20"/>
          <w:color w:val="auto"/>
        </w:rPr>
      </w:pPr>
    </w:p>
    <w:p>
      <w:pPr>
        <w:ind w:left="120" w:right="100" w:hanging="4"/>
        <w:spacing w:after="0" w:line="260" w:lineRule="auto"/>
        <w:tabs>
          <w:tab w:leader="none" w:pos="3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Rezolve being listed on The Nasdaq Stock Market LLC or other applicable national exchange as of the Closing Date; (h) the Rezolve Incentive Equity Plan shall have been adopted and (i) the parties shall have become parties to the Investor Rights Agreement.</w:t>
      </w:r>
    </w:p>
    <w:p>
      <w:pPr>
        <w:spacing w:after="0" w:line="181"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Armada cannot assure you that the Nasdaq Closing Condition will be satisfied without additional third-party financing, which may involve dilutive equity issuances or the incurrence of indebtedness at higher-than-desirable levels. Rezolve’s eligibility for listing on Nasdaq may depend on the number of shares of Armada Common Stock that are redeemed in connection with the Business Combination, and Rezolve’s ability to satisfy initial listing criteria, including certain financial and liquidity measures.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w:t>
      </w:r>
    </w:p>
    <w:p>
      <w:pPr>
        <w:spacing w:after="0" w:line="17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Even if the Nasdaq Listing Condition is met or, if not met, waived by Rezolve,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Ownership</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number of shares issued in Rezolve AI Limited to the shareholders of Rezolve Limited pursuant to the Pre-Closing Demerger is expected to be in the order of 1 share in Rezolve for each 6.13 shares held in Rezolve Limited but this will be subject to final determination at the time of the Pre-Closing Demerger. This adjustment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share numbers will enable the issue of the appropriate number of shares in Rezolve so that each Company Shareholder will after the Pre-Closing Demerger and the Company Reorganization hold his, her or its applicable pro rata portion of the aggregate stock consideration in accordance with the terms of the Business Combination Agreement.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shares of Rezolve AI PLC common stock issued and outstanding immediately after the Closing, presenting the two redemption scenarios: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55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w:t>
            </w:r>
          </w:p>
        </w:tc>
      </w:tr>
      <w:tr>
        <w:trPr>
          <w:trHeight w:val="173"/>
        </w:trPr>
        <w:tc>
          <w:tcPr>
            <w:tcW w:w="558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Equity holders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170,435,916</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170,435,916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Public Stockholders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1,417,687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Founder and Private Placement Shares</w:t>
            </w:r>
            <w:r>
              <w:rPr>
                <w:rFonts w:ascii="Times New Roman" w:cs="Times New Roman" w:eastAsia="Times New Roman" w:hAnsi="Times New Roman"/>
                <w:sz w:val="25"/>
                <w:szCs w:val="25"/>
                <w:color w:val="auto"/>
                <w:vertAlign w:val="superscript"/>
              </w:rPr>
              <w:t>(1)</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5,709,500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5,709,500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5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Armada Public Warrants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7,500,000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Advanced subscription agreements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10,783,484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10,783,484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9,814,940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9,814,940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Options and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10,620,722</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10,620,722</w:t>
            </w:r>
          </w:p>
        </w:tc>
      </w:tr>
      <w:tr>
        <w:trPr>
          <w:trHeight w:val="27"/>
        </w:trPr>
        <w:tc>
          <w:tcPr>
            <w:tcW w:w="5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216,282,249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214,864,562</w:t>
            </w: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line="245" w:lineRule="auto"/>
        <w:tabs>
          <w:tab w:leader="none" w:pos="540" w:val="left"/>
        </w:tabs>
        <w:numPr>
          <w:ilvl w:val="0"/>
          <w:numId w:val="1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the number of shares of Rezolve AI PLC allocated in respect of (i) the 459,500 Private Placement Shares, (ii) 4,882,500 Founder Shares, (iii) 205,000 shares held by Armada’s directors and officers and (iv) 162,500 shares held by EarlyBirdCapital, Inc.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(without giving effect to any adjustments in respect of the Closing of the Business Combination)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The Polar Subscription Agreement, which was entered into effective as of December 12, 2023, provides that Polar will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 (i) the Sponsor will transfer 880,000 Founders Shares (without giving effect to any adjustments in respect of the Closing of the Business Combination) to Polar at the closing of its initial business combination; and (ii) upon repayment of working capital loans by the Company, the Sponsor will return the Investor Capital Contributions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w:t>
      </w:r>
    </w:p>
    <w:p>
      <w:pPr>
        <w:spacing w:after="0" w:line="20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these assumptions are ultimately incorrect, the amounts and shares outstanding in the unaudited pro forma condensed combined financial information will be different and such differences could be material. Additionally, the number of shares issued or issuable pursuant to the Employee Share Ownerships Plans and their accounting impact were considered for the purposes of these pro forma condensed combined financial statements, but no adjustments were required to be made in respect thereof in these unaudited pro forma condensed combined financial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80" w:type="dxa"/>
            <w:vAlign w:val="bottom"/>
          </w:tcPr>
          <w:p>
            <w:pPr>
              <w:spacing w:after="0"/>
              <w:rPr>
                <w:sz w:val="13"/>
                <w:szCs w:val="13"/>
                <w:color w:val="auto"/>
              </w:rPr>
            </w:pPr>
          </w:p>
        </w:tc>
        <w:tc>
          <w:tcPr>
            <w:tcW w:w="24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0" w:type="dxa"/>
            <w:vAlign w:val="bottom"/>
          </w:tcPr>
          <w:p>
            <w:pPr>
              <w:spacing w:after="0"/>
              <w:rPr>
                <w:sz w:val="15"/>
                <w:szCs w:val="15"/>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740" w:type="dxa"/>
            <w:vAlign w:val="bottom"/>
            <w:tcBorders>
              <w:bottom w:val="single" w:sz="8" w:color="auto"/>
            </w:tcBorders>
            <w:gridSpan w:val="4"/>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10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960" w:type="dxa"/>
            <w:vAlign w:val="bottom"/>
            <w:gridSpan w:val="3"/>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4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10,441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54,405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(31,530,000)</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(3,100,000)</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(5,132,351)</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(1,394,287)</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(2,776,600)</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(d)</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43,868,392</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12,534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12,534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12,534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13,534</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312,547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312,547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67,939</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(64,846)</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325,081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325,081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79,593</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79,593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79,593</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and Intangible assets,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2,134,903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2,134,903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2,134,903</w:t>
            </w:r>
          </w:p>
        </w:tc>
        <w:tc>
          <w:tcPr>
            <w:tcW w:w="0" w:type="dxa"/>
            <w:vAlign w:val="bottom"/>
          </w:tcPr>
          <w:p>
            <w:pPr>
              <w:spacing w:after="0"/>
              <w:rPr>
                <w:sz w:val="1"/>
                <w:szCs w:val="1"/>
                <w:color w:val="auto"/>
              </w:rPr>
            </w:pPr>
          </w:p>
        </w:tc>
      </w:tr>
      <w:tr>
        <w:trPr>
          <w:trHeight w:val="181"/>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Intangible assets, net Investment and investment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held in trust account,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25,871,565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(15,554,172)</w:t>
            </w:r>
          </w:p>
        </w:tc>
        <w:tc>
          <w:tcPr>
            <w:tcW w:w="660" w:type="dxa"/>
            <w:vAlign w:val="bottom"/>
            <w:gridSpan w:val="2"/>
            <w:vMerge w:val="continue"/>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(10,317,393)</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2,536,484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25,939,504</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(25,936,411</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 term debt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Bank overdraft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28,314,220</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28,417,394</w:t>
            </w:r>
          </w:p>
        </w:tc>
        <w:tc>
          <w:tcPr>
            <w:tcW w:w="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9"/>
              </w:rPr>
              <w:t>15,554,172</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(q)</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44,127,108</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103,174</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155,542</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(s)</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Short term debt - related party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9"/>
              </w:rPr>
              <w:t>6,225,815</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(5,587,343)</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(g)</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638,472</w:t>
            </w: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638,472</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4,997,159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5,132,351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(5,132,351)</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4,997,159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4,997,159</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350,120</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350,120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350,120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Taxes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1,394,287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(1,394,287)</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(c)</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155,542</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(r)</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103,174</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(155,542)</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(103,174)</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2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2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4"/>
        </w:trPr>
        <w:tc>
          <w:tcPr>
            <w:tcW w:w="40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Promissory Notes-Related Party</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2,776,600</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(2,776,600)</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(d)</w:t>
            </w: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Ordinary shares payable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8,223,928</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(8,223,928)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(h)</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agreement liability, net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6,752</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6,752</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6,752</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payables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4,492,790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4,492,790</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4,492,790</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liability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1,311,028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1,311,028</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1,311,028</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Convertible debt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31,220,528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(31,220,528)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(i)</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56,821,368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9,309,990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(25,917,643)</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40,213,715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55,923,429</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8"/>
              </w:rPr>
              <w:t>$56,821,368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$ 9,309,990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(25,917,643)</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8"/>
              </w:rPr>
              <w:t>$40,213,715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$55,923,429</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15,000,000 shares at redemption value of $10.20 per</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 at December 31, 2023</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25,784,690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(10,317,393)</w:t>
            </w:r>
          </w:p>
        </w:tc>
        <w:tc>
          <w:tcPr>
            <w:tcW w:w="460" w:type="dxa"/>
            <w:vAlign w:val="bottom"/>
            <w:vMerge w:val="continue"/>
            <w:shd w:val="clear" w:color="auto" w:fill="CCEEFF"/>
          </w:tcPr>
          <w:p>
            <w:pPr>
              <w:spacing w:after="0"/>
              <w:rPr>
                <w:sz w:val="19"/>
                <w:szCs w:val="19"/>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(15,467,297)</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25,784,690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(25,784,690)</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shares</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Shares issued and outstanding as of December 31, 2023 -</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932,969,424; as of December 31, 2022 - 927,806,159</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(g)</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at par value £0.0001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127,310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1,374</w:t>
            </w:r>
          </w:p>
        </w:tc>
        <w:tc>
          <w:tcPr>
            <w:tcW w:w="460" w:type="dxa"/>
            <w:vAlign w:val="bottom"/>
            <w:vMerge w:val="continue"/>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142,594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(103)</w:t>
            </w:r>
          </w:p>
        </w:tc>
        <w:tc>
          <w:tcPr>
            <w:tcW w:w="4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142,491</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863</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(i)</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1,269</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(h)</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3,868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103</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303</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7,464</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(n)</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100" w:type="dxa"/>
            <w:vAlign w:val="bottom"/>
          </w:tcPr>
          <w:p>
            <w:pPr>
              <w:spacing w:after="0"/>
              <w:rPr>
                <w:sz w:val="13"/>
                <w:szCs w:val="13"/>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76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4"/>
        </w:trPr>
        <w:tc>
          <w:tcPr>
            <w:tcW w:w="3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60" w:type="dxa"/>
            <w:vAlign w:val="bottom"/>
            <w:gridSpan w:val="2"/>
            <w:vMerge w:val="continue"/>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40" w:type="dxa"/>
            <w:vAlign w:val="bottom"/>
            <w:gridSpan w:val="2"/>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 of</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0" w:type="dxa"/>
            <w:vAlign w:val="bottom"/>
          </w:tcPr>
          <w:p>
            <w:pPr>
              <w:spacing w:after="0"/>
              <w:rPr>
                <w:sz w:val="15"/>
                <w:szCs w:val="15"/>
                <w:color w:val="auto"/>
              </w:rPr>
            </w:pPr>
          </w:p>
        </w:tc>
        <w:tc>
          <w:tcPr>
            <w:tcW w:w="1040" w:type="dxa"/>
            <w:vAlign w:val="bottom"/>
            <w:gridSpan w:val="2"/>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61"/>
        </w:trPr>
        <w:tc>
          <w:tcPr>
            <w:tcW w:w="340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Series A shares issued and outstanding as of</w:t>
            </w: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31, 2023 and December 31, 2022 -</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(l)</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28,039,517 nil at par value £0.0001</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3,868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(3,868)</w:t>
            </w:r>
          </w:p>
        </w:tc>
        <w:tc>
          <w:tcPr>
            <w:tcW w:w="600" w:type="dxa"/>
            <w:vAlign w:val="bottom"/>
            <w:gridSpan w:val="2"/>
            <w:vMerge w:val="continue"/>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81"/>
        </w:trPr>
        <w:tc>
          <w:tcPr>
            <w:tcW w:w="34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Common stock, $0.0001 par value;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100,000,000 shares authorized; 5,709,500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570</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(570)</w:t>
            </w:r>
          </w:p>
        </w:tc>
        <w:tc>
          <w:tcPr>
            <w:tcW w:w="600" w:type="dxa"/>
            <w:vAlign w:val="bottom"/>
            <w:gridSpan w:val="2"/>
            <w:vMerge w:val="continue"/>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172,204,832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159,034</w:t>
            </w: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(31,530,000)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(a)</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231,315,991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(15,554,069)</w:t>
            </w:r>
          </w:p>
        </w:tc>
        <w:tc>
          <w:tcPr>
            <w:tcW w:w="480" w:type="dxa"/>
            <w:vAlign w:val="bottom"/>
            <w:gridSpan w:val="2"/>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6"/>
              </w:rPr>
              <w:t>(p)</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215,761,922</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5,585,968</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(g)</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31,219,665</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(i)</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8,222,659</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(h)</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531</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15,467,194</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3,062,197</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(m)</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36,731,490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(9,314,780)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(o)</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(492,800)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subscription receivable</w:t>
            </w: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(178,720)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(178,720)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(178,720)</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w w:val="97"/>
              </w:rPr>
              <w:t>(226,291,430)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(9,314,780)</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(3,100,000)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9"/>
              </w:rPr>
              <w:t>(268,803,258)</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(155,542)</w:t>
            </w:r>
          </w:p>
        </w:tc>
        <w:tc>
          <w:tcPr>
            <w:tcW w:w="480" w:type="dxa"/>
            <w:vAlign w:val="bottom"/>
            <w:gridSpan w:val="2"/>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(s)</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(268,958,800)</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(103,174)</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(3,062,500)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(m)</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(36,738,954)</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9,314,780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(o)</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492,800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(150,744)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(150,744)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(150,744)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(54,284,884)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7"/>
              </w:rPr>
              <w:t>$ (9,155,176)</w:t>
            </w: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25,765,922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(37,674,138)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(53,383,851)</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2,536,484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25,939,504</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(25,936,411</w:t>
            </w:r>
          </w:p>
        </w:tc>
        <w:tc>
          <w:tcPr>
            <w:tcW w:w="140" w:type="dxa"/>
            <w:vAlign w:val="bottom"/>
          </w:tcPr>
          <w:p>
            <w:pPr>
              <w:jc w:val="right"/>
              <w:ind w:right="63"/>
              <w:spacing w:after="0"/>
              <w:rPr>
                <w:sz w:val="20"/>
                <w:szCs w:val="20"/>
                <w:color w:val="auto"/>
              </w:rPr>
            </w:pPr>
            <w:r>
              <w:rPr>
                <w:rFonts w:ascii="Times New Roman" w:cs="Times New Roman" w:eastAsia="Times New Roman" w:hAnsi="Times New Roman"/>
                <w:sz w:val="7"/>
                <w:szCs w:val="7"/>
                <w:color w:val="auto"/>
                <w:w w:val="83"/>
              </w:rPr>
              <w:t>)</w:t>
            </w:r>
          </w:p>
        </w:tc>
        <w:tc>
          <w:tcPr>
            <w:tcW w:w="5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3"/>
              </w:rPr>
              <w:t>— 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20" w:type="dxa"/>
            <w:vAlign w:val="bottom"/>
          </w:tcPr>
          <w:p>
            <w:pPr>
              <w:spacing w:after="0"/>
              <w:rPr>
                <w:sz w:val="15"/>
                <w:szCs w:val="15"/>
                <w:color w:val="auto"/>
              </w:rPr>
            </w:pPr>
          </w:p>
        </w:tc>
        <w:tc>
          <w:tcPr>
            <w:tcW w:w="900" w:type="dxa"/>
            <w:vAlign w:val="bottom"/>
            <w:gridSpan w:val="2"/>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340" w:type="dxa"/>
            <w:vAlign w:val="bottom"/>
            <w:gridSpan w:val="6"/>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80" w:type="dxa"/>
            <w:vAlign w:val="bottom"/>
          </w:tcPr>
          <w:p>
            <w:pPr>
              <w:spacing w:after="0"/>
              <w:rPr>
                <w:sz w:val="15"/>
                <w:szCs w:val="15"/>
                <w:color w:val="auto"/>
              </w:rPr>
            </w:pP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Assuming Maximum Redemptions</w:t>
            </w:r>
          </w:p>
        </w:tc>
        <w:tc>
          <w:tcPr>
            <w:tcW w:w="0" w:type="dxa"/>
            <w:vAlign w:val="bottom"/>
          </w:tcPr>
          <w:p>
            <w:pPr>
              <w:spacing w:after="0"/>
              <w:rPr>
                <w:sz w:val="1"/>
                <w:szCs w:val="1"/>
                <w:color w:val="auto"/>
              </w:rPr>
            </w:pPr>
          </w:p>
        </w:tc>
      </w:tr>
      <w:tr>
        <w:trPr>
          <w:trHeight w:val="104"/>
        </w:trPr>
        <w:tc>
          <w:tcPr>
            <w:tcW w:w="4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20" w:type="dxa"/>
            <w:vAlign w:val="bottom"/>
            <w:gridSpan w:val="3"/>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20" w:type="dxa"/>
            <w:vAlign w:val="bottom"/>
            <w:gridSpan w:val="3"/>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Corp. I (Year</w:t>
            </w:r>
          </w:p>
        </w:tc>
        <w:tc>
          <w:tcPr>
            <w:tcW w:w="940" w:type="dxa"/>
            <w:vAlign w:val="bottom"/>
            <w:gridSpan w:val="2"/>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900" w:type="dxa"/>
            <w:vAlign w:val="bottom"/>
            <w:gridSpan w:val="2"/>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94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5"/>
                <w:szCs w:val="15"/>
                <w:color w:val="auto"/>
              </w:rPr>
            </w:pP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9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9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240,691</w:t>
            </w:r>
          </w:p>
        </w:tc>
        <w:tc>
          <w:tcPr>
            <w:tcW w:w="9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(240,691)</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Sales and marketing expense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6,731,254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4,599,000</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11,330,254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11,330,254</w:t>
            </w:r>
          </w:p>
        </w:tc>
        <w:tc>
          <w:tcPr>
            <w:tcW w:w="0" w:type="dxa"/>
            <w:vAlign w:val="bottom"/>
          </w:tcPr>
          <w:p>
            <w:pPr>
              <w:spacing w:after="0"/>
              <w:rPr>
                <w:sz w:val="1"/>
                <w:szCs w:val="1"/>
                <w:color w:val="auto"/>
              </w:rPr>
            </w:pPr>
          </w:p>
        </w:tc>
      </w:tr>
      <w:tr>
        <w:trPr>
          <w:trHeight w:val="149"/>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tcPr>
          <w:p>
            <w:pPr>
              <w:spacing w:after="0"/>
              <w:rPr>
                <w:sz w:val="12"/>
                <w:szCs w:val="12"/>
                <w:color w:val="auto"/>
              </w:rPr>
            </w:pPr>
          </w:p>
        </w:tc>
        <w:tc>
          <w:tcPr>
            <w:tcW w:w="9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17,986,528</w:t>
            </w:r>
          </w:p>
        </w:tc>
        <w:tc>
          <w:tcPr>
            <w:tcW w:w="12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2,988,740</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56,177,722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56,177,722</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32,139,954</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3,062,500</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(cc)</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Formation cost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2,748,049</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(2,748,049)</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operating costs and expenses</w:t>
            </w:r>
          </w:p>
        </w:tc>
        <w:tc>
          <w:tcPr>
            <w:tcW w:w="80" w:type="dxa"/>
            <w:vAlign w:val="bottom"/>
          </w:tcPr>
          <w:p>
            <w:pPr>
              <w:spacing w:after="0"/>
              <w:rPr>
                <w:sz w:val="12"/>
                <w:szCs w:val="12"/>
                <w:color w:val="auto"/>
              </w:rPr>
            </w:pPr>
          </w:p>
        </w:tc>
        <w:tc>
          <w:tcPr>
            <w:tcW w:w="9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of customer list</w:t>
            </w:r>
          </w:p>
        </w:tc>
        <w:tc>
          <w:tcPr>
            <w:tcW w:w="80" w:type="dxa"/>
            <w:vAlign w:val="bottom"/>
          </w:tcPr>
          <w:p>
            <w:pPr>
              <w:spacing w:after="0"/>
              <w:rPr>
                <w:sz w:val="12"/>
                <w:szCs w:val="12"/>
                <w:color w:val="auto"/>
              </w:rPr>
            </w:pPr>
          </w:p>
        </w:tc>
        <w:tc>
          <w:tcPr>
            <w:tcW w:w="9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6"/>
        </w:trPr>
        <w:tc>
          <w:tcPr>
            <w:tcW w:w="420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26,151,325</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2,988,740</w:t>
            </w:r>
          </w:p>
        </w:tc>
        <w:tc>
          <w:tcPr>
            <w:tcW w:w="1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39,801,454</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68,941,519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68,941,519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(26,006,274)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(2,988,740)</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w w:val="98"/>
              </w:rPr>
              <w:t>$ (39,801,454)</w:t>
            </w:r>
          </w:p>
        </w:tc>
        <w:tc>
          <w:tcPr>
            <w:tcW w:w="5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(68,796,468)</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(68,796,468)</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(4,791,782)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(5,387)</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(492,800)</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(dd)</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(5,289,969)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(5,289,969)</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2,129,423</w:t>
            </w:r>
          </w:p>
        </w:tc>
        <w:tc>
          <w:tcPr>
            <w:tcW w:w="9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(2,129,423)</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(ee)</w:t>
            </w: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125,366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(ff)</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(1,974,634)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(1,974,634)</w:t>
            </w:r>
          </w:p>
        </w:tc>
        <w:tc>
          <w:tcPr>
            <w:tcW w:w="0" w:type="dxa"/>
            <w:vAlign w:val="bottom"/>
          </w:tcPr>
          <w:p>
            <w:pPr>
              <w:spacing w:after="0"/>
              <w:rPr>
                <w:sz w:val="1"/>
                <w:szCs w:val="1"/>
                <w:color w:val="auto"/>
              </w:rPr>
            </w:pPr>
          </w:p>
        </w:tc>
      </w:tr>
      <w:tr>
        <w:trPr>
          <w:trHeight w:val="156"/>
        </w:trPr>
        <w:tc>
          <w:tcPr>
            <w:tcW w:w="420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Total other (expenses) / income, net</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(4,666,416)</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2,124,036</w:t>
            </w:r>
          </w:p>
        </w:tc>
        <w:tc>
          <w:tcPr>
            <w:tcW w:w="1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(4,722,223)</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(7,264,603)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(7,264,603)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(loss) before taxes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(30,672,690)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(864,704)</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(44,523,677)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(76,061,071)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(76,061,071)</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(63,408)</w:t>
            </w:r>
          </w:p>
        </w:tc>
        <w:tc>
          <w:tcPr>
            <w:tcW w:w="12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(422,787)</w:t>
            </w: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422,787</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(gg)</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(166,582)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xml:space="preserve">(155,542)  </w:t>
            </w:r>
            <w:r>
              <w:rPr>
                <w:rFonts w:ascii="Times New Roman" w:cs="Times New Roman" w:eastAsia="Times New Roman" w:hAnsi="Times New Roman"/>
                <w:sz w:val="14"/>
                <w:szCs w:val="14"/>
                <w:b w:val="1"/>
                <w:bCs w:val="1"/>
                <w:color w:val="auto"/>
              </w:rPr>
              <w:t>(ii)</w:t>
            </w:r>
          </w:p>
        </w:tc>
        <w:tc>
          <w:tcPr>
            <w:tcW w:w="80" w:type="dxa"/>
            <w:vAlign w:val="bottom"/>
          </w:tcPr>
          <w:p>
            <w:pPr>
              <w:spacing w:after="0"/>
              <w:rPr>
                <w:sz w:val="12"/>
                <w:szCs w:val="12"/>
                <w:color w:val="auto"/>
              </w:rPr>
            </w:pPr>
          </w:p>
        </w:tc>
        <w:tc>
          <w:tcPr>
            <w:tcW w:w="9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(322,124)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(103,174)</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(hh)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(loss) income</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(30,736,098</w:t>
            </w:r>
          </w:p>
        </w:tc>
        <w:tc>
          <w:tcPr>
            <w:tcW w:w="2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(1,287,491</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 (44,204,064</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(76,227,653</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color w:val="auto"/>
                <w:w w:val="87"/>
              </w:rPr>
              <w:t>(155,542)</w:t>
            </w:r>
          </w:p>
        </w:tc>
        <w:tc>
          <w:tcPr>
            <w:tcW w:w="5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(76,383,195</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Weighted average shares of Rezolve common stock used in</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927,204,508</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computing net loss per share, basic and diluted</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 and diluted weighted average shares outstanding</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8,770,367</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 subject to possible redemption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0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2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Assuming Maximum Redemptions</w:t>
            </w:r>
          </w:p>
        </w:tc>
        <w:tc>
          <w:tcPr>
            <w:tcW w:w="0" w:type="dxa"/>
            <w:vAlign w:val="bottom"/>
          </w:tcPr>
          <w:p>
            <w:pPr>
              <w:spacing w:after="0"/>
              <w:rPr>
                <w:sz w:val="1"/>
                <w:szCs w:val="1"/>
                <w:color w:val="auto"/>
              </w:rPr>
            </w:pPr>
          </w:p>
        </w:tc>
      </w:tr>
      <w:tr>
        <w:trPr>
          <w:trHeight w:val="104"/>
        </w:trPr>
        <w:tc>
          <w:tcPr>
            <w:tcW w:w="46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Corp. I (Year</w:t>
            </w: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00" w:type="dxa"/>
            <w:vAlign w:val="bottom"/>
            <w:gridSpan w:val="2"/>
            <w:vMerge w:val="continue"/>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2023)</w:t>
            </w: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640" w:type="dxa"/>
            <w:vAlign w:val="bottom"/>
            <w:vMerge w:val="continue"/>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5,709,500</w:t>
            </w: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6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104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2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20" w:type="dxa"/>
            <w:vAlign w:val="bottom"/>
            <w:gridSpan w:val="3"/>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Proforma Basic and diluted weighted average shares outstanding,</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208,782,249</w:t>
            </w:r>
          </w:p>
        </w:tc>
        <w:tc>
          <w:tcPr>
            <w:tcW w:w="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207,364,562</w:t>
            </w:r>
          </w:p>
        </w:tc>
        <w:tc>
          <w:tcPr>
            <w:tcW w:w="0" w:type="dxa"/>
            <w:vAlign w:val="bottom"/>
          </w:tcPr>
          <w:p>
            <w:pPr>
              <w:spacing w:after="0"/>
              <w:rPr>
                <w:sz w:val="1"/>
                <w:szCs w:val="1"/>
                <w:color w:val="auto"/>
              </w:rPr>
            </w:pPr>
          </w:p>
        </w:tc>
      </w:tr>
      <w:tr>
        <w:trPr>
          <w:trHeight w:val="171"/>
        </w:trPr>
        <w:tc>
          <w:tcPr>
            <w:tcW w:w="56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common stock subject to possible redemption</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Proforma Net loss per share, basic and diluted</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(0.37)</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(0.37)</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pro forma condensed combined financial information.</w:t>
      </w:r>
    </w:p>
    <w:p>
      <w:pPr>
        <w:spacing w:after="0" w:line="1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AI PLC;</w:t>
      </w:r>
    </w:p>
    <w:p>
      <w:pPr>
        <w:spacing w:after="0" w:line="3" w:lineRule="exact"/>
        <w:rPr>
          <w:sz w:val="20"/>
          <w:szCs w:val="20"/>
          <w:color w:val="auto"/>
        </w:rPr>
      </w:pPr>
    </w:p>
    <w:p>
      <w:pPr>
        <w:ind w:left="120" w:right="20" w:hanging="4"/>
        <w:spacing w:after="0" w:line="252" w:lineRule="auto"/>
        <w:tabs>
          <w:tab w:leader="none" w:pos="43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 AI PLC; (iv) Rezolve will comprise the ongoing operations of Rezolve AI PLC; (v) Rezolve is the larger entity based on historical revenues and business operations; and (vi) Rezolve AI PLC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9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January 1, 2023. These periods are presented on the basis of Rezolve as the accounting acquirer.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080" w:right="800" w:hanging="424"/>
        <w:spacing w:after="0" w:line="284"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 of Armada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Rezolve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w:t>
      </w:r>
    </w:p>
    <w:p>
      <w:pPr>
        <w:spacing w:after="0" w:line="162"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PLC. They should be read in conjunction with the audited financial statements and notes thereto of each of Armada and Rezolve included elsewhere in this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2023 are as follows:</w:t>
      </w:r>
    </w:p>
    <w:p>
      <w:pPr>
        <w:spacing w:after="0" w:line="131" w:lineRule="exact"/>
        <w:rPr>
          <w:sz w:val="20"/>
          <w:szCs w:val="20"/>
          <w:color w:val="auto"/>
        </w:rPr>
      </w:pPr>
    </w:p>
    <w:p>
      <w:pPr>
        <w:ind w:left="540" w:right="440" w:hanging="424"/>
        <w:spacing w:after="0" w:line="282"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67" w:lineRule="exact"/>
        <w:rPr>
          <w:rFonts w:ascii="Times New Roman" w:cs="Times New Roman" w:eastAsia="Times New Roman" w:hAnsi="Times New Roman"/>
          <w:sz w:val="18"/>
          <w:szCs w:val="18"/>
          <w:i w:val="1"/>
          <w:iCs w:val="1"/>
          <w:color w:val="auto"/>
        </w:rPr>
      </w:pPr>
    </w:p>
    <w:p>
      <w:pPr>
        <w:ind w:left="1080" w:right="340" w:hanging="424"/>
        <w:spacing w:after="0" w:line="282" w:lineRule="auto"/>
        <w:tabs>
          <w:tab w:leader="none" w:pos="10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Fee payments of an aggregate of approximately $31.5 million to CCM, Northland and Cantor Fitzgerald due upon Closing of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and Liquidation costs of approximately $3.1 million.</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settlement of Accounts payable of Armada primarily due to legal costs of the Business Combinations.</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payment of taxes payable using interest earned on cash held in trust.</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repayment of the Promissory note in Armada.</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line="253"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withdrawals of cash from the Trust Account, excluding the redemptions in note (f).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redemption of 945,662 shares of a total of 2,363,349, in February 2024.</w:t>
      </w:r>
    </w:p>
    <w:p>
      <w:pPr>
        <w:spacing w:after="0" w:line="130" w:lineRule="exact"/>
        <w:rPr>
          <w:rFonts w:ascii="Times New Roman" w:cs="Times New Roman" w:eastAsia="Times New Roman" w:hAnsi="Times New Roman"/>
          <w:sz w:val="18"/>
          <w:szCs w:val="18"/>
          <w:i w:val="1"/>
          <w:iCs w:val="1"/>
          <w:color w:val="auto"/>
        </w:rPr>
      </w:pPr>
    </w:p>
    <w:p>
      <w:pPr>
        <w:ind w:left="540" w:right="62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50% discount to the pre-equity consummation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the ordinary shares payable under the rights issue upon the completion of the reorganization immediately before listing.</w:t>
      </w:r>
    </w:p>
    <w:p>
      <w:pPr>
        <w:spacing w:after="0" w:line="130" w:lineRule="exact"/>
        <w:rPr>
          <w:rFonts w:ascii="Times New Roman" w:cs="Times New Roman" w:eastAsia="Times New Roman" w:hAnsi="Times New Roman"/>
          <w:sz w:val="18"/>
          <w:szCs w:val="18"/>
          <w:i w:val="1"/>
          <w:iCs w:val="1"/>
          <w:color w:val="auto"/>
        </w:rPr>
      </w:pPr>
    </w:p>
    <w:p>
      <w:pPr>
        <w:ind w:left="540" w:right="60" w:hanging="424"/>
        <w:spacing w:after="0" w:line="258"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 discount to the pre-equity consummation of the Business Combination. Reflects the conversion of long-term convertible debt at the close of the 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88" w:lineRule="exact"/>
        <w:rPr>
          <w:rFonts w:ascii="Times New Roman" w:cs="Times New Roman" w:eastAsia="Times New Roman" w:hAnsi="Times New Roman"/>
          <w:sz w:val="18"/>
          <w:szCs w:val="18"/>
          <w:i w:val="1"/>
          <w:iCs w:val="1"/>
          <w:color w:val="auto"/>
        </w:rPr>
      </w:pPr>
    </w:p>
    <w:p>
      <w:pPr>
        <w:ind w:left="540" w:right="16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Armada redeemable stock into Rezolve ordinary shares under the minimum redemption scenarios.</w:t>
      </w:r>
    </w:p>
    <w:p>
      <w:pPr>
        <w:spacing w:after="0" w:line="130" w:lineRule="exact"/>
        <w:rPr>
          <w:rFonts w:ascii="Times New Roman" w:cs="Times New Roman" w:eastAsia="Times New Roman" w:hAnsi="Times New Roman"/>
          <w:sz w:val="18"/>
          <w:szCs w:val="18"/>
          <w:i w:val="1"/>
          <w:iCs w:val="1"/>
          <w:color w:val="auto"/>
        </w:rPr>
      </w:pPr>
    </w:p>
    <w:p>
      <w:pPr>
        <w:ind w:left="540" w:right="120" w:hanging="424"/>
        <w:spacing w:after="0" w:line="266"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81" w:lineRule="exact"/>
        <w:rPr>
          <w:rFonts w:ascii="Times New Roman" w:cs="Times New Roman" w:eastAsia="Times New Roman" w:hAnsi="Times New Roman"/>
          <w:sz w:val="18"/>
          <w:szCs w:val="18"/>
          <w:i w:val="1"/>
          <w:iCs w:val="1"/>
          <w:color w:val="auto"/>
        </w:rPr>
      </w:pPr>
    </w:p>
    <w:p>
      <w:pPr>
        <w:ind w:left="540" w:right="28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that will trigger a grant upon amending the articles of the company, anticipated before the close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Elimination of historical retained earnings of Armada as part of the acquisition accounting.</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return of Armada redeemable stock under the maximum redemption scenarios.</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accrue excise taxes payable on the maximum redemptions scenario.</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cash paid for additional excise taxes triggered by redemptions under the maximum redemptions scenario.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 adjustments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67"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reclassification of Armada costs to conform with S-X 5-03.</w:t>
      </w:r>
    </w:p>
    <w:p>
      <w:pPr>
        <w:spacing w:after="0" w:line="130" w:lineRule="exact"/>
        <w:rPr>
          <w:rFonts w:ascii="Times New Roman" w:cs="Times New Roman" w:eastAsia="Times New Roman" w:hAnsi="Times New Roman"/>
          <w:sz w:val="18"/>
          <w:szCs w:val="18"/>
          <w:i w:val="1"/>
          <w:iCs w:val="1"/>
          <w:color w:val="auto"/>
        </w:rPr>
      </w:pPr>
    </w:p>
    <w:p>
      <w:pPr>
        <w:ind w:left="540" w:right="620" w:hanging="424"/>
        <w:spacing w:after="0" w:line="282" w:lineRule="auto"/>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67" w:lineRule="exact"/>
        <w:rPr>
          <w:rFonts w:ascii="Times New Roman" w:cs="Times New Roman" w:eastAsia="Times New Roman" w:hAnsi="Times New Roman"/>
          <w:sz w:val="18"/>
          <w:szCs w:val="18"/>
          <w:i w:val="1"/>
          <w:iCs w:val="1"/>
          <w:color w:val="auto"/>
        </w:rPr>
      </w:pPr>
    </w:p>
    <w:p>
      <w:pPr>
        <w:ind w:left="540" w:right="280" w:hanging="424"/>
        <w:spacing w:after="0" w:line="282" w:lineRule="auto"/>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7" w:lineRule="exact"/>
        <w:rPr>
          <w:rFonts w:ascii="Times New Roman" w:cs="Times New Roman" w:eastAsia="Times New Roman" w:hAnsi="Times New Roman"/>
          <w:sz w:val="18"/>
          <w:szCs w:val="18"/>
          <w:i w:val="1"/>
          <w:iCs w:val="1"/>
          <w:color w:val="auto"/>
        </w:rPr>
      </w:pPr>
    </w:p>
    <w:p>
      <w:pPr>
        <w:jc w:val="center"/>
        <w:ind w:left="5480" w:right="140" w:hanging="5364"/>
        <w:spacing w:after="0" w:line="454" w:lineRule="auto"/>
        <w:tabs>
          <w:tab w:leader="none" w:pos="539"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 108</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interest income earned assuming the Business Combination completed on January 1, 2023.</w:t>
      </w:r>
    </w:p>
    <w:p>
      <w:pPr>
        <w:spacing w:after="0" w:line="130" w:lineRule="exact"/>
        <w:rPr>
          <w:rFonts w:ascii="Times New Roman" w:cs="Times New Roman" w:eastAsia="Times New Roman" w:hAnsi="Times New Roman"/>
          <w:sz w:val="18"/>
          <w:szCs w:val="18"/>
          <w:i w:val="1"/>
          <w:iCs w:val="1"/>
          <w:color w:val="auto"/>
        </w:rPr>
      </w:pPr>
    </w:p>
    <w:p>
      <w:pPr>
        <w:ind w:left="540" w:right="320" w:hanging="424"/>
        <w:spacing w:after="0" w:line="282" w:lineRule="auto"/>
        <w:tabs>
          <w:tab w:leader="none" w:pos="540" w:val="left"/>
        </w:tabs>
        <w:numPr>
          <w:ilvl w:val="0"/>
          <w:numId w:val="1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costs of the Pre-Closing Demerger that will be paid in connection with the consummation of the Business Combination. This is a non-recurring item.</w:t>
      </w:r>
    </w:p>
    <w:p>
      <w:pPr>
        <w:spacing w:after="0" w:line="67" w:lineRule="exact"/>
        <w:rPr>
          <w:rFonts w:ascii="Times New Roman" w:cs="Times New Roman" w:eastAsia="Times New Roman" w:hAnsi="Times New Roman"/>
          <w:sz w:val="18"/>
          <w:szCs w:val="18"/>
          <w:i w:val="1"/>
          <w:iCs w:val="1"/>
          <w:color w:val="auto"/>
        </w:rPr>
      </w:pPr>
    </w:p>
    <w:p>
      <w:pPr>
        <w:ind w:left="540" w:right="440" w:hanging="424"/>
        <w:spacing w:after="0" w:line="282" w:lineRule="auto"/>
        <w:tabs>
          <w:tab w:leader="none" w:pos="540" w:val="left"/>
        </w:tabs>
        <w:numPr>
          <w:ilvl w:val="0"/>
          <w:numId w:val="1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taxes payable on interest income that would have not been incurred given the Business Combination completed on January 1, 2023.</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accrue excise taxes payable on the February 2024 redemptions.</w:t>
      </w:r>
    </w:p>
    <w:p>
      <w:pPr>
        <w:spacing w:after="0" w:line="12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Reflects the adjustment to accrue excise taxes payable on the maximum redemptions scenario.</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MEETING OF ARMADA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statement/prospectus is being provided to Armada stockholders as part of a solicitation of proxies by the Board for use at the Special Meeting of Stockholders to be held on        , 2024, and at any adjournment or postponement thereof. This proxy statement/prospectus contains important information regarding the Special Meeting, the proposals on which you are being asked to vote and information you may find useful in determining how to vote and voting procedures. The Special Meeting will be held in virtual format only. </w:t>
      </w:r>
      <w:r>
        <w:rPr>
          <w:rFonts w:ascii="Times New Roman" w:cs="Times New Roman" w:eastAsia="Times New Roman" w:hAnsi="Times New Roman"/>
          <w:sz w:val="18"/>
          <w:szCs w:val="18"/>
          <w:b w:val="1"/>
          <w:bCs w:val="1"/>
          <w:color w:val="auto"/>
        </w:rPr>
        <w:t>You will not be able to attend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Meeting in person. </w:t>
      </w:r>
      <w:r>
        <w:rPr>
          <w:rFonts w:ascii="Times New Roman" w:cs="Times New Roman" w:eastAsia="Times New Roman" w:hAnsi="Times New Roman"/>
          <w:sz w:val="18"/>
          <w:szCs w:val="18"/>
          <w:color w:val="auto"/>
        </w:rPr>
        <w:t>The access information for the virtual Special Meeting is as follows: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Telephone Access (listen-only):</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+1 (877) 770-3647</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and Canada); or</w:t>
            </w:r>
          </w:p>
        </w:tc>
      </w:tr>
      <w:tr>
        <w:trPr>
          <w:trHeight w:val="216"/>
        </w:trPr>
        <w:tc>
          <w:tcPr>
            <w:tcW w:w="5460" w:type="dxa"/>
            <w:vAlign w:val="bottom"/>
          </w:tcPr>
          <w:p>
            <w:pPr>
              <w:spacing w:after="0"/>
              <w:rPr>
                <w:sz w:val="18"/>
                <w:szCs w:val="18"/>
                <w:color w:val="auto"/>
              </w:rPr>
            </w:pP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+1 (312) 780-0854</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of the U.S. or Canada)</w:t>
            </w:r>
          </w:p>
        </w:tc>
      </w:tr>
      <w:tr>
        <w:trPr>
          <w:trHeight w:val="21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Passcode for Telephone Access:</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95865097#</w:t>
            </w:r>
          </w:p>
        </w:tc>
        <w:tc>
          <w:tcPr>
            <w:tcW w:w="3460" w:type="dxa"/>
            <w:vAlign w:val="bottom"/>
          </w:tcPr>
          <w:p>
            <w:pPr>
              <w:spacing w:after="0"/>
              <w:rPr>
                <w:sz w:val="18"/>
                <w:szCs w:val="18"/>
                <w:color w:val="auto"/>
              </w:rPr>
            </w:pPr>
          </w:p>
        </w:tc>
      </w:tr>
      <w:tr>
        <w:trPr>
          <w:trHeight w:val="23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Webcast Access:</w:t>
            </w: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i w:val="1"/>
                <w:iCs w:val="1"/>
                <w:color w:val="auto"/>
              </w:rPr>
              <w:t>http://www.cstproxy.com/armadaacquisition/2024</w:t>
            </w:r>
          </w:p>
        </w:tc>
      </w:tr>
      <w:tr>
        <w:trPr>
          <w:trHeight w:val="432"/>
        </w:trPr>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This proxy statement/prospectus is being first mailed on or about     </w:t>
            </w:r>
          </w:p>
        </w:tc>
        <w:tc>
          <w:tcPr>
            <w:tcW w:w="5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 2024 to all stockholders of record of Armada as of             , the</w:t>
            </w:r>
          </w:p>
        </w:tc>
      </w:tr>
    </w:tbl>
    <w:p>
      <w:pPr>
        <w:ind w:left="120" w:right="140"/>
        <w:spacing w:after="0" w:line="255" w:lineRule="auto"/>
        <w:rPr>
          <w:sz w:val="20"/>
          <w:szCs w:val="20"/>
          <w:color w:val="auto"/>
        </w:rPr>
      </w:pPr>
      <w:r>
        <w:rPr>
          <w:rFonts w:ascii="Times New Roman" w:cs="Times New Roman" w:eastAsia="Times New Roman" w:hAnsi="Times New Roman"/>
          <w:sz w:val="18"/>
          <w:szCs w:val="18"/>
          <w:color w:val="auto"/>
        </w:rPr>
        <w:t>record date for the Special Meeting. Stockholders of record who owned Armada Common Stock at the close of business on the record date are entitled to receive notice of, attend and vote at the Special Meeting. On the record date, there were 7,127,187 shares of Armada Common Stock and Founder Shares outstanding and entitled to vote at the Special Meeting.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Special Meeting will be held on         , 2024, at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Eastern Time, via webcast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or at such other date, time and place to which such meeting may be adjourned or postponed,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Times New Roman" w:cs="Times New Roman" w:eastAsia="Times New Roman" w:hAnsi="Times New Roman"/>
          <w:sz w:val="18"/>
          <w:szCs w:val="18"/>
          <w:i w:val="1"/>
          <w:iCs w:val="1"/>
          <w:color w:val="auto"/>
        </w:rPr>
        <w:t xml:space="preserve">http://www.cstproxy.com/armadaacquisition/2024 </w:t>
      </w:r>
      <w:r>
        <w:rPr>
          <w:rFonts w:ascii="Times New Roman" w:cs="Times New Roman" w:eastAsia="Times New Roman" w:hAnsi="Times New Roman"/>
          <w:sz w:val="18"/>
          <w:szCs w:val="18"/>
          <w:color w:val="auto"/>
        </w:rPr>
        <w:t>and entering your 12-digit control number, which is either included on the proxy card you received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through Continental Stock Transfer &amp; Trust Company.</w:t>
      </w: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Registering for the Special Meeting</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stockholder wishing to attend the virtual meeting should register for the meeting by         , 2024. To vote upon the proposals included in this proxy statement/prospectus, please follow these instructions as applicable to the nature of your ownership of Armada Common Stock:</w:t>
      </w:r>
    </w:p>
    <w:p>
      <w:pPr>
        <w:spacing w:after="0" w:line="67" w:lineRule="exact"/>
        <w:rPr>
          <w:sz w:val="20"/>
          <w:szCs w:val="20"/>
          <w:color w:val="auto"/>
        </w:rPr>
      </w:pPr>
    </w:p>
    <w:p>
      <w:pPr>
        <w:ind w:left="1080" w:right="180" w:hanging="424"/>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date and return the proxy card pursuant to the instructions on the card. If you return your signed proxy card before the Special Meeting, we will vote your shares as directed.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76" w:lineRule="auto"/>
        <w:tabs>
          <w:tab w:leader="none" w:pos="10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 2024 to be counted.</w:t>
      </w:r>
    </w:p>
    <w:p>
      <w:pPr>
        <w:spacing w:after="0" w:line="110" w:lineRule="exact"/>
        <w:rPr>
          <w:sz w:val="20"/>
          <w:szCs w:val="20"/>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before the meeting, go to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follow the on-screen</w:t>
      </w:r>
    </w:p>
    <w:p>
      <w:pPr>
        <w:spacing w:after="0" w:line="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instructions. Your Internet vote must be received by 11:59 p.m., Eastern Time             , 2024 to be counted.</w:t>
      </w:r>
    </w:p>
    <w:p>
      <w:pPr>
        <w:spacing w:after="0" w:line="110" w:lineRule="exact"/>
        <w:rPr>
          <w:sz w:val="20"/>
          <w:szCs w:val="20"/>
          <w:color w:val="auto"/>
        </w:rPr>
      </w:pPr>
    </w:p>
    <w:p>
      <w:pPr>
        <w:ind w:left="1080" w:right="420" w:hanging="424"/>
        <w:spacing w:after="0" w:line="315" w:lineRule="auto"/>
        <w:tabs>
          <w:tab w:leader="none" w:pos="108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through the Internet during the meeting, please visit </w:t>
      </w:r>
      <w:r>
        <w:rPr>
          <w:rFonts w:ascii="Times New Roman" w:cs="Times New Roman" w:eastAsia="Times New Roman" w:hAnsi="Times New Roman"/>
          <w:sz w:val="17"/>
          <w:szCs w:val="17"/>
          <w:i w:val="1"/>
          <w:iCs w:val="1"/>
          <w:color w:val="auto"/>
        </w:rPr>
        <w:t>http://www.cstproxy.com/armadaacquisition/2024</w:t>
      </w:r>
      <w:r>
        <w:rPr>
          <w:rFonts w:ascii="Times New Roman" w:cs="Times New Roman" w:eastAsia="Times New Roman" w:hAnsi="Times New Roman"/>
          <w:sz w:val="17"/>
          <w:szCs w:val="17"/>
          <w:color w:val="auto"/>
        </w:rPr>
        <w:t xml:space="preserve"> and have available the 12-digit control number included in your Notice, on your proxy card or on the instructions that accompanied your proxy materials.</w:t>
      </w:r>
    </w:p>
    <w:p>
      <w:pPr>
        <w:spacing w:after="0" w:line="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Armada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Special Meeting, Company stockholders will vote on the following proposals:</w:t>
      </w:r>
    </w:p>
    <w:p>
      <w:pPr>
        <w:spacing w:after="0" w:line="127" w:lineRule="exact"/>
        <w:rPr>
          <w:sz w:val="20"/>
          <w:szCs w:val="20"/>
          <w:color w:val="auto"/>
        </w:rPr>
      </w:pPr>
    </w:p>
    <w:p>
      <w:pPr>
        <w:jc w:val="both"/>
        <w:ind w:left="1080" w:right="320" w:hanging="424"/>
        <w:spacing w:after="0" w:line="268"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including the Business Combination Agreement, by and among Armada, Rezolve Limited, Rezolve, and Rezolve Merger Sub, pursuant to which Armada, Rezolve and Rezolve Merger Sub will effect a series of transactions including, among other things:</w:t>
      </w:r>
    </w:p>
    <w:p>
      <w:pPr>
        <w:spacing w:after="0" w:line="80" w:lineRule="exact"/>
        <w:rPr>
          <w:rFonts w:ascii="Times New Roman" w:cs="Times New Roman" w:eastAsia="Times New Roman" w:hAnsi="Times New Roman"/>
          <w:sz w:val="18"/>
          <w:szCs w:val="18"/>
          <w:color w:val="auto"/>
        </w:rPr>
      </w:pPr>
    </w:p>
    <w:p>
      <w:pPr>
        <w:ind w:left="1540" w:right="20" w:hanging="439"/>
        <w:spacing w:after="0" w:line="255"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540" w:right="180" w:hanging="439"/>
        <w:spacing w:after="0" w:line="256"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40" w:hanging="439"/>
        <w:spacing w:after="0" w:line="258"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75" w:lineRule="exact"/>
        <w:rPr>
          <w:sz w:val="20"/>
          <w:szCs w:val="20"/>
          <w:color w:val="auto"/>
        </w:rPr>
      </w:pPr>
    </w:p>
    <w:p>
      <w:pPr>
        <w:jc w:val="both"/>
        <w:ind w:left="1100" w:right="40"/>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Escrow Agreement to allow Continental Stock Transfer &amp; Trust Company to distribute certain of the Escrow Shares prior to the expiration of the Escrow Period.</w:t>
      </w:r>
    </w:p>
    <w:p>
      <w:pPr>
        <w:spacing w:after="0" w:line="77" w:lineRule="exact"/>
        <w:rPr>
          <w:sz w:val="20"/>
          <w:szCs w:val="20"/>
          <w:color w:val="auto"/>
        </w:rPr>
      </w:pPr>
    </w:p>
    <w:p>
      <w:pPr>
        <w:ind w:left="1080" w:right="100" w:hanging="424"/>
        <w:spacing w:after="0" w:line="26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8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which will become effective on or before the Closing Date and will be used by Rezolve following the Closing;</w:t>
      </w:r>
    </w:p>
    <w:p>
      <w:pPr>
        <w:spacing w:after="0" w:line="6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4 — The Charter Limitation Amendment Proposal </w:t>
      </w:r>
      <w:r>
        <w:rPr>
          <w:rFonts w:ascii="Times New Roman" w:cs="Times New Roman" w:eastAsia="Times New Roman" w:hAnsi="Times New Roman"/>
          <w:sz w:val="17"/>
          <w:szCs w:val="17"/>
          <w:color w:val="auto"/>
        </w:rPr>
        <w:t>— to consider and vote upon a proposal to amend the Armada Charter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eliminate from the Armada Charter the limitation that Armada may not consummate a business combination to the extent Armada would have net tangible assets of less than $5,000,001 immediately prior to or upon consummation of a business combination in order to allow Armada to consummate the Business Combination irrespective of whether Armada would exceed the Charter Limitation; and</w:t>
      </w:r>
    </w:p>
    <w:p>
      <w:pPr>
        <w:spacing w:after="0" w:line="66" w:lineRule="exact"/>
        <w:rPr>
          <w:rFonts w:ascii="Times New Roman" w:cs="Times New Roman" w:eastAsia="Times New Roman" w:hAnsi="Times New Roman"/>
          <w:sz w:val="17"/>
          <w:szCs w:val="17"/>
          <w:color w:val="auto"/>
        </w:rPr>
      </w:pPr>
    </w:p>
    <w:p>
      <w:pPr>
        <w:ind w:left="1080" w:right="100" w:hanging="424"/>
        <w:spacing w:after="0" w:line="28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 Adjournment Proposal </w:t>
      </w:r>
      <w:r>
        <w:rPr>
          <w:rFonts w:ascii="Times New Roman" w:cs="Times New Roman" w:eastAsia="Times New Roman" w:hAnsi="Times New Roman"/>
          <w:sz w:val="18"/>
          <w:szCs w:val="18"/>
          <w:color w:val="auto"/>
        </w:rPr>
        <w:t>— To approve, if necessary, the adjournment of the Special Meeting to a later date or dates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further solicitation and votes of proxies in the event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Armada Board of Directors</w:t>
      </w:r>
    </w:p>
    <w:p>
      <w:pPr>
        <w:spacing w:after="0" w:line="121" w:lineRule="exact"/>
        <w:rPr>
          <w:sz w:val="20"/>
          <w:szCs w:val="20"/>
          <w:color w:val="auto"/>
        </w:rPr>
      </w:pPr>
    </w:p>
    <w:p>
      <w:pPr>
        <w:jc w:val="both"/>
        <w:ind w:left="120" w:right="900" w:firstLine="440"/>
        <w:spacing w:after="0" w:line="266" w:lineRule="auto"/>
        <w:rPr>
          <w:sz w:val="20"/>
          <w:szCs w:val="20"/>
          <w:color w:val="auto"/>
        </w:rPr>
      </w:pPr>
      <w:r>
        <w:rPr>
          <w:rFonts w:ascii="Times New Roman" w:cs="Times New Roman" w:eastAsia="Times New Roman" w:hAnsi="Times New Roman"/>
          <w:sz w:val="18"/>
          <w:szCs w:val="18"/>
          <w:color w:val="auto"/>
        </w:rPr>
        <w:t>Our Board believes that each of the Business Combination Proposal, the Nasdaq Proposal, the Incentive Equity Plan Proposal and the Adjournment Proposal to be presented at the Special Meeting is in the best interests of Armada and its stockholders and recommends that its stockholders vote “FOR” each of the proposals.</w:t>
      </w:r>
    </w:p>
    <w:p>
      <w:pPr>
        <w:spacing w:after="0" w:line="176"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080" w:hanging="424"/>
        <w:spacing w:after="0" w:line="254"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8"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$56,392,875 and $2,367,750, respectively, based upon the closing price of $11.55 per public share on the Nasdaq on June 10,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w:t>
      </w:r>
    </w:p>
    <w:p>
      <w:pPr>
        <w:spacing w:after="0" w:line="197" w:lineRule="exact"/>
        <w:rPr>
          <w:rFonts w:ascii="Times New Roman" w:cs="Times New Roman" w:eastAsia="Times New Roman" w:hAnsi="Times New Roman"/>
          <w:sz w:val="17"/>
          <w:szCs w:val="17"/>
          <w:color w:val="auto"/>
        </w:rPr>
      </w:pPr>
    </w:p>
    <w:p>
      <w:pPr>
        <w:ind w:left="1080"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 w:hanging="424"/>
        <w:spacing w:after="0" w:line="261"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Outstanding Shares; Shareholders Entitled to Vote</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Armada has fixed the close of business on         , 2024, as the “record date” for determining Armada Stockholders entitled to notice of and to attend and vote at the Special Meeting. If your shares of Armada Common Stock are held in “street name” or are in margin or similar account, you should contact your broker or bank to ensure that votes related to the shares of Armada Common Stock you beneficially own are properly counted. As of the close of business on the record date, there were 7,127,187 shares of Armada Common Stock and Founder Shares outstanding and entitled to vote, of which 1,417,687 are public shares, 459,500 are Private Placement Shares held by our Sponsor, and 4,882,500 are Founder Shares held by our Sponsor.</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 Company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14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280"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Abstentions are considered present for the purposes of establishing a quorum. Abstentions will have no effect on the Business Combination Proposal, the Nasdaq Proposal, the Incentive Equity Plan Proposal and the Adjournment Proposal.</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Times New Roman" w:cs="Times New Roman" w:eastAsia="Times New Roman" w:hAnsi="Times New Roman"/>
          <w:sz w:val="18"/>
          <w:szCs w:val="18"/>
          <w:b w:val="1"/>
          <w:bCs w:val="1"/>
          <w:color w:val="auto"/>
        </w:rPr>
        <w:t>None of the proposals at the Special Meeting are routine matters. As such, without your voting instructions,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brokerage firm cannot vote your shares on any proposal to be voted on at the Special Meeting. </w:t>
      </w:r>
      <w:r>
        <w:rPr>
          <w:rFonts w:ascii="Times New Roman" w:cs="Times New Roman" w:eastAsia="Times New Roman" w:hAnsi="Times New Roman"/>
          <w:sz w:val="18"/>
          <w:szCs w:val="18"/>
          <w:color w:val="auto"/>
        </w:rPr>
        <w:t>Broker non-votes will not have any effect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 of any Proposals.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Stockholders of Record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are an Armada stockholder of record, you may vote by mail or in person at the Special Meeting. Each share of Armada Common Stock that you own in your name entitles you to one vote on each of the proposals for the Special Meeting. Your one or more proxy cards show the number of shares of Armada Common Stock that you own.</w:t>
      </w:r>
    </w:p>
    <w:p>
      <w:pPr>
        <w:spacing w:after="0" w:line="1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xml:space="preserve">  You can vote your shares by completing, signing, dating and returning the enclosed proxy card in the postage-paid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Special Meeting. If you sign and return the proxy card but do not give instructions on how to vote your shares, your shares of Armada Common Stock will be voted as recommended by our Board. Our Board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 Votes submitted by mail must be received by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Eastern Time, on         , 2024.</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5"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Voting at the Meeting </w:t>
      </w:r>
      <w:r>
        <w:rPr>
          <w:rFonts w:ascii="Times New Roman" w:cs="Times New Roman" w:eastAsia="Times New Roman" w:hAnsi="Times New Roman"/>
          <w:sz w:val="18"/>
          <w:szCs w:val="18"/>
          <w:color w:val="auto"/>
        </w:rPr>
        <w:t>— We will be hosting the Special Meeting via live webcast. If you attend the Special Meeting, you may submit your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the Special Meeting online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in which case any votes that you previously submitted will be superseded by the vote that you cast at the Special Meeting. See “</w:t>
      </w:r>
      <w:r>
        <w:rPr>
          <w:rFonts w:ascii="Times New Roman" w:cs="Times New Roman" w:eastAsia="Times New Roman" w:hAnsi="Times New Roman"/>
          <w:sz w:val="18"/>
          <w:szCs w:val="18"/>
          <w:i w:val="1"/>
          <w:iCs w:val="1"/>
          <w:color w:val="auto"/>
        </w:rPr>
        <w:t>Registering for the Special Meeting</w:t>
      </w:r>
      <w:r>
        <w:rPr>
          <w:rFonts w:ascii="Times New Roman" w:cs="Times New Roman" w:eastAsia="Times New Roman" w:hAnsi="Times New Roman"/>
          <w:sz w:val="18"/>
          <w:szCs w:val="18"/>
          <w:color w:val="auto"/>
        </w:rPr>
        <w:t>” above for further details on how to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Voting Your Shares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Beneficial Owners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Special Meeting, you will need to bring to the Special Meeting a legal proxy from your broker, bank or other nominee authorizing you to vote those shares. Please see “</w:t>
      </w:r>
      <w:r>
        <w:rPr>
          <w:rFonts w:ascii="Times New Roman" w:cs="Times New Roman" w:eastAsia="Times New Roman" w:hAnsi="Times New Roman"/>
          <w:sz w:val="18"/>
          <w:szCs w:val="18"/>
          <w:i w:val="1"/>
          <w:iCs w:val="1"/>
          <w:color w:val="auto"/>
        </w:rPr>
        <w:t>Attending the Special Meeting</w:t>
      </w:r>
      <w:r>
        <w:rPr>
          <w:rFonts w:ascii="Times New Roman" w:cs="Times New Roman" w:eastAsia="Times New Roman" w:hAnsi="Times New Roman"/>
          <w:sz w:val="18"/>
          <w:szCs w:val="18"/>
          <w:color w:val="auto"/>
        </w:rPr>
        <w:t>” below for more details.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Ownership of and Voting by Armada Directors and Officers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Armada’s directors and officers and their affiliates had the right to vote approximately 5,547,000 shares of Armada Common Stock, representing approximately 77.83% of the shares of Armada Common Stock then outstanding and entitled to vote at the Special Meeting. Armada Initial Shareholders entered into a Transaction Support Agreement with Armada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give a proxy, you may revoke it at any time before the Special Meeting or at the Special Meeting by doing any one of the following:</w:t>
      </w:r>
    </w:p>
    <w:p>
      <w:pPr>
        <w:spacing w:after="0" w:line="131" w:lineRule="exact"/>
        <w:rPr>
          <w:sz w:val="20"/>
          <w:szCs w:val="20"/>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the Company’s Secretary in writing to c/o Armada Acquisition Corp. I, 2005 Market Street, Suite 3120, Philadelphia, PA 19103, Attn: Secretary, before the Special Meeting that you have revoked your proxy;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revoke your proxy, and vote in person, as indicated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Additional Matters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Proposal, the Incentive Equity Plan Proposal and the Adjournment Proposal. Under our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you are an Armada stockholder and have any questions about how to vote or direct a vote in respect of your Armada Common Stock, you may contact Stephen P. Herbert, our Chief Executive Officer, by emailing sherbert@armadaacq.com.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Pursuant to our certificate of incorporation, any holders of our public shares may demand that such shares be redeemed in exchange for a pro rata share of the aggregate amount on deposit in the Trust Account, including interest (which interest shall be net of taxes payable),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IPO of Armada (calculated as of two business days prior to the consummation of the Business Combination, including interest (which interest shall be net of taxes payable)). For illustrative purposes, based on the fair value of marketable securities held in the Trust Account of approximately $16,028,736 as of June 10, 2024, the estimated per share redemption price would have been approximately $11.31 on such date. </w:t>
      </w:r>
      <w:r>
        <w:rPr>
          <w:rFonts w:ascii="Times New Roman" w:cs="Times New Roman" w:eastAsia="Times New Roman" w:hAnsi="Times New Roman"/>
          <w:sz w:val="18"/>
          <w:szCs w:val="18"/>
          <w:b w:val="1"/>
          <w:bCs w:val="1"/>
          <w:u w:val="single" w:color="auto"/>
          <w:color w:val="auto"/>
        </w:rPr>
        <w:t>Public stockholders may elect to redeem their shares even if they vote for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 Any request to redeem public shares, once made, may be withdrawn at any time until the deadline for exercising redemption requests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31" w:lineRule="exact"/>
        <w:rPr>
          <w:sz w:val="20"/>
          <w:szCs w:val="20"/>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public units, separate the underlying public shares and public warrants;</w:t>
      </w:r>
    </w:p>
    <w:p>
      <w:pPr>
        <w:sectPr>
          <w:pgSz w:w="11900" w:h="16838" w:orient="portrait"/>
          <w:cols w:equalWidth="0" w:num="1">
            <w:col w:w="11120"/>
          </w:cols>
          <w:pgMar w:left="320" w:top="455"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prior to 5:00 p.m., Eastern Time, on         , 2024 (two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176"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jc w:val="center"/>
        <w:ind w:right="-119"/>
        <w:spacing w:after="0" w:line="196" w:lineRule="auto"/>
        <w:rPr>
          <w:sz w:val="20"/>
          <w:szCs w:val="20"/>
          <w:color w:val="auto"/>
        </w:rPr>
      </w:pPr>
      <w:r>
        <w:rPr>
          <w:rFonts w:ascii="Times New Roman" w:cs="Times New Roman" w:eastAsia="Times New Roman" w:hAnsi="Times New Roman"/>
          <w:sz w:val="18"/>
          <w:szCs w:val="18"/>
          <w:color w:val="auto"/>
        </w:rPr>
        <w:t>1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12" w:lineRule="exact"/>
        <w:rPr>
          <w:sz w:val="20"/>
          <w:szCs w:val="20"/>
          <w:color w:val="auto"/>
        </w:rPr>
      </w:pPr>
    </w:p>
    <w:p>
      <w:pPr>
        <w:ind w:left="1080" w:right="20" w:hanging="424"/>
        <w:spacing w:after="0" w:line="266"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request to Continental Stock Transfer &amp; Trust Company for redemption, you must also affirmatively certify if you “ARE” or “ARE NOT” acting in concert or as a “group” (as defined in Section 13d-3 of the Exchange Act) with any other stockholder with respect to shares of Armada Common Stock;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DTC’s DWAC system to our Transfer Agent at least two business days before the Special Meeting.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Stockholders seeking to exercise their Redemption Rights, whether they are record holders or hold their shares in “street name” are required to either tender their certificates to our Transfer Agent prior to the date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 xml:space="preserve">is two business days prior to the Special Meeting, or to deliver their shares to the Transfer Agent electronically using DTC’s DWAC system, at such stockholder’s option. </w:t>
      </w:r>
      <w:r>
        <w:rPr>
          <w:rFonts w:ascii="Times New Roman" w:cs="Times New Roman" w:eastAsia="Times New Roman" w:hAnsi="Times New Roman"/>
          <w:sz w:val="18"/>
          <w:szCs w:val="18"/>
          <w:b w:val="1"/>
          <w:bCs w:val="1"/>
          <w:u w:val="single" w:color="auto"/>
          <w:color w:val="auto"/>
        </w:rPr>
        <w:t>The requirement for physical or electronic delivery prior to the Special Meeting ensures that a redeeming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election to redeem is irrevocable once the Business Combination is approved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above.</w:t>
      </w:r>
    </w:p>
    <w:p>
      <w:pPr>
        <w:spacing w:after="0" w:line="16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of outstanding public units must separate the underlying public shares and public warrants prior to exercising Redemption Rights with respect to the public shares.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you hold public units registered in your own name, you must deliver the certificate for such public units to Continental Stock Transfer &amp; Trust Company, our Transfer Agent, with written instructions to separate such public units into public shares and public warrants. This must be completed far enough in advance to permit the mailing of the public share certificates back to you so that you may then exercise your Redemption Rights upon the separation of the public shares from the public units.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public units, you must instruct such nominee to separate your public units. Your nominee must send written instructions by facsimile to Continental Stock Transfer &amp; Trust Company, our Transfer Agent. Such written instructions must include the number of public units to be split and the nominee holding such public units. Your nominee must also initiate electronically, using DTC’s DWAC system, a withdrawal of the relevant units and a deposit of an equal number of public shares and completed far enough in advance to permit your nominee to exercise your Redemption Rights upon the separation of the public shares from the public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w:t>
      </w:r>
    </w:p>
    <w:p>
      <w:pPr>
        <w:spacing w:after="0" w:line="189"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Each redemption of shares of Armada Common Stock by our public stockholders will reduce the amount in the Trust Account. Although the Armada Charter does not provide a specified maximum redemption threshold, the Armada Charter would prohibit Armada from closing the Business Combination if its net tangible assets would be less than $5,000,001, unless the Charter Limitation Amendment Proposal is approved and implemented. Holders of our outstanding public warrants do not have redemption rights for such public warrants in connection with the Business Combination.</w:t>
      </w:r>
    </w:p>
    <w:p>
      <w:pPr>
        <w:spacing w:after="0" w:line="16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Armada Common Stock as they may receive higher proceeds from the sale of their shares of Armada Common Stock in the public market than from exercising their Redemption Rights if the market price per share is higher than the redemption price. We cannot assure you that you will be able to sell your shares of Armada Common Stock in the open market, even if the market price per share is higher than the redemption price stated above, as there may not be sufficient liquidity in Armada Common Stock when you wish to sell your shares.</w:t>
      </w:r>
    </w:p>
    <w:p>
      <w:pPr>
        <w:spacing w:after="0" w:line="179"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If you exercise your Redemption Rights, your shares of Armada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be required to dissolve and liquidate our Trust Account by returning the then remaining funds in such account to the public stockholders and our warrants will expire worthless, unless the Business Combination is approved and we consummate an initial business combination by June 17,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Appraisal rights are not available to holders of shares of Armada Common Stock in connection with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Armada will pay the cost of soliciting proxies for the Special Meeting. Armada is soliciting proxies on behalf of the Board and Armada has not engaged anyone to assist in the solicitation of proxies for the Stockholder Meeting. Armada will also reimburse banks, brokers and other custodians, nominees and fiduciaries representing beneficial owners of Common Stock for their expenses in forwarding soliciting materials to beneficial owners of Common Stock and in obtaining voting instructions from those owners. The directors, officers and employees of Armada may also solicit proxies by telephone, by facsimile, by mail or on the Internet. They will not be paid any additional amounts for soliciting proxies.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320" w:top="455" w:right="5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Armada, Rezolve and Rezolve Merger Sub will effect a series of transactions, pursuant to which among other things:</w:t>
      </w:r>
    </w:p>
    <w:p>
      <w:pPr>
        <w:spacing w:after="0" w:line="67" w:lineRule="exact"/>
        <w:rPr>
          <w:sz w:val="20"/>
          <w:szCs w:val="20"/>
          <w:color w:val="auto"/>
        </w:rPr>
      </w:pPr>
    </w:p>
    <w:p>
      <w:pPr>
        <w:ind w:left="1080" w:right="140" w:hanging="532"/>
        <w:spacing w:after="0" w:line="255"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As part of the Business Combination Proposal, stockholders are also being asked to consider and vote on the approval of an amendment to Escrow Agreement to allow Continental Stock Transfer &amp; Trust Company to distribute certain of the Escrow Shares prior to the expiration of the Escrow Period.</w:t>
      </w:r>
    </w:p>
    <w:p>
      <w:pPr>
        <w:spacing w:after="0" w:line="14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Company Reorganization and the Business Combination the shareholders of Rezolve will hold a number of Rezolve Ordinary Shares equal to the quotient obtained by dividing (x) $1,600,000,000 by (y) $10.00. They will also hold         shares issued since December 17, 2021.</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Rezolve PLC will be listed on The Nasdaq Stock Market LLC under the new ticker symbol “ 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shows the current ownership of Armada, Rezolve Limited and Rezolve.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1. Current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206490" cy="20231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0649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0" w:right="240" w:hanging="424"/>
        <w:spacing w:after="0" w:line="282" w:lineRule="auto"/>
        <w:tabs>
          <w:tab w:leader="none" w:pos="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was incorporated in England and Wales as a private limited company on January 5, 2023 under the name Rezolve Group Limited with company number 14573691 and changed its name on June 5, 2023 to Rezolve AI Limited.</w:t>
      </w:r>
    </w:p>
    <w:p>
      <w:pPr>
        <w:spacing w:after="0" w:line="16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 Rezolve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2802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60"/>
          </w:cols>
          <w:pgMar w:left="320" w:top="455" w:right="6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3. 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206490" cy="17830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0649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right="140" w:hanging="424"/>
        <w:spacing w:after="0" w:line="266" w:lineRule="auto"/>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Pre-Closing Demerger but prior to the completion of this offering, Rezolve expects to alter its legal status under English law from a private limited company and re-register as a public limited company and change its name from Rezolve AI Limited to Rezolve AI PLC.</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148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949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688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949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60"/>
          </w:cols>
          <w:pgMar w:left="320" w:top="455" w:right="5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Armada Common Stock</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of Rezolve’s board of directors and the Board has approved the Business Combination Agreement, which provides for the Merger of Rezolve Merger Sub, a wholly-owned subsidiary of Rezolve, with and into Armada. Armada will be the surviving entity in the Merger and will become a wholly-owned subsidiary of Rezolve. As a result of the Merger, each of the outstanding shares of Armada Common Stock held by the shareholders of Armada will be exchanged for one Ordinary Share of Rezolve.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Armada Warrants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warrant to purchase one share of Armada Common Stock at an issue price of $11.50 per share (each an “Armada Warrant”) issued and outstanding immediately prior to the effective time of the Merger shall be exchanged for one warrant to purchase one (1) Rezolve Ordinary Share at an issue price of $11.50 (each a “Rezolve Warrant”) (or any fraction thereof, as applicable, and if any holder has any entitlement to a fraction of a Rezolve Warrant upon the exchange of all the Armada Warrants so held by him then that fraction will be rounded down) and shall thereupon be terminated and no longer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jc w:val="center"/>
        <w:ind w:left="440"/>
        <w:spacing w:after="0" w:line="257" w:lineRule="auto"/>
        <w:rPr>
          <w:sz w:val="20"/>
          <w:szCs w:val="20"/>
          <w:color w:val="auto"/>
        </w:rPr>
      </w:pPr>
      <w:r>
        <w:rPr>
          <w:rFonts w:ascii="Times New Roman" w:cs="Times New Roman" w:eastAsia="Times New Roman" w:hAnsi="Times New Roman"/>
          <w:sz w:val="18"/>
          <w:szCs w:val="18"/>
          <w:color w:val="auto"/>
        </w:rPr>
        <w:t>The Business Combination Agreement contains customary representations and warranties of the parties thereto with respect to, among other things, (i) entity organization and qualification, (ii) capitalization, (iii) authorization to enter into such agreements, (iv) financial statements, (v) consents and requisite government approvals, (vi) licenses and permits, (vii) material contracts, (viii) absence of changes, (ix) litigation, (x) compliance with law,</w:t>
      </w:r>
    </w:p>
    <w:p>
      <w:pPr>
        <w:spacing w:after="0" w:line="1" w:lineRule="exact"/>
        <w:rPr>
          <w:sz w:val="20"/>
          <w:szCs w:val="20"/>
          <w:color w:val="auto"/>
        </w:rPr>
      </w:pPr>
    </w:p>
    <w:p>
      <w:pPr>
        <w:ind w:left="420" w:hanging="304"/>
        <w:spacing w:after="0"/>
        <w:tabs>
          <w:tab w:leader="none" w:pos="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plans, (xii) environmental matters, (xiii) intellectual property, (xiv) labor matters, (xv) insurance, (xvi) tax matters, (xvii) brokers,</w:t>
      </w:r>
    </w:p>
    <w:p>
      <w:pPr>
        <w:spacing w:after="0" w:line="9" w:lineRule="exact"/>
        <w:rPr>
          <w:rFonts w:ascii="Times New Roman" w:cs="Times New Roman" w:eastAsia="Times New Roman" w:hAnsi="Times New Roman"/>
          <w:sz w:val="18"/>
          <w:szCs w:val="18"/>
          <w:color w:val="auto"/>
        </w:rPr>
      </w:pPr>
    </w:p>
    <w:p>
      <w:pPr>
        <w:ind w:left="120" w:right="300" w:hanging="4"/>
        <w:spacing w:after="0" w:line="260" w:lineRule="auto"/>
        <w:tabs>
          <w:tab w:leader="none" w:pos="61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and personal property, (xix) transactions with affiliates, (xx) data privacy and security, (xxi) compliance with international trade and anti-corruption laws, (xxii) information supplied, and (xxiii) regulatory compliance.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Adverse Effect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obligations of Armada to consummate the Closing of the transaction are subject to no Company Material Adverse Effect having occurred. For this purpose “Company Material Adverse Effect” means any change, event, effect or occurrence that, individually or in the aggregate with any other change, event, effect or occurrence, has had or would reasonably be expected to have a material adverse effect on (a) the business, assets, results of operations or financial condition of Rezolve and its subsidiaries, taken as a whole, or (b) the ability of Rezolve to consummate the transactions contemplated under the Business Combination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and Agreements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Business Combination Agreement includes customary covenants of the parties with respect to the operation of Rezolve’s business prior to the consummation of the Business Combination, and, as applicable, efforts to satisfy the conditions to consummation of the Business Combination. The Business Combination Agreement also contains additional covenants of the parties, including, among others, covenants providing for the parties to use their reasonable best efforts to obtain all consents, approvals, authorizations, qualifications and orders of Governmental Authorities and other persons to fulfill the conditions therein, as set forth in the Business Combination Agreement, and for the preparation and filing of a registration statement on Form F-4 relating to the Business Combination and the preparation of a proxy statement of Armada.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w:t>
      </w:r>
    </w:p>
    <w:p>
      <w:pPr>
        <w:ind w:left="120" w:right="120" w:hanging="4"/>
        <w:spacing w:after="0" w:line="250" w:lineRule="auto"/>
        <w:tabs>
          <w:tab w:leader="none" w:pos="37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Rezolve 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w:t>
      </w:r>
    </w:p>
    <w:p>
      <w:pPr>
        <w:spacing w:after="0" w:line="1" w:lineRule="exact"/>
        <w:rPr>
          <w:rFonts w:ascii="Times New Roman" w:cs="Times New Roman" w:eastAsia="Times New Roman" w:hAnsi="Times New Roman"/>
          <w:sz w:val="18"/>
          <w:szCs w:val="18"/>
          <w:color w:val="auto"/>
        </w:rPr>
      </w:pPr>
    </w:p>
    <w:p>
      <w:pPr>
        <w:ind w:left="120" w:right="60" w:hanging="4"/>
        <w:spacing w:after="0" w:line="252" w:lineRule="auto"/>
        <w:tabs>
          <w:tab w:leader="none" w:pos="37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Rezolve being listed on The Nasdaq Stock Market LLC or other applicable national exchange as of the Closing Date; (h) the Rezolve Incentive Equity Plan shall have been adopted and (i) the parties shall have become parties to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Effectiveness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allows the parties to terminate such agreements if certain conditions described therein are satisfied, including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Business Combination Agreement may be terminated:</w:t>
      </w:r>
    </w:p>
    <w:p>
      <w:pPr>
        <w:spacing w:after="0" w:line="131" w:lineRule="exact"/>
        <w:rPr>
          <w:sz w:val="20"/>
          <w:szCs w:val="20"/>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Armada and Rezolve;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or Rezolve, if the other party has breached any of its representations and warranties or failed to perform any of its covenants or agreements, in each case, such that certain conditions to Closing would not be satisfied and the breach of such representations, warranties, covenants or agreements, as applicable, is (or are) not cured or cannot be cured within the earlier of (i) 30 days after written notice thereof is delivered to the breaching party, and (ii) the Termination Date (as defined below), provided that no party may exercise its right to terminate the Business Combination Agreement if such party is then in breach of the Business Combination Agreement so as to prevent certain conditions to Closing from being satisfied;</w:t>
      </w:r>
    </w:p>
    <w:p>
      <w:pPr>
        <w:spacing w:after="0" w:line="9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the Business Combination is not consummated on or before the Termination Date, provided that the right to terminate the Business Combination Agreement will not be available to any party whose breach of any of its covenants or obligations under the Business Combination Agreement has primarily caused the failure of the Business Combination to occur on or before the Termination Date;</w:t>
      </w:r>
    </w:p>
    <w:p>
      <w:pPr>
        <w:spacing w:after="0" w:line="85"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a governmental entity shall have issued an order, decree, judgment or ruling or taken any other action, in any case having the effect of permanently restraining, enjoining or otherwise prohibiting the Business Combination, which order, decree, judgment, ruling or other action is final and non-appealable;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the Armada shareholder approval has not been obtained;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Rezolve does not deliver, or cause to be delivered, the written consent of Rezolve’s shareholders within twenty-four (24) hours after Armada notifies Rezolve of the effectiveness of the Registration Statement;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the PCAOB financial statements are not delivered to Armada by Rezolve on or before the date that is sixty (60) days from the date of the Business Combination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fees and expenses incurred in connection with the Business Combination Agreement, the ancillary agreements and the transactions contemplated thereby, including the fees and disbursements of counsel, financial advisors and accountants, will be paid by the party incurring such fees or expenses. However, (i) if the Business Combination Agreement is terminated in accordance with its terms, Rezolve will pay, or cause to be paid, all unpaid Rezolve expenses and Armada will pay, or cause to be paid, all unpaid Armada expenses, and (ii) if the Closing occurs, then Rezolve will pay, or cause to be paid, all unpaid Rezolve expenses and all unpaid Armada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Ancillary Agreements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certain additional agreements entered into or to be entered into pursuant to the Business Combination Agreement, but does not purport to describe all of the terms thereof (the “Ancillary Agreements”).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and other interested parties are urged to read such Ancillary Agreements in their entirety prior to voting on the proposals presented at the Special Meeting.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Incentive Equity Plan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Rezolve shall adopt, prior to or effective upon the Closing, the Rezolve Incentive Equity Plan, subject to Armada shareholder approval, prior to the Closing, in order to facilitate the grant of equity awards to attract, retain and incentivize employees (including the named executive officers), independent contractors and directors of Rezolve and its affiliates, which is essential to Rezolve’s long-term success. For additional information about the Rezolve Incentive Equity Plan, please see the section titled “</w:t>
      </w:r>
      <w:r>
        <w:rPr>
          <w:rFonts w:ascii="Times New Roman" w:cs="Times New Roman" w:eastAsia="Times New Roman" w:hAnsi="Times New Roman"/>
          <w:sz w:val="18"/>
          <w:szCs w:val="18"/>
          <w:i w:val="1"/>
          <w:iCs w:val="1"/>
          <w:color w:val="auto"/>
        </w:rPr>
        <w:t>The Incentive Equity Plan Proposal</w:t>
      </w:r>
      <w:r>
        <w:rPr>
          <w:rFonts w:ascii="Times New Roman" w:cs="Times New Roman" w:eastAsia="Times New Roman" w:hAnsi="Times New Roman"/>
          <w:sz w:val="18"/>
          <w:szCs w:val="18"/>
          <w:color w:val="auto"/>
        </w:rPr>
        <w:t>” in this proxy statement/prospectus.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Support Agreements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260" w:lineRule="auto"/>
        <w:tabs>
          <w:tab w:leader="none" w:pos="37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in connection with the Business Combination, Rezolve and certain stockholders of Rezolve (the “Holders”) shall enter into an Investor Rights Agreement (the “Investor Rights Agreement”) at the closing of the Business Combination. Pursuant to the terms of the Investor Rights Agreement, subject to certain requirements and customary conditions, including with regard to the number of demand rights that may be exercised and compliance with the applicable lock-up period, each of the Sponsor and the Holders may demand at any time or from time to time, that Rezolve files a registration statement on Form F-1 or Form F-3 to register their respective Ordinary Shares of Rezolve or to conduct an underwritten offering. The Investor Rights Agreement will also provide the Holders with “piggy-back” registration rights, subject to certain requirements and customary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Investor Rights Agreement provides that, other than to certain permitted transferees that have become a party to the Investor Rights Agreement, the Holders shall not transfer, pledge (except as collateral to any financing source in the ordinary course) or sell, or grant any option with respect to, enter into any swap or other arrangements that transfers any of the economic benefits of, or publicly announce any intention to enter into such an agreement or arrangement with respect to any of their Ordinary Shares of Rezolve beneficially owned or owned of record by such Holders for a period of one hundred and eighty (180) days after the closing date of the Business Combination (the “Initial Lockup Period”) except, that, with respect to ten percent (10%) of the Registrable Securities (the “10% Lockup Shares”), the Initial Lockup Period shall expire earlier as follows: (x) with respect to one-third of the 10% Lockup Shares, on the date on which the trading price is greater than $12.00 per share (as adjusted for stock splits, stock dividends, reorganizations, recapitalizations and the like) for 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w:t>
      </w:r>
    </w:p>
    <w:p>
      <w:pPr>
        <w:spacing w:after="0" w:line="18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lockup provisions of the Investor Rights Agreement do not apply to the Ordinary Shares of Rezolve held by EarlyBird Capital, Inc. or the Ordinary Shares pursuant to the Convertible Notes (and described below). Rezolve may determine that the Initial Lockup Period will not apply to certain holders from time to time to enable Ordinary Shares to be sold in the market.</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Investor Rights Agreement, the Sponsor and the Holders will also be entitled to nominate individuals to the board of directors of Rezolve following the Closing, in each case, on the terms and subject to the conditions set forth therein. In particular, such securityholders will agree to take all necessary and desirable actions such that (i) on Closing it is envisaged the size of the board of directors shall initially be comprised of eight (8) (provided that Daniel Wagner shall have the right to appoint an additional director to the Board from time to time) members and thereafter may be changed from time to time by resolution of the board of directors in accordance with the Memorandum and Articles of Association and (ii) while the size of the Board is eight (8) members, at least five of those members (and if the size of the Board is nine (9) or ten (10) members, at least five of those members) shall satisfy the independence criteria of the applicable national exchange on which the Ordinary Shares are then listed. Additionally, Rezolve and such securityholders will agree to take all necessary and desirable actions such that the following individuals will initially be elected to the Rezolve board:</w:t>
      </w:r>
    </w:p>
    <w:p>
      <w:pPr>
        <w:spacing w:after="0" w:line="94" w:lineRule="exact"/>
        <w:rPr>
          <w:sz w:val="20"/>
          <w:szCs w:val="20"/>
          <w:color w:val="auto"/>
        </w:rPr>
      </w:pPr>
    </w:p>
    <w:p>
      <w:pPr>
        <w:ind w:left="1080" w:right="80" w:hanging="424"/>
        <w:spacing w:after="0" w:line="261"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Daniel Wagner together with his affiliates beneficially owns any of the issued and outstanding Ordinary Shares of Rezolve, up to seven (7) individuals may be nominated by Daniel Wagner who will initially be: comprised of the following six (6) directors: Daniel Wagner, Anthony Sharp, Sir David Wright, Stephen Perry, John Wagner and Derek Smith (and Daniel Wagner shall have the right to appoint an additional director to the Board from time to time);</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12 months from the Closing Date and for so long as the Sponsor and its affiliates or permitted transferees beneficially owns any of the issued and outstanding Ordinary Shares of Rezolve, two (2) individuals designated in writing by the Sponsor, at least one of whom shall satisfy the independence criteria of the applicable national exchange on which the Ordinary Shares are then listed; and</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Sponsor group has nomination rights under the Investor Rights Agreement, one director to be mutually determined by the nominating committee and the Sponsor group, who shall satisfy the independence criteria of the applicable national exchange on which the Ordinary Shares of Rezolve are then listed.</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Investor Rights Agreement, the registration rights agreement dated August 12, 2021 between Armada and the Sponsor will be terminated.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$49,892,080 loan notes of $1.00 each in the capital of Rezolve Limited (the “Convertible Notes”) of which $31,125,000 are in issue and a further $18,767,080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 30% discount to the annual average VWAP for the year ended on the latest December 31 falling after Closing.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 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such loan or advance is made in the ordinary course of business under the terms of an employee stock or option plan that has been notified to the noteholders;</w:t>
      </w:r>
    </w:p>
    <w:p>
      <w:pPr>
        <w:spacing w:after="0" w:line="2" w:lineRule="exact"/>
        <w:rPr>
          <w:sz w:val="20"/>
          <w:szCs w:val="20"/>
          <w:color w:val="auto"/>
        </w:rPr>
      </w:pPr>
    </w:p>
    <w:p>
      <w:pPr>
        <w:ind w:left="120" w:hanging="4"/>
        <w:spacing w:after="0" w:line="251" w:lineRule="auto"/>
        <w:tabs>
          <w:tab w:leader="none" w:pos="37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Polar Subscription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an subscription agreement (the “Polar Subscription Agreement”) with Polar Multi-Strategy Master Fund (“Polar”), an unaffiliated third party of the 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shares of common stock, par value $0.0001 per share, to Polar at the closing of its initial business combination, as further described below; and (ii) upon repayment of working capital loans by the Company, the Sponsor will return the Investor Capital Contribution at the closing of an initial business combination, as further described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Capital Contribution</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maximum aggregate Investor Capital Contribution is $440,000, with an initial Investor Capital Contribution of $110,000 available for drawdown within five (5) business days of the Polar Subscription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Issuance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exchange for the forgoing commitment of Polar to make capital contributions to the Sponsor, the Company agrees to, or cause the surviving entity following the closing of the Company’s initial business combination to, issue 880,000 shares of Armada common stock currently held by the Sponsor in consideration for the amount that has been funded by Polar as of or prior to the closing of an initial business combination.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Armada is a blank check company incorporated in Delaware on November 5, 2020 for the purpose of effecting a merger, share exchange, asset acquisition, share purchase, reorganization or similar business combination with one or more businesses. Armada has sought to capitalize on the substantial deal sourcing, investing and operating expertise of its management team and Armada’s advisors to identify and combine with a business that provides digital, on-line, or mobile payment solutions, processing and gateway services, point-of-sale technologies, consumer engagement platforms, and ecommerce and loyalty solutions.</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terms of the Business Combination are the result of arms’-length negotiations among the representatives of Armada and Rezolve. The following is a brief description of the background of these negotiations and the resulting Business Combination.</w:t>
      </w:r>
    </w:p>
    <w:p>
      <w:pPr>
        <w:spacing w:after="0" w:line="16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registration statement for Armada’s initial public offering was declared effective by the SEC on August 12, 2021. On August 17, 2021, Armada consummated its initial public offering of 15,000,000 Units at $10.00 per Unit, generating gross proceeds of $150.0 million. Each Unit consists of one share of common stock, and one-half of one redeemable warrant to purchase one share of common stock at a price of $11.50 per whole share. Simultaneously with the closing of Armada’s initial public offering, Armada completed the private sale of an aggregate of 459,500 shares of common stock to the Sponsor at a purchase price of $10.00 per share, generating gross proceeds to the Company of $4.595 million. Armada’s original certificate of incorporation provided that it had until 15 months from the closing of its initial public offering (or November 17, 2022) to consummate an initial business combination. Armada held an annual meeting of its stockholders on February 2, 2023 and at the Annual Meeting the stockholders approved an amendment to the certificate of incorporation to provide a further extension such that Armada has, at its election, until as late as August 17, 2023 to consummate the initial business combination. On August 2, 2023, Armada’s stockholders approved an amendment to Armada’s Charter to allow Armada, without another stockholder vote, to elect to extend the date by which Armada must consummate a Business Combination on a monthly basis up to five times by an additional one month each time after the applicable extension date, until February 17, 2024, or a total of up to six months after August 17, 2023, unless the closing of a Business Combination shall have occurred prior thereto. On August 8, 2023, Armada deposited funds into the Trust Account to extend the date by which it must consummate a Business Combination until September 17, 2023, and on each of September 12, 2023, October 11, 2023, November 9, 2023, December 15, 2023 and January 12, 2024 the Company extended the Combination Period by an additional one month each time or until February 17, 2024.</w:t>
      </w:r>
    </w:p>
    <w:p>
      <w:pPr>
        <w:spacing w:after="0" w:line="19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Prior to the consummation of its initial public offering, neither Armada, nor anyone on its behalf, contacted any prospective target business or had any substantive discussions, formal or otherwise, with respect to a transaction with Armada. Following the closing of Armada’s initial public offering on August 17, 2021, Armada’s management team began meetings with prospective third-party advisors to assist with its due diligence review of potential business combination targets and engaged Northland Securities, Inc. (“Northland”) and Cohen &amp; Company Capital Markets, a division of J.V.B. Financial Group, LLC (“CCM”) as advisors for its initial business combination.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After Armada’s initial public offering and following the engagement of Northland and CCM, Armada’s management commenced an active search for prospective business combination targets with the objective of consummating an acquisition. Armada’s management commenced its search for a potential business combination target on August 24, 2021 by reviewing lists of potential business combination targets prepared by Armada management with representatives of CCM. Armada management organized the list into three different sets of potential acquisition targets. The first set of potential acquisition targets comprised 7 FinTech companies (the “FinTech Target List”), all of which fit within its acquisition criteria, but only one of which Armada’s management determined to pursue discussions with, Company A. The second set of potential acquisition targets comprised 17 potential acquisition targets in the technology space (the “Technology Target List”). The acquisition targets on the Technology Target List potentially fit within Armada’s acquisition criteria; however, substantial further review of the targets on the Technology Target List would have been required by Armada management to make such a determination due to the lack of familiarity with the potential acquisition targets by Armada management and, as a result, Armada’s management did not pursue any of the acquisition targets in the Technology Target List. The third set of potential acquisition targets comprised a set of 10 potential acquisition targets in the Blockchain/Cryptocurrency industry (the “Crypto Target List”), only one of which Armada’s management believed may have met its acquisition criteria. As discussed in more detail below, Armada entered into discussions with Company A and its representatives, which was on the FinTech Target List, pursuant to a signed non-disclosure agreement. CCM also contacted the potential acquisition target on the Crypto Target List that may have met Armada’s acquisition criteria; however, the prospective target turned down the opportunity to engage in discussions with Armada because it indicated it was not interested in pursuing a deal with a special purpose acquisition company.</w:t>
      </w:r>
    </w:p>
    <w:p>
      <w:pPr>
        <w:spacing w:after="0" w:line="19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7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Representatives of CCM introduced Rezolve to Armada’s management as a potential business combination target that was a provider of e-commerce software solutions. On or about August 30, 2021, CCM arranged for an introductory call between certain members of Armada’s management team and certain members of Rezolve’s management team, during which the parties discussed a possible business combination between Armada and Rezolve.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Between August 23, 2021 and August 30, 2021, Armada’s management team negotiated two non-disclosure agreements with Company A and Rezolve, and held introductory calls with these targets. Armada additionally reviewed investor presentations with Rezolve during this period. Such non-disclosure agreements contained customary terms for a special purpose acquisition company and a private company target, including confidentiality provisions and use restrictions for information provided by the target and exceptions to such provisions. Further, such non-disclosure agreements did not contain any standstill or “don’t ask, don’t waive” provisions. Following the execution of the non-disclosure agreement with Armada, Rezolve provided access to its curated data room to Armada’s management team and certain of its advisors on August 30, 2021.</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September 1, 2021, Rezolve sent Armada a proposed letter of intent for a business combination reflecting a pre-money total enterprise value of $2.0 billion. Rezolve further indicated to Armada that it was in substantive negotiations with at least one other special purpose acquisition company at the same time and that its board of directors planned to choose a final SPAC counterparty at its next board meeting to be held in the next few days. On September 2, 2021, Armada held a meeting with its board of directors at which Armada’s management reviewed with the board of directors the business combination target search conducted to date and the terms of the proposed letter of intent received from Rezolve. Following its review of Armada management’s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search for a business combination target that had been conducted and the terms of the proposed letter of intent with Rezolve, and in light of Rezolve’s stated intention to sign a letter of intent with one of the special purpose acquisition companies with which it was in discussions, Armada’s board of directors authorized Armada’s management to negotiate a letter of intent with Rezolve.</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Between September 2, 2021 and September 7, 2021, representatives of Armada and representatives of Rezolve negotiated the terms of a letter of intent, including discussions of the preliminary valuation for Rezolve. On September 4, 2021, representatives of Armada, CCM and Rezolve held a due diligence call that included discussion of Rezolve’s historic and projected revenues and EBITDA assumptions underlying Rezolve’s proposed valuation under the terms of the proposed letter of intent. Following that due diligence call, representatives of Armada sent its letter of intent response to Rezolve that reflected a pre-money enterprise value of $1.75 billion. On September 7, 2021, Armada and Rezolve entered into a letter of intent for the proposed Business Combination at a pre-money total enterprise value of $1.75 billion, subject to no purchase price adjustments for net debt or working capital, but otherwise contemplating typical covenants regarding the operation of the business between signing and closing of the Business Combination. The pre-money total enterprise value was based on 3.3 times Rezolve’s projected revenues for 2022, 0.8 times Rezolve’s projected revenues for 2023 and approximately 2.0 times Rezolve’s projected EBITDA for 2023, which were the same projected financial results of Rezolve relied upon in connection with the opinion of Northland herein discussed.</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or about September 11, 2021, Armada engaged DLA Piper LLP (US) (“DLA Piper”) as its legal advisor and also engaged KPMG LLP (“KPMG”) for financial, tax and public company readiness due diligence. Representatives of DLA Piper and KPMG were given data room access to an updated data room on September 19, 2021 and September 21, 2021, respectively. In engaging DLA Piper and KPMG, Armada’s management took into consideration that no conflicts with respect to Rezolve or the proposed Business Combination transaction in connection with their engagement; however, Armada management subsequently learned in October 2021 that Rezolve had engaged a separate group at KPMG to assist with certain accounting and tax matters for Rezolve. On or about October 15, 2021, Armada engaged CCM as its capital markets advisor and financial advisor in connection with the business combination. On or about October 25, 2021, Armada engaged CCM and Cantor Fitzgerald &amp; Co. (“Cantor”) as placement agents for a private placement in connection with the proposed Business Combination with Rezolve. In connection with the engagement of CCM, Armada’s board of directors and management took into consideration the fact that CCM served as a financial advisor to Armada for Armada’s initial public offering and would be entitled to receive a deferred fee of $3,375,000, and was also serving as Armada’s financial advisor in connection with the Business Combination with Rezolve for which it would be entitled to a financial advisory fee of $8,750,000. With respect to the engagement of Cantor, Armada’s board of directors and management took into consideration the fact that Cantor was also engaged as a financial advisor to Rezolve in connection with the proposed Business Combination. Notwithstanding these interests of CCM and Cantor, Armada’s management selected these firms based upon the sophistication and extensive experience of CCM and Cantor with fundraising for special purpose acquisition business combination transactions, such as the proposed Business Combination with Rezolve.</w:t>
      </w:r>
    </w:p>
    <w:p>
      <w:pPr>
        <w:spacing w:after="0" w:line="19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These include Mr. Lurio’s service as a director for Elbeco Incorporated, Mr. Mohammad Khan’s interests as co-founder, president and director of Omnyway, Inc., Mr. Decker’s service as a director of Actua Corporation and Mr. Celso White’s interests as co-founder and chief executive officer of Igniting Business Growth LLC and his service as a director for CF Industries Holdings, Inc.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respective businesses were such that it was unlikely that a conflict would arise. Armada’s board of directors believes that such pre-existing affiliations and obligations did not affect Armada’s search for an acquisition target because the affiliated companies are generally closely held entities controlled by such officer or director, such affiliated companies are not affiliated with one another, and the industry of or markets served by the affiliated companies’ respective businesses was such that it was unlikely that a conflict would arise.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Armada determined to enter into a letter of intent with Rezolve and to pursue a potential Business Combination with Rezolve, rather than Company A or not at all, due to, among other things, Rezolve’s expressed interest and pursuit of a potential business combination with a special purpose acquisition company, and the fact that Rezolve had engaged a firm for a Public Company Accounting Oversight Board (PCAOB) audit of its 2021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Commencing on September 22, 2021, representatives of Armada, Rezolve, DLA Piper and Rezolve’s counsel, Taylor Wessing (“Taylor Wessing”) and Wilson Sonsini Goodrich &amp; Rosati (“WSGR”) met for introductions and to discuss the timeline and process for due diligence and drafting responsibilities for the business combination agreement, dated December 17, 2021 (the “Original Business Combination Agreement”) and related agreements. Weekly video conference calls were established between the parties to facilitate communications regarding the due diligence review and drafting and negotiation of the Original Business Combination Agreement and related transaction documents. Following the September 22, 2021 meeting, DLA Piper, KPMG and Armada’s other advisors began an in-depth due diligence review of Rezolve. Additionally, Rezolve, Armada, CCM, and DLA Piper commenced preparation of an investor presentation with respect to the Business Combination and Rezolve.</w:t>
      </w:r>
    </w:p>
    <w:p>
      <w:pPr>
        <w:spacing w:after="0" w:line="18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On September 24, 2021, Armada’s management met with Armada’s board of directors following an audit committee meeting to update the board of directors on the status of the proposed Business Combination with Rezolve and the due diligence review by its advisors, DLA Piper and KPMG.</w:t>
      </w:r>
    </w:p>
    <w:p>
      <w:pPr>
        <w:spacing w:after="0" w:line="14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Between September 13, 2021 and November 3, 2021, Armada, KPMG, DLA Piper and King &amp; Spalding, LLP (“King &amp; Spalding”), counsel to CCM, conducted an in-depth due diligence review of Rezolve. On October 20, 2021, Barclays and Cantor, financial advisors to Rezolve, circulated a tracker detailing the due diligence requests made by the parties to date and indicating the status of each request, highlighting the status of the remaining open due diligence requests. On October 21, 2021, representatives of DLA Piper and King &amp; Spalding held a call to review the status of their due diligence review of Rezolve and coordinate remaining due diligence requests. Between October 21, 2021 and October 28, 2021, representatives of DLA Piper, KPMG and King &amp; Spalding provided Barclays and Cantor with supplemental legal due diligence requests for Rezolve and representatives of Barclays and Cantor facilitated the responses to such requests.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Based on the tax-related due diligence conducted by the parties, Rezolve and Armada agreed to explore structuring the proposed Business Combination through the use of a newly-formed Cayman Islands exempted company (“Cayman NewCo”). As a result, on or about October 22, 2021, Armada engaged Ogier as its counsel in the Cayman Islands to assist with the formation of Cayman NewCo and related matters. Rezolve engaged Harneys Westwood &amp; Riegels LP as its counsel in the Cayman Islands.</w:t>
      </w:r>
    </w:p>
    <w:p>
      <w:pPr>
        <w:spacing w:after="0" w:line="180"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On November 4, 2021, Armada’s board of directors held a meeting at which Armada’s management provided an update of the status of the due diligence review of Armada and drafting of the Business Combination Agreement. During this meeting, KPMG provided its report on its commercial and financial due diligence review of Rezolve to Armada’s management and board of directors. During this meeting, the board of directors also</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discussed a potential amendment to the terms of the letter of intent with Rezolve to seek a termination fee to cover Armada’s expenses if a business combination agreement was not executed by the parties and authorized Armada’s management to negotiate such an amendment with Rezolve.</w:t>
      </w:r>
    </w:p>
    <w:p>
      <w:pPr>
        <w:spacing w:after="0" w:line="14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November 16, 2021, representatives of DLA Piper transmitted a draft of the Original Business Combination Agreement to representatives of Taylor Wessing. The draft Original Business Combination Agreement reflected a transaction whereby the business combination would be effected by a reorganization with Cayman NewCo, followed by a merger of a newly-formed merger subsidiary of Rezolve which would merge into Armada, with Armada surviving the merger as a wholly-owned subsidiary of Cayman NewCo. On November 24, 2021, Taylor Wessing responded to the draft Original Business Combination Agreement with additional comments provided to the draft by WSGR on November 26, 2021. Also on November 24, 2021, representatives of Taylor Wessing provided materials responsive to certain open due diligence requests regarding various corporate, contractual and intellectual property matters.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or about November 26, 2021, representatives of Taylor Wessing provided to representatives of DLA Piper drafts of various transaction documents, including the drafts of the proposed convertible loan note instrument and related documents to be entered into by Rezolve at signing of the Original Business Combination Agreement in connection with the financing of the Business Combination, and a proposed Incentive Equity Plan for the post-combination company.</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or about November 26, 2021, Armada and Rezolve executed an amendment to the letter of intent that obligated Rezolve to pay a termination fee to cover Armada’s expenses if a business combination agreement was not signed by the parties under certain specified conditions. Rezolve agreed to this amendment to the letter of intent as consideration for Armada sharing the results of its due diligence review with prospective financing sources for Rezolve in connection with the Business Combination.</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or about November 29, 2021, representatives of Taylor Wessing provided to representatives of DLA Piper proposed documentation for the formation of Cayman NewCo.</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Between November 29, 2021 and December 2, 2021, Rezolve, Barclays, Cantor, Armada and CCM engaged in due diligence and prepared and negotiated a subscription agreement related to financing the Business Combination through investments in Rezolve and Cayman NewCo.</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December 3, 2021, representatives of DLA Piper provided a responsive draft of the Original Business Combination Agreement to representatives of Taylor Wessing and WSGR, noting a number of concerns to Armada relating to structuring the Business Combination for tax purposes and issues relating to minimum cash requirements.</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Between December 3, 2021 and December 6, 2021, representatives of DLA Piper and Taylor Wessing and WSGR, on behalf of their respective clients, continued to negotiate and draft the Original Business Combination Agreement and related agreements and disclosure schedules, as well as to continue to prepare the investor presentation relating to the Business Combination and Rezolve.</w:t>
      </w:r>
    </w:p>
    <w:p>
      <w:pPr>
        <w:spacing w:after="0" w:line="176" w:lineRule="exact"/>
        <w:rPr>
          <w:sz w:val="20"/>
          <w:szCs w:val="20"/>
          <w:color w:val="auto"/>
        </w:rPr>
      </w:pPr>
    </w:p>
    <w:p>
      <w:pPr>
        <w:jc w:val="both"/>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On December 10, 2021, representatives of Taylor Wessing provided representatives of DLA Piper with a responsive draft of the Original Business Combination Agreement, which reflected an agreement with Cayman NewCo, but an option to modify to an alternate structure for tax-related purposes.</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12, 2021, representatives of DLA Piper and Taylor Wessing and WSGR, on behalf of their respective clients, continued to negotiate and draft the Original Business Combination Agreement. Following such negotiations, representatives of DLA Piper provided a revised draft of the Original Business Combination Agreement to representatives of Taylor Wessing, which draft reflected revisions related to the structuring of the Business Combination and developments in the proposed financing for the Business Combination. On December 13, 2021, representatives of DLA Piper transmitted to representatives of Taylor Wessing, a draft of the transaction support agreement, the investor rights agreement and comments to Rezolve’s proposed disclosure schedules.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Between December 13, 2021 and the signing of the Original Business Combination Agreement on December 17, 2021, representatives of DLA Piper and Taylor Wessing and WSGR, on behalf of their respective clients, continued to negotiate the Original Business Combination Agreement and the related agreements pertaining to the Business Combination. During this period of time, Rezolve and Armada, prepared a press release and continued to update the proposed presentation relating to the anticipated announcement of the Business Combination by Armada and Rezolve.</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Between December 14, 2021 and the signing of the Original Business Combination Agreement on December 17, 2021, representatives of DLA Piper and Taylor Wessing and WSGR, on behalf of their respective clients, as well as King &amp; Spalding, on behalf of CCM, continued to negotiate the subscription agreement and related documentation for the financing of the Business Combination.</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Commencing on or about December 3, 2021, Armada and representatives of DLA Piper began reviewing and negotiating engagement letters with Northland to act as a financial advisor in connection with the Board’s request for Northland to render a fairness opinion with respect to (i) the fairness from a financial point of view, to Armada of the consideration to be paid by Armada in the proposed business combination and (ii) whether the estimated fair market value of Rezolve of $1.75 billion is equal to a post combination allocation of at least 80% of the equity of the Combined Company to the existing Rezolve shareholders and by reference to the amount of funds held by Armada in the Trust Account for the benefit of its public stockholders (excluding any deferred underwriters fees and taxes payable on the income earned on the Trust Account).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6, 2021, Armada’s board of directors entered into an engagement letter with Northland to render a fairness opinion with respect to</w:t>
      </w:r>
    </w:p>
    <w:p>
      <w:pPr>
        <w:spacing w:after="0" w:line="27" w:lineRule="exact"/>
        <w:rPr>
          <w:sz w:val="20"/>
          <w:szCs w:val="20"/>
          <w:color w:val="auto"/>
        </w:rPr>
      </w:pPr>
    </w:p>
    <w:p>
      <w:pPr>
        <w:ind w:left="120" w:hanging="4"/>
        <w:spacing w:after="0" w:line="251" w:lineRule="auto"/>
        <w:tabs>
          <w:tab w:leader="none" w:pos="33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from a financial point of view, to Armada of the aggregate stock consideration to be paid by Armada in the proposed business combination and (ii) whether Cayman NewCo has a fair market value equal to at least 80% of the balance of funds held by Armada in the Trust Account (excluding any deferred underwriters fees and taxes payable on the income earned on the Trust Account). Pursuant to its engagement letter, Northland is entitled to receive a fee of $100,000 payable upon Northland rendering its fairness opinion, with an additional fee of $900,000 payable in cash immediately upon (but subject to) closing of the Business Combination. The $100,000 portion of the fee was not contingent on the consummation of the Business Combination. In addition, Armada has agreed to reimburse Northland for certain of its out-of-pocket expenses, including legal fees, and has agreed to indemnify Northland against certain liabilities, including under applicable laws. With respect to the proposed engagement of Northland, Armada management took into account the fact that Northland had served as an underwriter in Armada’s initial public offering and did not disclose any conflicts with Rezolve. Armada’s board of directors selected Northland based upon Northland’s qualifications, expertise, reputation, and knowledge of Armada’s business and the industry in which Rezolve operates. In considering whether to engage Northland, Armada’s board of directors considered Northland’s obligations under the Business Combination Marketing Agreement under which Northland will assist Armada with transaction structuring, negotiating a definitive business combination agreement, and with the relevant financial analysis, presentations and filing related to the prospective business combination or the prospective target and Northland is entitled to receive (a) a cash advisory fee of 2.25% of the gross proceeds of Armada’s initial public offering; (b) a capital markets advisory fee of $2,500,000; and (c) a finder fee equal to 1% of the total consideration if Northland introduces Armada to a target with which a business combination is completed. As a result of the foregoing, Armada’s board of directors concluded Northland was already familiar with Rezolve and the prospective Business Combination and, accordingly, was willing and able to prepare and provide Armada’s board of directors with a fairness opinion on a timely and thorough basis.</w:t>
      </w:r>
    </w:p>
    <w:p>
      <w:pPr>
        <w:spacing w:after="0" w:line="190" w:lineRule="exact"/>
        <w:rPr>
          <w:sz w:val="20"/>
          <w:szCs w:val="20"/>
          <w:color w:val="auto"/>
        </w:rPr>
      </w:pPr>
    </w:p>
    <w:p>
      <w:pPr>
        <w:ind w:left="120" w:right="5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engagement by Northland as financial advisor, Northland entered into a nondisclosure agreement with Rezolve and representatives of Northland were granted access to Rezolve’s data room. Following the engagement of Northland, Armada and Rezolve and their respective counsels, DLA Piper and KPMG began responding to due diligence inquiries from Northland. DLA Piper and KPMG also presented to Northland their respective legal and commercial and financial due diligence reports. Northland also reviewed drafts of the Original Business Combination Agreement and received reports from representatives of Armada and DLA Piper concerning the status of negotiations regarding the Original Business Combination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On December 16, 2021, the Armada Board convened a remote special meeting by videoconference to evaluate the proposed business combination transaction. Representatives of DLA Piper attended the meeting to review the terms of the Original Business Combination Agreement and the related agreements pertaining to the Business Combination. Representatives of Northland also attended and reviewed its financial analysis of Cayman NewCo and the merger consideration, including certain projections of Rezolve’s revenue for calendar years 2021 through 2024 (the “Pre-Demerger Projections”). As discussed further herein, on June 16, 2023, Armada and Rezolve agreed to amend and restate the Business Combination Agreement to reflect, among other things, (a) the Pre-Closing Demerger and (b) in connection with the material change in the business, an adjustment in the enterprise value for Rezolve to $1.6 billion. While Armada’s board of directors considered the Pre-Demerger Projections in connection with its decisions regarding the Original Business Combination Agreement, due to the substantial changes in Rezolve’s operations subsequent to the announcement of the Original Business Combination Agreement on December 17, 2021, the Pre-Demerger Projections are no longer relevant to an understanding of Rezolve’s business and are not discussed in this discussion or “</w:t>
      </w:r>
      <w:r>
        <w:rPr>
          <w:rFonts w:ascii="Times New Roman" w:cs="Times New Roman" w:eastAsia="Times New Roman" w:hAnsi="Times New Roman"/>
          <w:sz w:val="18"/>
          <w:szCs w:val="18"/>
          <w:i w:val="1"/>
          <w:iCs w:val="1"/>
          <w:color w:val="auto"/>
        </w:rPr>
        <w:t>—Opinion of Northland</w:t>
      </w:r>
      <w:r>
        <w:rPr>
          <w:rFonts w:ascii="Times New Roman" w:cs="Times New Roman" w:eastAsia="Times New Roman" w:hAnsi="Times New Roman"/>
          <w:sz w:val="18"/>
          <w:szCs w:val="18"/>
          <w:color w:val="auto"/>
        </w:rPr>
        <w:t>.” Instead, certain projections relating to Rezolve’s anticipated business after giving effect to the Pre-Closing Demerger were considered by Armada’s board of directors and are discussed under the caption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Marshall &amp; Stevens</w:t>
      </w:r>
      <w:r>
        <w:rPr>
          <w:rFonts w:ascii="Times New Roman" w:cs="Times New Roman" w:eastAsia="Times New Roman" w:hAnsi="Times New Roman"/>
          <w:sz w:val="18"/>
          <w:szCs w:val="18"/>
          <w:color w:val="auto"/>
        </w:rPr>
        <w:t>.” Additionally, Northland delivered an oral opinion, subsequently confirmed by delivery of a written opinion to the Board,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that, as of that date and subject to and based on the assumptions made, procedures followed, matters considered, limitations of the review undertaken and qualifications contained in such opinion, (i) the Aggregate Stock Consideration (as defined in the Original Business Combination Agreement)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to the existing Rezolve shareholders and by reference to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Opinion of Northland</w:t>
      </w:r>
      <w:r>
        <w:rPr>
          <w:rFonts w:ascii="Times New Roman" w:cs="Times New Roman" w:eastAsia="Times New Roman" w:hAnsi="Times New Roman"/>
          <w:sz w:val="18"/>
          <w:szCs w:val="18"/>
          <w:color w:val="auto"/>
        </w:rPr>
        <w:t>.”). Following this discussion, the Board unanimously approved the Original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and the Business Combination and the related agreements, and recommended that Armada’s stockholders approve the Original Business Combination Agreement and the Business Combination.</w:t>
      </w:r>
    </w:p>
    <w:p>
      <w:pPr>
        <w:spacing w:after="0" w:line="206"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Following the respective approvals by the boards of directors of Armada and Rezolve, Armada and Rezolve executed the Original Business Combination Agreement, and the Transaction Support Agreement with the Rezolve Shareholders party thereto before market open in the U.S. on December 17, 2021.</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Before market open in the U.S. on December 17, 2021, the parties announced the Business Combination together with the execution of the Original Business Combination Agreement, the Sponsor Support Agreement and the Stockholder Support Agreements.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Subsequent to the announcement of the Business Combination and the Original Business Combination Agreement on December 17, 2021, Rezolve and Armada began negotiations to restructure the Business Combination such that, among other things, Rezolve rather than Cayman Newco would become the listed company. Rezolve proposed the restructuring of the Business Combination in order to mitigate for Rezolve shareholders certain transfer taxes resulting from the structure reflected in the Original Business Combination Agreement. In connection with these negotiations, on March 30, 2022, the board of directors of Armada convened a remote special meeting by videoconference to evaluate the proposed amendment to the Original Business Combination Agreement and related transactions. Armada’s management reviewed the terms of the amendment to the Original Business Combination Agreement and the amendments to the related agreements. Representatives of Northland also attended and reviewed its financial analysis of Rezolve and the merger consideration, including the Pre-Demerger Projections in connection with the amendments to the Original Business Combination Agreement and amendments to the related agreements. Armada’s board of directors adjourned the meeting on March 30, 2022 and reconvened on the morning of March 31, 2022 at which Northland delivered an oral opinion, subsequently confirmed by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delivery of a written opinion to the board of directors, to the effect that, as of that date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 and based on the assumptions made, procedures followed, matters considered, limitations of the review undertaken and qualifications contained in such opinion, (i) the Aggregate Stock Consideration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Proposal — Opinion of Northland.” The </w:t>
      </w:r>
      <w:r>
        <w:rPr>
          <w:rFonts w:ascii="Times New Roman" w:cs="Times New Roman" w:eastAsia="Times New Roman" w:hAnsi="Times New Roman"/>
          <w:sz w:val="18"/>
          <w:szCs w:val="18"/>
          <w:color w:val="auto"/>
        </w:rPr>
        <w:t>full text of Northland’s written opinion is attached as Annex H to this proxy statement/prospectus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incorporated herein by reference.)</w:t>
      </w:r>
    </w:p>
    <w:p>
      <w:pPr>
        <w:spacing w:after="0" w:line="194"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Between March 30, 2022 and November 10, 2022, Armada and Rezolve continued negotiations of an amendment to the Business Combination Agreement to restructure the Business Combination such that, among other things, Rezolve rather than Cayman Newco would become the listed company and to extend the outside date for termination of the Original Business Combination Agreement. The delay in execution of the amendment to the Original Business Combination Agreement was due primarily to Rezolve completing its analysis of certain transfer tax matters, as well as Rezolve addressing certain accounting issues in connection with the completion of its PCAOB audit of its financial statements for the year ended December 31, 2021. In connection with the anticipated execution of the amendment, on November 9, 2022, Armada’s Board convened a special meeting to discuss the proposed amendment. Following discussion at such meeting, the Board unanimously approved the amendment to the Business Combination Agreement and the Business Combination and the amendments to the related agreements, and recommended that Armada’s stockholders approve the Business Combination Agreement and the Business Combination, as so amended. On November 10, 2022, Armada and Rezolve entered into a First Amendment to the Business Combination Agreement, to among other things, extend the date on which either party to the Business Combination Agreement had the right to terminate the Business Combination Agreement if the Business Combination had not been completed by such date, and change the structure of the Business Combination such that Rezolve was substituted for Cayman Newco and Cayman NewCo no longer was a party to the Business Combination Agreement or the Business Combination. As a result, Rezolve will be the listed entity upon the Closing, which the parties determined to be a more tax-efficient structure for effecting the Business Combination. Additionally, the Amendment extended the Termination Date to the later of</w:t>
      </w:r>
    </w:p>
    <w:p>
      <w:pPr>
        <w:spacing w:after="0" w:line="12" w:lineRule="exact"/>
        <w:rPr>
          <w:sz w:val="20"/>
          <w:szCs w:val="20"/>
          <w:color w:val="auto"/>
        </w:rPr>
      </w:pPr>
    </w:p>
    <w:p>
      <w:pPr>
        <w:ind w:left="120" w:right="20" w:hanging="4"/>
        <w:spacing w:after="0" w:line="251" w:lineRule="auto"/>
        <w:tabs>
          <w:tab w:leader="none" w:pos="33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31, 2023 or (ii) fifteen (15) days prior to the last date on which Armada may consummate a Business Combination, as defined in and pursuant to the Second Amended and Restated Certificate of Incorporation of Armada, as approved or extended by the stockholders of Armada from time to time. This right to terminate is not available to any party if such party’s breach of the Business Combination Agreement has primarily caused the failure to consummate the Business Combination on or before the Termination Date. Under the Amendment, Armada and Rezolve agreed and acknowledged that following June 30, 2023, the Board has the right to increase the number of Company Shares under the Company Incentive Plan (as defined in the Business Combination Agreement) by up to 5% per annum for each calendar year commencing in and including 2023, subject to appropriate shareholder approval as required by applicable law or the Nasdaq rules and regulations. The parties agreed to the amendments concerning the Company Incentive Plan in order to allow flexibility for Rezolve to incentivize its employees with dilution impacting the holders post-Closing rather than at Closing of the Business Combination.</w:t>
      </w:r>
    </w:p>
    <w:p>
      <w:pPr>
        <w:spacing w:after="0" w:line="19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Amendment, Armada exercised the automatic extension of the deadline for the Company to complete an initial business combination under its Second Amended and Restated Certificate of Incorporation to extend the deadline by which Armada had to consummate a business combination until February 17, 2023 (or 18 months following our initial public offering). Thereafter, Armada held its annual meeting of stockholders and sought a further extension of the deadline by which Armada had to consummate a business combination. On February 2, 2023, the Armada stockholders approved an amendment to its certificate of incorporation to consummate a business combination from February 17, 2023 for up to six additional months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at the election of the Company, ultimately until as late as August 17, 2023. If the Company is unable to complete the initial Business Combination within the Combination Period, the Company will cease all operations except for the purpose of winding up and dissolving. In connection with the approval and amendment of Armada’s certificate of incorporation pursuant to the extension, Armada was required to permit its public shareholders to redeem their shares of Common Stock. Of the 15,000,000 Armada Common Shares outstanding with redemption rights, the holders of 11,491,148 shares of Common Stock elected to redeem their shares at a per share redemption price of approximately $10.19. As a result, approximately $117,079,879 was removed from the Company’s trust account to pay such holders. In connection with Armada’s extension of the deadline by which it has to consummate a business combination, on January 20, 2023, Armada and its Sponsor, entered into one or more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19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its stockholders’ approval of the further extension of the deadline by which Armada has to complete its initial business combination, between January 24, 2023 and February 16, 2023, Armada engaged in discussions with Marshall &amp; Stevens to advise its Board in connection with the Business Combination on the terms of the amendment and restatement of the Business Combination Agreement. Due to the substantial changes in Rezolve’s business in connection with the Pre-Closing Demerger, Northland was not in a position to reconfirm its fairness opinion without undertaking new analyses from those previously performed. Accordingly, Armada’s board of directors determined that the circumstances supported engaging a new valuation firm without the conflicts of interests that Northland had. On February 16, 2023, Armada entered into an engagement letter with Marshall &amp; Stevens to advise the Armada board of directors as to the fairness to Armada, from a financial point of view, of the Aggregate Stock Consideration for the acquisition of Rezolve under the Business Combination Agreement. Additionally, under the terms of the engagement letter, Marshall &amp; Stevens will also advise the Armada Board as to: (1) the reasonable range of value for Rezolve immediately prior to the Business Combination; and (2) for purposes of Nasdaq Listing Rule 5101-2(b), whether such values represent at least 80% of the value of the cash assets held in the Trust Account (subject to certain adjustments to the amounts in the Trust Account). In deciding to engage Marshall &amp; Stevens, Armada’s board of directors took into account that Marhsall &amp; Stevens did not disclose any conflicts with Armada, the Business Combination or Rezolve.</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 meeting held on April 25, 2023, Armada’s management provided Armada’s board of directors with an update regarding the status of the Business Combination, including the status of Rezolve’s audited financial statements, proposed changes to the Business Combination Agreement in light of Rezolve’s anticipated reorganization (described below) and additional due diligence to be performed by Armada’s management and advisors.</w:t>
      </w:r>
    </w:p>
    <w:p>
      <w:pPr>
        <w:spacing w:after="0" w:line="176"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Armada’s board of directors held a meeting on May 10, 2023 at which Rezolve’s Chief Executive Officer and Chief Financial Officer, Messrs. Daniel Wagner and Richard Burchill, respectively, were present, along with representatives of Armada’s capital markets advisor, CCM, and representatives of its valuation expert, Marshall &amp; Stevens. During the meeting, Mr. Wagner provided Armada’s board of directors with updates on Rezolve’s reorganization plans to discontinue its existing China operations of Rezolve via a liquidation. (For additional information concerning Rezolve’s reorganization, refer to “</w:t>
      </w:r>
      <w:r>
        <w:rPr>
          <w:rFonts w:ascii="Times New Roman" w:cs="Times New Roman" w:eastAsia="Times New Roman" w:hAnsi="Times New Roman"/>
          <w:sz w:val="18"/>
          <w:szCs w:val="18"/>
          <w:i w:val="1"/>
          <w:iCs w:val="1"/>
          <w:color w:val="auto"/>
        </w:rPr>
        <w:t>Summary of the Material Terms of the Business Combination</w:t>
      </w:r>
      <w:r>
        <w:rPr>
          <w:rFonts w:ascii="Times New Roman" w:cs="Times New Roman" w:eastAsia="Times New Roman" w:hAnsi="Times New Roman"/>
          <w:sz w:val="18"/>
          <w:szCs w:val="18"/>
          <w:color w:val="auto"/>
        </w:rPr>
        <w:t>”.) Mr. Wagner also provided Armada’s board of directors with Rezolve’s plans for expanding its operations in 2023. Following this update, Messrs. Wagner and Burchill reviewed the financial model concerning Rezolve with Armada’s board of directors, the key items of which are discussed below under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Marshall &amp; Stevens—Prospective Financial Information</w:t>
      </w:r>
      <w:r>
        <w:rPr>
          <w:rFonts w:ascii="Times New Roman" w:cs="Times New Roman" w:eastAsia="Times New Roman" w:hAnsi="Times New Roman"/>
          <w:sz w:val="18"/>
          <w:szCs w:val="18"/>
          <w:color w:val="auto"/>
        </w:rPr>
        <w:t>”. Following this presentation, Messrs. Wagner and Burchill,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of Cohen &amp;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Capital Markets, were excused from the meeting. The representative of Marshall &amp; Stevens then proceeded to provide Armada’s board of directors with an update on the fairness opinion analysis and process.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June 1, 2023, Armada’s board of directors held a meeting at which representatives of Armada’s capital markets advisors, CCM, and Armada’s legal counsel, DLA Piper, participated. During the meeting, Armada’s board of directors reviewed Rezolve’s financial model and engaged in discussion with representatives of CCM, the key items of which are discussed below under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w:t>
      </w:r>
      <w:r>
        <w:rPr>
          <w:rFonts w:ascii="Times New Roman" w:cs="Times New Roman" w:eastAsia="Times New Roman" w:hAnsi="Times New Roman"/>
          <w:sz w:val="18"/>
          <w:szCs w:val="18"/>
          <w:color w:val="auto"/>
        </w:rPr>
        <w:t>”. The discussion included certain risks and uncertainties inherent in the financial model, as well as the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drivers for Rezolve’s financial performance and where Rezolve’s financial performance would be likely to out-or under-perform the financial model. Representatives of DLA Piper answered questions posited by Armada’s board of directors in connection with the use and disclosure of the financial model, including the presentation of the risks and uncertainties inherent in the model. The Armada board of directors believed that Rezolve should consider reducing projected revenues for 2023. Following the discussion between Armada’s board of directors and representatives of CCM and DLA Piper, representatives of DLA Piper provided Armada’s board of directors with an overview of the status of the preparation of the registration statement on Form F-4 relating to the Business Combination, as well as the current proposed changes to the Business Combination Agreement in light of the change in Rezolve’s organizational structure.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June 7, 2023, Armada’s board of directors held a meeting at which representatives of Armada’s capital markets advisor, CCM, and Armada’s legal counsel, DLA Piper, participated. During the meeting Armada’s management and representatives of DLA Piper provided the directors with an update on the status of the proposed amendment and restatement of the Original Business Combination Agreement, and the preparation of the proxy statement/prospectus. Armada’s directors engaged in discussion with Armada management and representatives of DLA Piper as to open items remaining for execution of the amendment and restatement of the Original Business Combination Agreement and certain disclosures in the proxy statement prospectus. Armada’s board of directors agreed to reconvene at a later time for a presentation by Marshall &amp; Stevens. The Armada board of directors noted that the Rezolve financial model had been revised by Rezolve to reflect decreased projected revenues for 2023.</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June 11, 2023, at a meeting of Armada’s board of directors held to evaluate the proposed Business Combination pursuant to the then-contemplated June 16, 2023 amendment and restatement of the Business Combination Agreement, Marshall &amp; Stevens Transaction Advisory Services LLC (“Marshall &amp; Stevens”) delivered an oral opinion, subsequently confirmed by delivery of a written opinion to Armada’s board of directors,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 Combination Proposal — 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Marshall &amp; Stevens</w:t>
      </w:r>
      <w:r>
        <w:rPr>
          <w:rFonts w:ascii="Times New Roman" w:cs="Times New Roman" w:eastAsia="Times New Roman" w:hAnsi="Times New Roman"/>
          <w:sz w:val="18"/>
          <w:szCs w:val="18"/>
          <w:color w:val="auto"/>
        </w:rPr>
        <w:t>” and the written opinion of Marshall &amp; Stevens attached as</w:t>
      </w:r>
      <w:r>
        <w:rPr>
          <w:rFonts w:ascii="Times New Roman" w:cs="Times New Roman" w:eastAsia="Times New Roman" w:hAnsi="Times New Roman"/>
          <w:sz w:val="18"/>
          <w:szCs w:val="18"/>
          <w:i w:val="1"/>
          <w:iCs w:val="1"/>
          <w:color w:val="auto"/>
        </w:rPr>
        <w:t xml:space="preserve"> Annex I </w:t>
      </w:r>
      <w:r>
        <w:rPr>
          <w:rFonts w:ascii="Times New Roman" w:cs="Times New Roman" w:eastAsia="Times New Roman" w:hAnsi="Times New Roman"/>
          <w:sz w:val="18"/>
          <w:szCs w:val="18"/>
          <w:color w:val="auto"/>
        </w:rPr>
        <w:t>hereto. Representatives of Armada’s capital markets advisor,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CCM, and Armada’s legal counsel, DLA Piper, also participated in the meeting. Armada’s directors engaged in discussion with the representatives of Marshall &amp; Stevens regarding the valuation analyses. During an executive session following such presentation, Armada’s board of directors discussed the importance to the valuation of Rezolve and its prospects for its future operations of Rezolve’s return to the China market.</w:t>
      </w:r>
    </w:p>
    <w:p>
      <w:pPr>
        <w:spacing w:after="0" w:line="19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June 12, 2023, the board of directors of Armada adopted by unanimous consent resolutions approving the Business Combination Agreement and the proxy statement/prospectus.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13, 2023, the board of directors of Armada held a meeting at which representatives of Armada’s legal counsel, DLA Piper, participated. During the meeting, the board of directors of Armada further discussed the Business Combination Agreement and the proxy statement/prospectus. The board of directors of Armada reaffirmed the resolutions previously approved by unanimous consent.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June 16, 2023, the parties entered into the amendment and restatement of the Business Combination Agreement together with amendments and restatements of the Sponsor Support Agreement and the Stockholder Support Agreements, which was subsequently amended on August 4, 2023 to remove the net tangible assets requirement.</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February 15, 2024, Armada held a special meeting of its stockholders to approve a further amendment to its Charter to extend the date by which the Company has to consummate a Business Combination from February 17, 2024 to March 17, 2024 and to allow the Company, without another stockholder vote, to elect to extend the date to consummate a Business Combination on a monthly basis up to five times by an additional one month each time after March 17, 2024, by resolution of the Company’s board of directors, if requested by the Sponsor, and upon five days’ advance notice prior to the applicable Termination Date, until August 17, 2024, or a total of up to six months after February 17, 2024, unless the closing of a Business Combination shall have occurred prior thereto (the “Third Extension Amendment Proposal”). The stockholders of Armada approved the Third Extension Amendment Proposal at the special meeting and on February 15, 2024 the Company filed an amendment to its Charter with the Delaware Secretary of State. In connection with the Third Extension Amendment Proposal, the holders of 945,662 shares of Common Stock of Armada exercised their right to redeem their shares for cash at a redemption price of approximately $10.98 per share, for an aggregate redemption amount of $10,384,496.</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Additionally, in connection with the Third Extension Amendment Proposal, Armada issued an unsecured promissory note in the principal amount of up to $297,714 (the “Second Extension Note”) to the Sponsor. The proceeds of the Second Extension Note are to be deposited in the Trust Account in equal installments of $49,619 for each of the one-month extensions. On each of February 13, 2024, March 13, 2024, April 13, 2024 and May 13, 2024, Armada deposited $49,619 into the Trust Account thereby extending the Combination Period until June 17, 2024. Armada intends to deposit another $49,619 into the Trust Account on or about June 13, 2024 to extend the Combination Period until July 17, 2024. The payments made on February 13, 2024 and March 13, 2024 were funded under the terms of the Subscription Agreement with Polar.</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release of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included in Amendment No. 6 to this Registration Statement that was filed with the SEC on May 21, 2024, Armada’s management and board of directors requested that Rezolve’s management provide advice regarding the materiality of ANY to Rezolve’s historical results, its business plan and prospects and the Projections. (For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 Rezolve AI Limited and subsidiaries for the year ended December 31, 2023 and the year then ended included in this Registration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Statement.) Armada’s management requested such information for the purpose of evaluating the advisability of the proposed Business Combination and the opinion of Marshall &amp; Stevens following the change in Rezolve’s actual results. In response to the request, Rezolve advised Armada’s management and its board of directors that ANY was not material in terms of sales and EBITDA within the business model and Projections that were provided to Marshall Stevens for purposes of its opinion. Rezolve further advised Armada’s management and the board of directors that ANY’s contribution to revenues in the business model was not material (with ANY’s percentage contribution to Rezolve’s consolidated revenue estimated to constitute approximately 6.5% in 2024 and decreasing to 1.0% by 2027 over the periods presented) and that the business model was developed so that revenue, less cost of sales, less costs would always net to zero in respect of ANY. For a more detailed discussion of ANY’s revenue in the Projections, refer to the section below captioned “</w:t>
      </w:r>
      <w:r>
        <w:rPr>
          <w:rFonts w:ascii="Times New Roman" w:cs="Times New Roman" w:eastAsia="Times New Roman" w:hAnsi="Times New Roman"/>
          <w:sz w:val="18"/>
          <w:szCs w:val="18"/>
          <w:i w:val="1"/>
          <w:iCs w:val="1"/>
          <w:color w:val="auto"/>
        </w:rPr>
        <w:t>— Opinion of Marshall &amp; Stevens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Rezolve Financial Projections.</w:t>
      </w:r>
      <w:r>
        <w:rPr>
          <w:rFonts w:ascii="Times New Roman" w:cs="Times New Roman" w:eastAsia="Times New Roman" w:hAnsi="Times New Roman"/>
          <w:sz w:val="18"/>
          <w:szCs w:val="18"/>
          <w:color w:val="auto"/>
        </w:rPr>
        <w:t>” Armada’s management circulated to the Armada board of directors for review and consideration the foregoing information provided by Rezolve. After the board of directors reviewed and considered the information provided by Rezolve and certain directors held discussions with Armada management, the Armada board of directors determined by unanimous written consent on June 10, 2024 that (i) the Marshall &amp; Stevens opinion remained valid; and (ii) the board of directors continued to recommend that Armada’s stockholders approve the Business Combination Agreement and the Business Combination. In arriving at such determinations, the board of directors focused on the facts provided by Rezolve’s management demonstrating that ANY’s revenues were not material to its historical results or business model or future prospects or the Projections that formed the basis of the Marshall &amp; Stevens opinion.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Board of Directors’ Reasons for the Approval of the Business Combination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Armada’s board of directors met virtually on December 16, 2021, to, among other things, discuss a potential business combination with Rezolve, and unanimously determined that the Original Business Combination Agreement and the Business Combination transaction were in the best interest of Armada and its stockholders and resolved to recommend that its stockholders vote to adopt the Business Combination Agreement and approve the Business Combination. Prior to reaching the decision to approve the Business Combination Agreement and approve the Business Combination, the board of directors consulted with Armada’s management, as well as with its legal, financial, and other advisors.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Subsequent to the announcement of the Business Combination and the Original Business Combination Agreement on December 17, 2021, Rezolve and Armada agreed to restructure the Business Combination such that, among other things, Rezolve rather than Cayman Newco would become the listed company. Additionally, on June 16, 2023, Armada and Rezolve agreed to amend and restate the Business Combination Agreement to reflect, among other things, (a) the Pre-Closing Demerger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(b) an adjustment in the enterprise value for Rezolve to $1.6 billion. Due to the substantial changes in Rezolve’s operations subsequent to the announcement of the Original Business Combination Agreement on December 17, 2021, the following discussion relates to the factors considered by Armada’s board of directors in connection with the amendment and restatement of Business Combination Agreement on June 16, 2023.</w:t>
      </w:r>
    </w:p>
    <w:p>
      <w:pPr>
        <w:spacing w:after="0" w:line="19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considered a variety of factors in connection with its evaluation of the Business Combination. In light of the complexity of those factors, the board of directors, as a whole, did not consider it practicable to, nor did it attempt to, quantify or otherwise assign relative weights to the specific factors it took into account in reaching its decision. The board of directors viewed its decision as being based on all of the information available and the factors presented to and considered by it. In addition, individual members of the board of directors may have given different weight to different factors. This explanation of the reasons for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board of directors’ approval of the Business Combination, and all other information presented in this section, is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Before reaching its decision, the board of directors reviewed Rezolve’s business model, historical financial statements, the Projections, and the results of the due diligence conducted by Armada’s management and Armada’s legal, financial and other advisors. Armada’s due diligence process took place over approximately a 13-week period beginning on or about September 11, 2021, and continuing through the signing of the Business Combination Agreement on December 17, 2021, and continued thereafter through and including the signing of the Amended and Restated Business Combination Agreement on June 16, 2023. Armada’s management, as well as its directors and advisors, have many years of experience in both operational management and investment and financial management and analysis and, in the opinion of the board of directors, was suitably qualified to oversee the due diligence conducted by Armada’s legal, financial and other advisors and to conduct the portions of the due diligence and other investigations performed by Armada’s management in connection with the search for a business combination partner. A detailed description of the experience of Armada’s executive officers and directors is included in the section entitled “</w:t>
      </w:r>
      <w:r>
        <w:rPr>
          <w:rFonts w:ascii="Times New Roman" w:cs="Times New Roman" w:eastAsia="Times New Roman" w:hAnsi="Times New Roman"/>
          <w:sz w:val="18"/>
          <w:szCs w:val="18"/>
          <w:i w:val="1"/>
          <w:iCs w:val="1"/>
          <w:color w:val="auto"/>
        </w:rPr>
        <w:t>Other Information Related to Armada — Our Management Team</w:t>
      </w:r>
      <w:r>
        <w:rPr>
          <w:rFonts w:ascii="Times New Roman" w:cs="Times New Roman" w:eastAsia="Times New Roman" w:hAnsi="Times New Roman"/>
          <w:sz w:val="18"/>
          <w:szCs w:val="18"/>
          <w:color w:val="auto"/>
        </w:rPr>
        <w:t>”. The due diligence conducted by Armada’s management team and/or legal, financial and other advisors included:</w:t>
      </w:r>
    </w:p>
    <w:p>
      <w:pPr>
        <w:spacing w:after="0" w:line="100" w:lineRule="exact"/>
        <w:rPr>
          <w:sz w:val="20"/>
          <w:szCs w:val="20"/>
          <w:color w:val="auto"/>
        </w:rPr>
      </w:pPr>
    </w:p>
    <w:p>
      <w:pPr>
        <w:ind w:left="1080" w:right="2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and calls with Armada’s third-party advisors and Rezolve’s management and accounting teams regarding Rezolve’s software, operations, customers and forecasts, including demonstrations of Rezolve’s offerings;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Rezolve’s 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Rezolve’s software and intellectual property matters;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financial, tax, legal, and accounting due diligence, including a review of Rezolve’s finance and accounting staff and staffing needs;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legal, financial and accounting advisors;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of Rezolve and the Projections.</w:t>
      </w:r>
    </w:p>
    <w:p>
      <w:pPr>
        <w:spacing w:after="0" w:line="225"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Prior to reaching the decision to approve the Business Combination and the Business Combination Agreement, the board of directors consulted with Armada’s management, as well as with its legal and financial advisors. In making its determination with respect to the Business Combination, the board of directors also considered the financial analysis undertaken by Marshall &amp; Stevens, a valuation expert to Armada in connection with the Business Combination. On June 11, 2023, at a meeting of the board of directors held to evaluate the proposed business combination transaction, Marshall &amp; Stevens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contained in such opinion, (i) the Aggregate Stock Consideration (as defined in the Business Combination Agreement) to be paid by Armada in the Business Combination pursuant to the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Opinion of Marshall &amp; Stevens</w:t>
      </w:r>
      <w:r>
        <w:rPr>
          <w:rFonts w:ascii="Times New Roman" w:cs="Times New Roman" w:eastAsia="Times New Roman" w:hAnsi="Times New Roman"/>
          <w:sz w:val="18"/>
          <w:szCs w:val="18"/>
          <w:color w:val="auto"/>
        </w:rPr>
        <w:t>.” The full text of Marshall &amp; Stevens’ written opinion is attached as Annex I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statement/prospectus and is incorporated herein by reference.</w:t>
      </w:r>
    </w:p>
    <w:p>
      <w:pPr>
        <w:spacing w:after="0" w:line="19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Armada’s board of directors evaluated the validity of the opinion of Marshall &amp; Stevens in June 2024 following the change in Rezolve’s actual results reflected in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At the request of Armada’s management, Rezolve advised Armada’s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management and its board of directors that ANY was not material in terms of sales and EBITDA within the business model and Projections that were provided to Marshall Stevens for purposes of its opinion. Rezolve further advised Armada’s management and the board of directors that ANY’s contribution to revenues in the business model was not material (with ANY’s percentage contribution to Rezolve’s consolidated revenue estimated to constitute approximately 6.5% in 2024 and decreasing to 1.0% by 2027 over the periods presented) and that the business model was developed so that revenue, less cost of sales, less costs would always net to zero in respect of ANY. For a more detailed discussion of ANY’s revenue in the Projections, refer to the section below captioned “</w:t>
      </w:r>
      <w:r>
        <w:rPr>
          <w:rFonts w:ascii="Times New Roman" w:cs="Times New Roman" w:eastAsia="Times New Roman" w:hAnsi="Times New Roman"/>
          <w:sz w:val="18"/>
          <w:szCs w:val="18"/>
          <w:i w:val="1"/>
          <w:iCs w:val="1"/>
          <w:color w:val="auto"/>
        </w:rPr>
        <w:t>— Opinion of Marshall &amp; Stevens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Rezolve Financial Projections.</w:t>
      </w:r>
      <w:r>
        <w:rPr>
          <w:rFonts w:ascii="Times New Roman" w:cs="Times New Roman" w:eastAsia="Times New Roman" w:hAnsi="Times New Roman"/>
          <w:sz w:val="18"/>
          <w:szCs w:val="18"/>
          <w:color w:val="auto"/>
        </w:rPr>
        <w:t>” Based upon the foregoing, focusing on the facts provided by Rezolve’s management demonstrating that ANY’s revenues were not material to its business model or the Projections on which the Marshall &amp; Stevens opinion was based, the Armada board of directors determined by unanimous written consent on June  , 2024 that the Marshall &amp; Stevens opinion remained valid.</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prospectus for Armada’s initial public offering, Armada stated that, while it may pursue an acquisition in any business industry or sector, Armada intended to focus on prospective target companies in the digital, on-line or mobile payment solutions, processing and gateway services sectors, and/or with point-of-sale technologies, consumer marketing platforms, and e-commerce and loyalty solutions. Armada’s board of directors considered these factors identified in the prospectus in its evaluation of Rezolve. Furthermore, in light of the due diligence conducted on Rezolve by the Armada management team and its third-party advisors, and taking into account Rezolve’s focus on mobile consumer engagement platforms, and ecommerce and loyalty solutions, the board of directors determined that Rezolve met the criteria in Armada’s prospectus for its initial public offering.</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approving the Business Combination, the board of directors considered the factors that include, but are not limited to, those set forth above as well as the following positive factors, several of which are based upon our due diligence:</w:t>
      </w:r>
    </w:p>
    <w:p>
      <w:pPr>
        <w:spacing w:after="0" w:line="63" w:lineRule="exact"/>
        <w:rPr>
          <w:sz w:val="20"/>
          <w:szCs w:val="20"/>
          <w:color w:val="auto"/>
        </w:rPr>
      </w:pPr>
    </w:p>
    <w:p>
      <w:pPr>
        <w:ind w:left="1080" w:right="160" w:hanging="424"/>
        <w:spacing w:after="0" w:line="26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Innovative Mobile Solution that Creates Value for Rezolve Customers. </w:t>
      </w:r>
      <w:r>
        <w:rPr>
          <w:rFonts w:ascii="Times New Roman" w:cs="Times New Roman" w:eastAsia="Times New Roman" w:hAnsi="Times New Roman"/>
          <w:sz w:val="18"/>
          <w:szCs w:val="18"/>
          <w:color w:val="auto"/>
        </w:rPr>
        <w:t>Rezolve provides a bridge between offline and online commerce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leveraging a mobile device’s camera, microphone and location awareness to allow any kind of product or media to trigger an instant, highly relevant, contextual engagement between consumer and advertiser or merchants. Rezolve opens new channels of engagement opportunity and revenue for customers.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Platform and Business Model. </w:t>
      </w:r>
      <w:r>
        <w:rPr>
          <w:rFonts w:ascii="Times New Roman" w:cs="Times New Roman" w:eastAsia="Times New Roman" w:hAnsi="Times New Roman"/>
          <w:sz w:val="18"/>
          <w:szCs w:val="18"/>
          <w:color w:val="auto"/>
        </w:rPr>
        <w:t>Rezolve’s forecast of $281 million in revenues by 2024, $831 million in revenues by 2025 and $1.45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billion in revenues in 2026, represented substantial year over year growth, with additional potential revenue streams and agreements providing further opportunity for scaling the business. (For a discussion of the impact of subsequent events impacting the Projections, refer to the section below captioned “— </w:t>
      </w:r>
      <w:r>
        <w:rPr>
          <w:rFonts w:ascii="Times New Roman" w:cs="Times New Roman" w:eastAsia="Times New Roman" w:hAnsi="Times New Roman"/>
          <w:sz w:val="18"/>
          <w:szCs w:val="18"/>
          <w:i w:val="1"/>
          <w:iCs w:val="1"/>
          <w:color w:val="auto"/>
        </w:rPr>
        <w:t>Opinion of Marshall &amp; Stevens—Rezolve Financial Projections</w:t>
      </w:r>
      <w:r>
        <w:rPr>
          <w:rFonts w:ascii="Times New Roman" w:cs="Times New Roman" w:eastAsia="Times New Roman" w:hAnsi="Times New Roman"/>
          <w:sz w:val="18"/>
          <w:szCs w:val="18"/>
          <w:color w:val="auto"/>
        </w:rPr>
        <w:t>.” )</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Operating Leverage and Other Key Financial Metrics. </w:t>
      </w:r>
      <w:r>
        <w:rPr>
          <w:rFonts w:ascii="Times New Roman" w:cs="Times New Roman" w:eastAsia="Times New Roman" w:hAnsi="Times New Roman"/>
          <w:sz w:val="18"/>
          <w:szCs w:val="18"/>
          <w:color w:val="auto"/>
        </w:rPr>
        <w:t>Rezolve’s estimated gross profit margin is 78% for 2024, and 86% for</w:t>
      </w:r>
    </w:p>
    <w:p>
      <w:pPr>
        <w:spacing w:after="0" w:line="31" w:lineRule="exact"/>
        <w:rPr>
          <w:rFonts w:ascii="Times New Roman" w:cs="Times New Roman" w:eastAsia="Times New Roman" w:hAnsi="Times New Roman"/>
          <w:sz w:val="18"/>
          <w:szCs w:val="18"/>
          <w:color w:val="auto"/>
        </w:rPr>
      </w:pPr>
    </w:p>
    <w:p>
      <w:pPr>
        <w:jc w:val="both"/>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2025 and 2026; and EBITDA margin for 2025 is estimated to be $76 million in 2024, $233 million in 2025, and $436 million in 2026. (For a discussion of the impact of subsequent events impacting the Projections, refer to the section below captioned “— </w:t>
      </w:r>
      <w:r>
        <w:rPr>
          <w:rFonts w:ascii="Times New Roman" w:cs="Times New Roman" w:eastAsia="Times New Roman" w:hAnsi="Times New Roman"/>
          <w:sz w:val="18"/>
          <w:szCs w:val="18"/>
          <w:i w:val="1"/>
          <w:iCs w:val="1"/>
          <w:color w:val="auto"/>
        </w:rPr>
        <w:t>Opinion of Marshall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Stevens—Rezolve Financial Projections</w:t>
      </w:r>
      <w:r>
        <w:rPr>
          <w:rFonts w:ascii="Times New Roman" w:cs="Times New Roman" w:eastAsia="Times New Roman" w:hAnsi="Times New Roman"/>
          <w:sz w:val="18"/>
          <w:szCs w:val="18"/>
          <w:color w:val="auto"/>
        </w:rPr>
        <w:t>.” )</w:t>
      </w:r>
    </w:p>
    <w:p>
      <w:pPr>
        <w:spacing w:after="0" w:line="87" w:lineRule="exact"/>
        <w:rPr>
          <w:rFonts w:ascii="Times New Roman" w:cs="Times New Roman" w:eastAsia="Times New Roman" w:hAnsi="Times New Roman"/>
          <w:sz w:val="18"/>
          <w:szCs w:val="18"/>
          <w:color w:val="auto"/>
        </w:rPr>
      </w:pPr>
    </w:p>
    <w:p>
      <w:pPr>
        <w:ind w:left="1080" w:right="860" w:hanging="424"/>
        <w:spacing w:after="0" w:line="28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Technology Provides a High Barrier to Entry. </w:t>
      </w:r>
      <w:r>
        <w:rPr>
          <w:rFonts w:ascii="Times New Roman" w:cs="Times New Roman" w:eastAsia="Times New Roman" w:hAnsi="Times New Roman"/>
          <w:sz w:val="18"/>
          <w:szCs w:val="18"/>
          <w:color w:val="auto"/>
        </w:rPr>
        <w:t>Rezolve has significant market momentum backed by sophisticated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e-Commerce and mobile technology stack.</w:t>
      </w:r>
    </w:p>
    <w:p>
      <w:pPr>
        <w:spacing w:after="0" w:line="60"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Due Diligence</w:t>
      </w:r>
      <w:r>
        <w:rPr>
          <w:rFonts w:ascii="Times New Roman" w:cs="Times New Roman" w:eastAsia="Times New Roman" w:hAnsi="Times New Roman"/>
          <w:sz w:val="18"/>
          <w:szCs w:val="18"/>
          <w:color w:val="auto"/>
        </w:rPr>
        <w:t>. Due diligence examinations of Rezolve by Armada’s management, as well as Armada’s legal, financial and other advisors,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discussions with its management.</w:t>
      </w:r>
    </w:p>
    <w:p>
      <w:pPr>
        <w:spacing w:after="0" w:line="6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Negotiated Transaction</w:t>
      </w:r>
      <w:r>
        <w:rPr>
          <w:rFonts w:ascii="Times New Roman" w:cs="Times New Roman" w:eastAsia="Times New Roman" w:hAnsi="Times New Roman"/>
          <w:sz w:val="18"/>
          <w:szCs w:val="18"/>
          <w:color w:val="auto"/>
        </w:rPr>
        <w:t>. The financial and other terms of the Business Combination Agreement and the related agreements,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fact that such terms and conditions are reasonable and were the product of arm’s length negotiations between Armada and Rezolve.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the course of its deliberations, the board of directors also considered a variety of uncertainties, risks and other potentially negative factors relevant to the Business Combination, including the following:</w:t>
      </w:r>
    </w:p>
    <w:p>
      <w:pPr>
        <w:spacing w:after="0" w:line="63" w:lineRule="exact"/>
        <w:rPr>
          <w:sz w:val="20"/>
          <w:szCs w:val="20"/>
          <w:color w:val="auto"/>
        </w:rPr>
      </w:pPr>
    </w:p>
    <w:p>
      <w:pPr>
        <w:ind w:left="1080" w:right="200" w:hanging="424"/>
        <w:spacing w:after="0" w:line="28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Public Company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risks that are associated with being a publicly traded company that is in its early, developmental stage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team with limited to no experience operating a public company.</w:t>
      </w:r>
    </w:p>
    <w:p>
      <w:pPr>
        <w:spacing w:after="0" w:line="60" w:lineRule="exact"/>
        <w:rPr>
          <w:rFonts w:ascii="Times New Roman" w:cs="Times New Roman" w:eastAsia="Times New Roman" w:hAnsi="Times New Roman"/>
          <w:sz w:val="18"/>
          <w:szCs w:val="18"/>
          <w:color w:val="auto"/>
        </w:rPr>
      </w:pPr>
    </w:p>
    <w:p>
      <w:pPr>
        <w:ind w:left="1080" w:right="540" w:hanging="424"/>
        <w:spacing w:after="0" w:line="268"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Execution Risk. </w:t>
      </w:r>
      <w:r>
        <w:rPr>
          <w:rFonts w:ascii="Times New Roman" w:cs="Times New Roman" w:eastAsia="Times New Roman" w:hAnsi="Times New Roman"/>
          <w:sz w:val="18"/>
          <w:szCs w:val="18"/>
          <w:color w:val="auto"/>
        </w:rPr>
        <w:t>The risk that Rezolve will not be able to execute on its growth-oriented business plan by adding additional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streams, including through the addition of new merchants, reduction of merchant attribution and increasing the number of products utilizing the Rezolve platform.</w:t>
      </w:r>
    </w:p>
    <w:p>
      <w:pPr>
        <w:spacing w:after="0" w:line="76"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Redemption Risk</w:t>
      </w:r>
      <w:r>
        <w:rPr>
          <w:rFonts w:ascii="Times New Roman" w:cs="Times New Roman" w:eastAsia="Times New Roman" w:hAnsi="Times New Roman"/>
          <w:sz w:val="18"/>
          <w:szCs w:val="18"/>
          <w:color w:val="auto"/>
        </w:rPr>
        <w:t>. The risk that a significant number of Armada stockholders elect to redeem their shares prior to the consummation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and pursuant to Armada’s existing amended and restated certificate of incorporation, which would potentially make the Business Combination more difficult to complete or reduce the amount of cash available to Rezolve to accelerate its business plan following the Closing.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Vote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that Armada’s stockholders may fail to provide the votes necessary to effect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line="317" w:lineRule="auto"/>
        <w:tabs>
          <w:tab w:leader="none" w:pos="108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Closing Conditions Risk</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risk that completion of the Business Combination is conditioned on the satisfaction of certain closing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conditions that are not within Armada’s control, including the risk that Rezolve will not be able complete the Pre-Closing Demerger timely.</w:t>
      </w:r>
    </w:p>
    <w:p>
      <w:pPr>
        <w:spacing w:after="0" w:line="37" w:lineRule="exact"/>
        <w:rPr>
          <w:rFonts w:ascii="Times New Roman" w:cs="Times New Roman" w:eastAsia="Times New Roman" w:hAnsi="Times New Roman"/>
          <w:sz w:val="17"/>
          <w:szCs w:val="17"/>
          <w:color w:val="auto"/>
        </w:rPr>
      </w:pPr>
    </w:p>
    <w:p>
      <w:pPr>
        <w:ind w:left="1080" w:right="240" w:hanging="424"/>
        <w:spacing w:after="0" w:line="28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Benefits May Not Be Achieved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that the potential benefits of the Business Combination may not be fully achieved or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achieved within the expected timeframe.</w:t>
      </w:r>
    </w:p>
    <w:p>
      <w:pPr>
        <w:spacing w:after="0" w:line="60" w:lineRule="exact"/>
        <w:rPr>
          <w:rFonts w:ascii="Times New Roman" w:cs="Times New Roman" w:eastAsia="Times New Roman" w:hAnsi="Times New Roman"/>
          <w:sz w:val="18"/>
          <w:szCs w:val="18"/>
          <w:color w:val="auto"/>
        </w:rPr>
      </w:pPr>
    </w:p>
    <w:p>
      <w:pPr>
        <w:ind w:left="1080" w:right="600" w:hanging="424"/>
        <w:spacing w:after="0" w:line="28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 Risk</w:t>
      </w:r>
      <w:r>
        <w:rPr>
          <w:rFonts w:ascii="Times New Roman" w:cs="Times New Roman" w:eastAsia="Times New Roman" w:hAnsi="Times New Roman"/>
          <w:sz w:val="18"/>
          <w:szCs w:val="18"/>
          <w:color w:val="auto"/>
        </w:rPr>
        <w:t>. The risk of the possibility of litigation challenging the Business Combination or that an adverse judgment granting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injunctive relief could indefinitely enjoin consummation of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Armada Stockholders Receiving a Minority Positions Risk</w:t>
      </w:r>
      <w:r>
        <w:rPr>
          <w:rFonts w:ascii="Times New Roman" w:cs="Times New Roman" w:eastAsia="Times New Roman" w:hAnsi="Times New Roman"/>
          <w:sz w:val="18"/>
          <w:szCs w:val="18"/>
          <w:color w:val="auto"/>
        </w:rPr>
        <w:t>. The risk that Armada stockholders will hold a minority position in Rezolve.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Fees, Expenses and Time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of incurring significant fees and expenses associated with completing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substantial time and effort of management required to complete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Risk Factors</w:t>
      </w:r>
      <w:r>
        <w:rPr>
          <w:rFonts w:ascii="Times New Roman" w:cs="Times New Roman" w:eastAsia="Times New Roman" w:hAnsi="Times New Roman"/>
          <w:sz w:val="18"/>
          <w:szCs w:val="18"/>
          <w:color w:val="auto"/>
        </w:rPr>
        <w:t>. Various other risk factors associated with Rezolve’s business, as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to considering the factors described above, the board of directors also considered that some officers and directors of Armada may have interests in the Business Combination as individuals that are in addition to, and that may be different from, the interests of Armada’s stockholders. These interests include the fact that Stephen Herbert and Douglas Lurio will be appointed as board members of Rezolve after the Business Combination and shall be entitled to receive compensation for serving on the board of directors of Rezolve after the Business Combination; however, no member of management of Armada will be employed by Rezolve following the Closing. Additionally, these interests include the fact that CCM served as a financial advisor and capital markets advisor to Armada in connection with the Business Combination in consideration for the payment of fees from Armada and the reimbursement of expenses incurred in connection with its services and the agreement by Armada to indemnify CCM for certain liabilities arising out of the engagement, and is an affiliate of a passive member of Armada’s Sponsor. Armada’s independent directors reviewed and considered these interests during the negotiation of the Business Combination and in evaluating and unanimously approving, as members of the board of directors, the Business Combination Agreement and the Business Combination. For more information, see the section entitled “</w:t>
      </w:r>
      <w:r>
        <w:rPr>
          <w:rFonts w:ascii="Times New Roman" w:cs="Times New Roman" w:eastAsia="Times New Roman" w:hAnsi="Times New Roman"/>
          <w:sz w:val="18"/>
          <w:szCs w:val="18"/>
          <w:i w:val="1"/>
          <w:iCs w:val="1"/>
          <w:color w:val="auto"/>
        </w:rPr>
        <w:t>Proposal No. 1</w:t>
      </w:r>
    </w:p>
    <w:p>
      <w:pPr>
        <w:spacing w:after="0" w:line="5" w:lineRule="exact"/>
        <w:rPr>
          <w:sz w:val="20"/>
          <w:szCs w:val="20"/>
          <w:color w:val="auto"/>
        </w:rPr>
      </w:pPr>
    </w:p>
    <w:p>
      <w:pPr>
        <w:ind w:left="5480" w:right="2320" w:hanging="5373"/>
        <w:spacing w:after="0" w:line="43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of the Business Combination — Interests of Armada’s Directors and Officers in the Business Combination</w:t>
      </w:r>
      <w:r>
        <w:rPr>
          <w:rFonts w:ascii="Times New Roman" w:cs="Times New Roman" w:eastAsia="Times New Roman" w:hAnsi="Times New Roman"/>
          <w:sz w:val="18"/>
          <w:szCs w:val="18"/>
          <w:color w:val="auto"/>
        </w:rPr>
        <w:t>.” 143</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Armada’s board of directors concluded that the potential benefits that it expects Armada and its stockholders to achieve as a result of the Business Combination outweigh the potentially negative factors associated with the Business Combination. Accordingly, Armada’s board of directors, based on its consideration of the specific factors listed above, unanimously (a) determined that the Business Combination and the other transactions contemplated thereby are advisable, fair to, and in the best interests of Armada and its stockholders, (b) authorized and approved in all respects the Business Combination Agreement, the Subscription Agreements, and the agreements and transactions contemplated thereby, (c) in accordance with the DGCL, directed that the Business Combination Agreement and the terms of the business combination transaction contemplated thereby, including without limitation the Business Combination, be submitted for consideration by Armada’s stockholders for approval and (d) recommended that the stockholders of Armada approve the Business Combination Agreement and the business combination transaction contemplated thereby, including without limitation, the Business Combination and the payment of the Aggregate Stock Consideration.</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Armada’s board of directors reconsidered whether it would continue recommend that Armada’s stockholders approve the Business Combination Agreement and the Business Combination following the release of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Based upon information provided to Armada’s board of directors as discussed in more detail above and in the section captioned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 the Armada board of directors determined by unanimous written consent on June  , 2024 that it continued to recommend that Armada’s stockholders approve the Business Combination Agreement and the Business Combination . In arriving at such determination, the board of directors focused on the facts provided by Rezolve’s management demonstrating that ANY’s revenues were not material to its historical results or business model or future prospects or the Projections that formed the basis of the Marshall &amp; Stevens opinion and that the board of directors determined that the Marshall &amp; Stevens opinion remained valid.</w:t>
      </w:r>
    </w:p>
    <w:p>
      <w:pPr>
        <w:spacing w:after="0" w:line="18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of the material factors considered by the board of directors is not intended to be exhaustive but does set forth the principal factors considered by the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Armada’s Directors and Officers in the Business Combination</w:t>
      </w:r>
    </w:p>
    <w:p>
      <w:pPr>
        <w:spacing w:after="0" w:line="121"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080" w:hanging="424"/>
        <w:spacing w:after="0" w:line="254"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$56,392,875 and $2,367,750, respectively, based upon the closing price of $11.55 per public share on the Nasdaq on June 10,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3" w:lineRule="auto"/>
        <w:rPr>
          <w:sz w:val="20"/>
          <w:szCs w:val="20"/>
          <w:color w:val="auto"/>
        </w:rPr>
      </w:pPr>
      <w:r>
        <w:rPr>
          <w:rFonts w:ascii="Times New Roman" w:cs="Times New Roman" w:eastAsia="Times New Roman" w:hAnsi="Times New Roman"/>
          <w:sz w:val="18"/>
          <w:szCs w:val="18"/>
          <w:color w:val="auto"/>
        </w:rPr>
        <w:t>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 and</w:t>
      </w:r>
    </w:p>
    <w:p>
      <w:pPr>
        <w:spacing w:after="0" w:line="95" w:lineRule="exact"/>
        <w:rPr>
          <w:sz w:val="20"/>
          <w:szCs w:val="20"/>
          <w:color w:val="auto"/>
        </w:rPr>
      </w:pPr>
    </w:p>
    <w:p>
      <w:pPr>
        <w:jc w:val="both"/>
        <w:ind w:left="1080" w:right="20" w:hanging="424"/>
        <w:spacing w:after="0" w:line="261"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described above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Rezolve Memorandum and Articles of Association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prior to the consummation of the Business Combination, Rezolve’s memorandum and articles of association will be amended and restated promptly to:</w:t>
      </w:r>
    </w:p>
    <w:p>
      <w:pPr>
        <w:spacing w:after="0" w:line="67" w:lineRule="exact"/>
        <w:rPr>
          <w:sz w:val="20"/>
          <w:szCs w:val="20"/>
          <w:color w:val="auto"/>
        </w:rPr>
      </w:pPr>
    </w:p>
    <w:p>
      <w:pPr>
        <w:ind w:left="1080" w:right="22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 necessary changes for a company listed on Nasdaq (for a summary of the memorandum and articles of association to be amended please see </w:t>
      </w:r>
      <w:r>
        <w:rPr>
          <w:rFonts w:ascii="Times New Roman" w:cs="Times New Roman" w:eastAsia="Times New Roman" w:hAnsi="Times New Roman"/>
          <w:sz w:val="18"/>
          <w:szCs w:val="18"/>
          <w:i w:val="1"/>
          <w:iCs w:val="1"/>
          <w:color w:val="auto"/>
        </w:rPr>
        <w:t>“Description Of Rezolve Ordinary Shares, Articles Of Association And Certain Legal Considerations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other changes that Rezolve’s board of directors deems appropriate for a public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Headquarters; Stock Symbols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completion of the transactions contemplated by the Business Combination Agreement:</w:t>
      </w:r>
    </w:p>
    <w:p>
      <w:pPr>
        <w:spacing w:after="0" w:line="131" w:lineRule="exact"/>
        <w:rPr>
          <w:sz w:val="20"/>
          <w:szCs w:val="20"/>
          <w:color w:val="auto"/>
        </w:rPr>
      </w:pPr>
    </w:p>
    <w:p>
      <w:pPr>
        <w:ind w:left="1080" w:hanging="424"/>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headquarters and principal executive offices of Rezolve will be located at 3rd Floor, 80 New Bond Street, London, W1S 1SB, United Kingdom;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applications for listing are approved, Rezolve’s Ordinary Shares and warrants will be traded on the Nasdaq under the symbols “RZLV” and “RZLV.W,”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Marshall &amp; Stevens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September 9, 2022, Armada engaged Marshall &amp; Stevens Transaction Advisory Services LLC (“Marshall &amp; Stevens”) to evaluate the fairness, from a financial point of view, to Armada of the Purchase Price (as defined below) to be paid by Armada in connection with the anticipated acquisition of one hundred percent of the equity and equity equivalents (“equity”) and/or all or substantially all of the assets and business of Rezolve (the “Acquired Business”). On June 11, 2023, Armada’s board of directors met to review the proposed Business Combination. During this meeting, Marshall &amp; Stevens reviewed with Armada’s board of directors certain financial analyses as described below and rendered its oral opinion to Armada’s board of directors, which opinion was confirmed by delivery of a written opinion, dated June 11, 2023, (the “M&amp;S Opinion”), to the effect that, as of June 6, 2023 and based on and subject to the matters described in its opinion, the purchase price being paid by Armada for Rezolve in the transaction of One Billion, Six Hundred Thousand Dollars ($1,600,000,000), paid in the form of the ordinary shares of Rezolve (as the surviving company) valued at $10.00 per share was fair, from a financial point of view, to Armada (the “Purchase Price”). As discussed below, Marshall &amp; Stevens used, with the approval of the board of directors of Armada, a value of $10.00 per share for the Armada Class A Common Stock. As structured, the Transaction provides for the issuance of Rezolve Ordinary Shares (as the surviving company) to the stockholders of Armada, and with the approval of the board of directors of Armada, Marshall &amp; Stevens has used the same value per share for the Rezolve Ordinary Shares to be received by the stockholders of Armada on a one-for-one basis in the Transaction in exchange for their Armada Class A Common Stock. Marshall &amp; Stevens has made no independent determination as to the fair market value of the securities to be issued to the stockholders of Armada in the Transaction.</w:t>
      </w:r>
    </w:p>
    <w:p>
      <w:pPr>
        <w:spacing w:after="0" w:line="19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the M&amp;S Opinion, which sets forth, among other things, the assumptions made, matters considered and limitations on the scope of review undertaken by Marshall &amp; Stevens in rendering its opinion, is attached as Annex I and is incorporated into this proxy statement by reference in its entirety. Holders of the Armada Common Stock are encouraged to read this opinion carefully in its entirety. Marshall &amp; Stevens’ opinion was provided to Armada’s board of directors for their information in connection with their evaluation of the consideration to be received by Armada in consideration of the issuance of its equity securities to the equity holders of Rezolve in the Business Combination and relates only to the fairness, from a financial point of view, of such consideration, does not address any other aspect of the Business Combination and does not constitute a recommendation to any stockholder as to how such stockholder should vote or act with respect to any matters relating to the Business Combination. The summary of Marshall &amp; Stevens’ opinion in this proxy statement is qualified in its entirety by reference to the full text of the opinion.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 Marshall &amp; Stevens:</w:t>
      </w:r>
    </w:p>
    <w:p>
      <w:pPr>
        <w:spacing w:after="0" w:line="131" w:lineRule="exact"/>
        <w:rPr>
          <w:sz w:val="20"/>
          <w:szCs w:val="20"/>
          <w:color w:val="auto"/>
        </w:rPr>
      </w:pPr>
    </w:p>
    <w:p>
      <w:pPr>
        <w:ind w:left="1080" w:hanging="424"/>
        <w:spacing w:after="0"/>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Business Combination Agreement as of June 6, 2023;</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9" w:lineRule="auto"/>
        <w:tabs>
          <w:tab w:leader="none" w:pos="108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operating and financial information relating to Rezolve’s business and prospects, including financial statements for the years ended December 31, 2020 through 2022, internal financial records for the three-month period ended March 31, 2023, projections for the years ending December 31, 2023 through December 31, 2027 as prepared Rezolve’s management and provided to Marshall &amp; Stevens;</w:t>
      </w:r>
    </w:p>
    <w:p>
      <w:pPr>
        <w:spacing w:after="0" w:line="63"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Rezolve’s management regarding Rezolve’s operations, financial condition, future prospects and projected operations and performance and regarding the Business Combination;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discussions with the board and its counsel regarding Rezolve’s projected financials results, among other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business, financial and other information regarding Rezolve that was furnished to it by Rezolve through its management;</w:t>
      </w:r>
    </w:p>
    <w:p>
      <w:pPr>
        <w:spacing w:after="0" w:line="142"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other publicly available financial data for certain companies that Marshall &amp; Stevens deemed relevant for purposes of its analysis and publicly available transaction prices and premiums paid in other transactions that it deemed relevant for purposes of its analysis;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based on the projected financial information provided by Rezolve’s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as deemed appropriate.</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its review, Marshall &amp; Stevens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Rezolve’s management advised Marshall &amp; Stevens, and Marshall &amp; Stevens assumed, that Rezolve’s projected financial information provided to Marshall &amp; Stevens was reasonably prepared on bases reflecting the best currently available estimates and judgments of Rezolve’s future financial results and condition. In evaluating fairness, Marshall &amp; Stevens assumed a fair market value for Armada shares of $10.00 per share (the estimated redemption value of such shares). This value was used, with the consent of Armada’s board of directors, due to the fact that Armada is a special purpose acquisition company with only limited trading history and no material operations or assets other than cash or cash equivalents and an as yet to be approved Business Combination Agreement. Accordingly, Marshall &amp; Stevens did not perform an independent analysis regarding the fair market value of the Armada Class A Common Stock or the common stock to be issued to the holders of such shares of common stock pursuant to the Business Combination Agreement.</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Marshall &amp; Stevens expressed no opinion with respect to such forecasts and projections or the assumptions on which they are based. Marshall &amp; Stevens also relied upon and assumed, without independent verification, that there has been no material change in Rezolve’s assets, liabilities, financial condition, results of operations, business or prospects since the date of the most recent financial statements provided to Marshall &amp; Stevens, and that there is no information or facts that would make the information reviewed by Marshall &amp; Stevens incomplete or misleading. Marshall &amp; Stevens also assumed that Rezolve is not party to any material pending transaction, including, without limitation, any external financing (other than in connection with the Business Combination), recapitalization, acquisition or merger, divestiture or spin-off (other than the Business Combination or other publicly disclosed transactions).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Marshall &amp; Stevens relied upon and assumed, without independent verification, that (a) the representations and warranties of all parties to the agreements identified in the Business Combination Agreement and all other related documents and instruments that are referred to therein are true and correct, (b) each party to each such agreement, document or instrument will perform all of the covenants and agreements required to be performed by such party, (c) all conditions to the completion of the Business Combination will be satisfied without waiver thereof and (d) the Business Combination will be completed in a timely manner in accordance with the terms described in the agreements provided to Marshall &amp; Stevens, without any amendments or modifications thereto or any adjustment to the aggregate consideration (through offset, reduction, indemnity claims, post-closing purchase price adjustments or otherwise). Marshall &amp; Stevens also relied upon and assumed, without independent verification, that all governmental, regulatory and other consents and approvals necessary for the completion of the Business Combination will be obtained and that no delay, limitations, restrictions or conditions will be imposed.</w:t>
      </w:r>
    </w:p>
    <w:p>
      <w:pPr>
        <w:spacing w:after="0" w:line="18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Marshall &amp; Stevens was not requested to make, and did not make, any physical inspection or independent appraisal or evaluation of any of the assets, properties or liabilities (contingent or otherwise) of Rezolve, Armada</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20"/>
          </w:cols>
          <w:pgMar w:left="320" w:top="455" w:right="5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or any other party. Furthermore, Marshall &amp; Stevens did not undertake independent analysis of any potential or actual litigation, governmental investigation, regulatory action, possible unasserted claims or other contingent liabilities to which Rezolve or Armada is a party or may be subject.</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Marshall &amp; Stevens’ opinion addressed only the fairness, from a financial point of view, of the Purchase Price and did not address any other aspect or implication of the Business Combination or any other agreement, arrangement or understanding entered into in connection with the Business Combination or otherwise. Marshall &amp; Stevens’ opinion was necessarily based upon information made available to it as of the date of the opinion and financial, economic, market and other conditions as they existed and could be evaluated on the date of the opinion. Marshall &amp; Stevens’ opinion did not address the relative merits of the Business Combination as compared to alternative transactions or strategies that might be available to Armada, nor did it address Armada’s underlying business decision to proceed with the Business Combination. Except as described herein, Armada’s board of directors imposed no other limitations on Marshall &amp; Stevens with respect to the investigations made or procedures followed in rendering the opinion.</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preparing its opinion to Armada’s board of directors, Marshall &amp; Stevens performed a variety of financial and comparative analyses, including those described below that were the material financial analyses reviewed with Armada’s board of directors in connection with Marshall &amp; Stevens’ opinion. The summary of Marshall &amp; Stevens’ analyses described below is not a complete description of such analyses underlying Marshall &amp; Stevens’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Marshall &amp; Stevens arrived at its ultimate opinion based on the results of all analyses undertaken by it and assessed as a whole and did not draw, in isolation, conclusions from or with regard to any one factor or method of analysis. Accordingly, Marshall &amp; Stevens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its analyses, Marshall &amp; Stevens considered industry performance, general business, economic, market and financial conditions and other matters, many of which are beyond Rezolve’s control. No company, transaction or business used in Marshall &amp; Stevens’ analyses as a comparison is identical to Rezolve or the proposed Business Combination,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Marshall &amp; Stevens’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estimates used in, and the results derived from, Marshall &amp; Stevens’ analyses are inherently subject to substantial uncertainty.</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Marshall &amp; Stevens was not requested to, and it did not, recommend the specific consideration payable in the Business Combination, which consideration was determined between Armada and Rezolve, and the decision to enter into the Business Combination was solely that of Armada’s board of directors. Marshall &amp; Stevens’ opinion and financial analyses were only one of many factors considered by Armada’s board of directors in its evaluation of the Business Combination and should not be viewed as determinative of the views of Armada’s board of directors or Armada’s management with respect to the Business Combination or the Business Combination consideration.</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reviewed with Armada’s board of directors in connection with Marshall &amp; Stevens’ opinion. The financial analyses summarized below include information presented in tabular format. In order to fully understand Marshall &amp; Stevens’ financial analyses, the tables must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Marshall &amp; Stevens’ financial analyses.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Paid to Marshall &amp; Stevens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was engaged on a fixed-fee basis of between $135,000 to $140,000, plus fees and expenses, and their compensation is not contingent upon the completion of the transaction. Marshall &amp; Stevens provided no additional services associated with the transaction and has provided no other services for the Sponsor.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Financial Projections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Armada is including the information set forth below solely to give Armada’s stockholders access to the financial projections of Rezolve (the “Projections”) that were provided to, and relied upon, by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The Projections were also made available to Armada’s board of directors in connection with the presentation of financial analyses by Marshall &amp; Stevens. The inclusion of information about the Projections in this proxy statement/prospectus should not be regarded as an indication that Armada’s board of directors, management, or any other recipient of this information considered, or now considers, this information to be predictive of actual future results or to support or fail to support your decision whether to vote for or against the Business Combination Proposal. Neither Armada’s management, Rezolve nor their respective representatives has made or makes any representations to any person regarding the ultimate performance of Rezolve relative to the Projections. The Projections are not fact, are not a guarantee of future performance and should not be relied upon as being necessarily indicative of future results, and readers of this proxy statement/prospectus, including investors or stockholders, are cautioned not to place undue reliance on this information. You are cautioned not to rely on the Projections in making a decision regarding the Business Combination, as the Projections may be materially different than actual results. Rezolve will not refer back to the Projections in future periodic reports filed under the Exchange Act and the Projections are not, and should not be construed as guidance.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7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20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Historical Results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0"/>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Rezolve Management Projections</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CY 2021</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2022</w:t>
            </w:r>
            <w:r>
              <w:rPr>
                <w:rFonts w:ascii="Times New Roman" w:cs="Times New Roman" w:eastAsia="Times New Roman" w:hAnsi="Times New Roman"/>
                <w:sz w:val="10"/>
                <w:szCs w:val="10"/>
                <w:b w:val="1"/>
                <w:bCs w:val="1"/>
                <w:color w:val="auto"/>
              </w:rPr>
              <w:t>(4)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453"/>
              <w:spacing w:after="0" w:line="129" w:lineRule="exact"/>
              <w:rPr>
                <w:sz w:val="20"/>
                <w:szCs w:val="20"/>
                <w:color w:val="auto"/>
              </w:rPr>
            </w:pPr>
            <w:r>
              <w:rPr>
                <w:rFonts w:ascii="Times New Roman" w:cs="Times New Roman" w:eastAsia="Times New Roman" w:hAnsi="Times New Roman"/>
                <w:sz w:val="14"/>
                <w:szCs w:val="14"/>
                <w:b w:val="1"/>
                <w:bCs w:val="1"/>
                <w:color w:val="auto"/>
                <w:w w:val="98"/>
              </w:rPr>
              <w:t>CY 2023E</w:t>
            </w:r>
          </w:p>
        </w:tc>
        <w:tc>
          <w:tcPr>
            <w:tcW w:w="98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CY 2024E</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2025E</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CY 2026E</w:t>
            </w:r>
          </w:p>
        </w:tc>
        <w:tc>
          <w:tcPr>
            <w:tcW w:w="6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CY 2027E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3.9</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(2)</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281.1</w:t>
            </w:r>
          </w:p>
        </w:tc>
        <w:tc>
          <w:tcPr>
            <w:tcW w:w="34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2"/>
              </w:rPr>
              <w:t>(2)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830.9</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1,445.1</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2,195.6</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8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(3)</w:t>
            </w:r>
          </w:p>
        </w:tc>
        <w:tc>
          <w:tcPr>
            <w:tcW w:w="1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$ 13.3)</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76.0</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Management Projections are unaudited.</w:t>
      </w:r>
    </w:p>
    <w:p>
      <w:pPr>
        <w:spacing w:after="0" w:line="27"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50" w:lineRule="auto"/>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See below “</w:t>
      </w:r>
      <w:r>
        <w:rPr>
          <w:rFonts w:ascii="Times New Roman" w:cs="Times New Roman" w:eastAsia="Times New Roman" w:hAnsi="Times New Roman"/>
          <w:sz w:val="18"/>
          <w:szCs w:val="18"/>
          <w:i w:val="1"/>
          <w:iCs w:val="1"/>
          <w:color w:val="auto"/>
        </w:rPr>
        <w:t>Reconciliation of Non-GAAP Financial Measures</w:t>
      </w:r>
      <w:r>
        <w:rPr>
          <w:rFonts w:ascii="Times New Roman" w:cs="Times New Roman" w:eastAsia="Times New Roman" w:hAnsi="Times New Roman"/>
          <w:sz w:val="18"/>
          <w:szCs w:val="18"/>
          <w:color w:val="auto"/>
        </w:rPr>
        <w:t>” for additional information.</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50" w:lineRule="auto"/>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has restated its consolidated combined carve-out financial statements for the year ended December 31, 2022 by restating the comparative financial statements for the year ended December 31, 2023 submitted with its Amendment No. 5 to Registration Statement on Form F-4 (as amended or supplemented, this “Amended Registration Statement”) by not consolidating ANY Lifestyle Management GmbH (“ANY”).</w:t>
      </w:r>
    </w:p>
    <w:p>
      <w:pPr>
        <w:spacing w:after="0" w:line="1" w:lineRule="exact"/>
        <w:rPr>
          <w:rFonts w:ascii="Times New Roman" w:cs="Times New Roman" w:eastAsia="Times New Roman" w:hAnsi="Times New Roman"/>
          <w:sz w:val="18"/>
          <w:szCs w:val="18"/>
          <w:color w:val="auto"/>
        </w:rPr>
      </w:pPr>
    </w:p>
    <w:p>
      <w:pPr>
        <w:jc w:val="both"/>
        <w:ind w:left="54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Rezolve AI Limited and subsidiaries for the year ended December 31, 2023 and the year then ended included in this Amended Registration Statement. Historical results have not been adjusted for the restatement of Rezolve’s consolidated combined carve-out financial statements for the year ended December 31, 2022 and are as presented to both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and Armada’s board of directors.</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Projections provided by Rezolve for Armada’s use were good faith estimates of what Armada and Rezolve believe is the range of financial results that can reasonably be expected of Rezolve. There can be no assurance that these Projections will prove accurate. Additionally, as discussed in additional detail below, the Projections were prepared based on certain assumptions. Since the preparation of the Projections in June 2023, certain factors have arisen with the passage of time that were not consistent with Rezolve’s assumptions and affected Rezolve’s historical financial results, notably in 2023, and which are expected to continue to affect Rezolve’s financial results going forward in 2024 and into 2025.</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Projections were prepared by Rezolve at the request of Armada for use by Marshall &amp; Stevens for its opinion. Rezolve, as a matter of course, does not publicly disclose forecasts, internal projections as to future performance, revenues, earnings, or other results of operations due to the inherent unpredictability and subjectivity of underlying assumptions and projections. Rezolve’s 2021 and 2022 financial results and future financial results materially differed and may materially differ from those expressed in the Projections due to factors that are beyond Armada’s or Rezolve’s ability to control or predict. Armada cannot make any assurances that the Projections will be realized or that Rezolve’s future financial results will not materially vary from the Projections. In particular, the Projections should not be used as public guidance.</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Projections were not prepared with a view toward public disclosure or compliance with published guidelines of the SEC regarding projections, the guidelines established by the American Institute of Certified Public Accountants for preparation and presentation of prospective financial information, or GAAP. The Projections have not been audited. Marcum LLP has not audited, reviewed, examined, compiled, nor applied agreed-upon procedures with respect to the Projections and, accordingly, Marcum LLP does not express an opinion or any other form of assurance with respect thereto. The Marcum LLP report included in this document relates to Armada’s previously issued financial statements. It does not extend to the Projections and should not be read to do so.</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Projections were based upon various estimates and assumptions that relate only to the periods presented and based on information known or estimated as of the date the Projections were prepared, subject to the qualifications for subsequently occurring events noted herein. The Projections do not take into account any circumstances or events occurring after the date they were prepared, subject to the qualifications for subsequently occurring events noted herein. Accordingly, the Projections should not be relied upon for any other purpose. The Projections are also subjective in many respects and the recent changes in Rezolve’s operations, notably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Since the Projections cover multiple years, that information by its nature becomes less predictive and reliable with each successive year. Stockholders are urged to review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proxy statement/prospectus for a description of the risks relating to Rezolve’s business. Stockholders should also read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in this proxy statement/prospectus for additional information regarding the risks inherent in forward-looking information such as the Projections.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Projections include the following key assumptions that Rezolve’s management believed to be material:</w:t>
      </w:r>
    </w:p>
    <w:p>
      <w:pPr>
        <w:spacing w:after="0" w:line="223"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Assumptions. </w:t>
      </w:r>
      <w:r>
        <w:rPr>
          <w:rFonts w:ascii="Times New Roman" w:cs="Times New Roman" w:eastAsia="Times New Roman" w:hAnsi="Times New Roman"/>
          <w:sz w:val="18"/>
          <w:szCs w:val="18"/>
          <w:color w:val="auto"/>
        </w:rPr>
        <w:t>The Projections reflect Rezolve management’s good faith assessment of the prospective revenue from Rezolve’s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Rezolve will have the opportunity and capability to achieve in the period 2023 through 2027.</w:t>
      </w:r>
    </w:p>
    <w:p>
      <w:pPr>
        <w:spacing w:after="0" w:line="66" w:lineRule="exact"/>
        <w:rPr>
          <w:sz w:val="20"/>
          <w:szCs w:val="20"/>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a total addressable market (worldwide) for Rezolve’s offerings of $478 billion.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approximately $12,000 in revenues per year per merchant outside China.</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the following distribution of merchant partners and the number of months assumed to achieve the maximum number of merchant partners: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6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Merchant Distribution</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Merchant Dist.</w:t>
            </w:r>
          </w:p>
        </w:tc>
        <w:tc>
          <w:tcPr>
            <w:tcW w:w="14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Merchant Dist.</w:t>
            </w: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Merchant Dist.</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Partners</w:t>
            </w:r>
          </w:p>
        </w:tc>
        <w:tc>
          <w:tcPr>
            <w:tcW w:w="15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Germany</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0" w:type="dxa"/>
            <w:vAlign w:val="bottom"/>
          </w:tcPr>
          <w:p>
            <w:pPr>
              <w:spacing w:after="0"/>
              <w:rPr>
                <w:sz w:val="1"/>
                <w:szCs w:val="1"/>
                <w:color w:val="auto"/>
              </w:rPr>
            </w:pPr>
          </w:p>
        </w:tc>
      </w:tr>
      <w:tr>
        <w:trPr>
          <w:trHeight w:val="173"/>
        </w:trPr>
        <w:tc>
          <w:tcPr>
            <w:tcW w:w="316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by geography</w:t>
            </w:r>
          </w:p>
        </w:tc>
        <w:tc>
          <w:tcPr>
            <w:tcW w:w="15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 3</w:t>
            </w: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Partner 4</w:t>
            </w: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 5</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Merchant Customers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Merchant Penetration</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20%</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Mos. to Max. No. of Merchants</w:t>
            </w:r>
          </w:p>
        </w:tc>
        <w:tc>
          <w:tcPr>
            <w:tcW w:w="15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2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the following distribution of retail partners and the number of months assumed to achieve the maximum number of merchant partners: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Retail Dist.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Retail Dist.</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Retail Dist.</w:t>
            </w:r>
          </w:p>
        </w:tc>
      </w:tr>
      <w:tr>
        <w:trPr>
          <w:trHeight w:val="155"/>
        </w:trPr>
        <w:tc>
          <w:tcPr>
            <w:tcW w:w="328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Retail Distribution Partners</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India</w:t>
            </w:r>
          </w:p>
        </w:tc>
        <w:tc>
          <w:tcPr>
            <w:tcW w:w="10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2"/>
                <w:szCs w:val="12"/>
                <w:b w:val="1"/>
                <w:bCs w:val="1"/>
                <w:color w:val="auto"/>
              </w:rPr>
              <w:t>Mexico</w:t>
            </w:r>
            <w:r>
              <w:rPr>
                <w:rFonts w:ascii="Times New Roman" w:cs="Times New Roman" w:eastAsia="Times New Roman" w:hAnsi="Times New Roman"/>
                <w:sz w:val="17"/>
                <w:szCs w:val="17"/>
                <w:b w:val="1"/>
                <w:bCs w:val="1"/>
                <w:color w:val="auto"/>
                <w:vertAlign w:val="superscript"/>
              </w:rPr>
              <w:t>(1)</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Partner 3</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4</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5</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6</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7</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Partner 8</w:t>
            </w: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Partner Customers</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25,000,000</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60,000,000</w:t>
            </w:r>
          </w:p>
        </w:tc>
        <w:tc>
          <w:tcPr>
            <w:tcW w:w="180" w:type="dxa"/>
            <w:vAlign w:val="bottom"/>
            <w:tcBorders>
              <w:top w:val="single" w:sz="8" w:color="CCEEFF"/>
            </w:tcBorders>
            <w:shd w:val="clear" w:color="auto" w:fill="CCEEFF"/>
          </w:tcPr>
          <w:p>
            <w:pPr>
              <w:spacing w:after="0"/>
              <w:rPr>
                <w:sz w:val="12"/>
                <w:szCs w:val="12"/>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Partner Penetration</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Mos. to Max. No. of Customers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36</w:t>
            </w:r>
          </w:p>
        </w:tc>
      </w:tr>
    </w:tbl>
    <w:p>
      <w:pPr>
        <w:spacing w:after="0" w:line="220" w:lineRule="exact"/>
        <w:rPr>
          <w:sz w:val="20"/>
          <w:szCs w:val="20"/>
          <w:color w:val="auto"/>
        </w:rPr>
      </w:pPr>
    </w:p>
    <w:p>
      <w:pPr>
        <w:jc w:val="both"/>
        <w:ind w:left="540" w:right="100" w:hanging="424"/>
        <w:spacing w:after="0" w:line="236" w:lineRule="auto"/>
        <w:tabs>
          <w:tab w:leader="none" w:pos="54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Rezolve’s contract with Grupo Carso, which has operations across Latin America, for Rezolve’s Instant Checkout offering in Grupo Carso’s Claro Shop marketplace. The parties have been testing the Instant Checkout offering in Claro Shop during the first half of 2023 and the Projections assume that Rezolve’s Instant Checkout offering will commence commercial use on the Claro Shop marketplace in the third quarter of 2023. According to the Claro Shop website, Claro Shop is used by over 10,000 merchants and accessed by over 10.0 million customers.</w:t>
      </w:r>
    </w:p>
    <w:p>
      <w:pPr>
        <w:spacing w:after="0" w:line="18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While Rezolve management does not anticipate that the introduction of these offerings and the shift in its platform will materially affect its Projections of the revenue, gross profit margin or EBITDA,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Rezolve management believes that such shift in its business model will increase Rezolve’s reliance on the Latin American market, while decreasing Rezolve’s reliance on re-entering the China market, the reasons for which are discussed below in greater detail.</w:t>
      </w:r>
    </w:p>
    <w:p>
      <w:pPr>
        <w:spacing w:after="0" w:line="92" w:lineRule="exact"/>
        <w:rPr>
          <w:sz w:val="20"/>
          <w:szCs w:val="20"/>
          <w:color w:val="auto"/>
        </w:rPr>
      </w:pPr>
    </w:p>
    <w:p>
      <w:pPr>
        <w:ind w:left="1080" w:right="60" w:hanging="424"/>
        <w:spacing w:after="0" w:line="258"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myBrain</w:t>
      </w:r>
      <w:r>
        <w:rPr>
          <w:rFonts w:ascii="Times New Roman" w:cs="Times New Roman" w:eastAsia="Times New Roman" w:hAnsi="Times New Roman"/>
          <w:sz w:val="18"/>
          <w:szCs w:val="18"/>
          <w:color w:val="auto"/>
        </w:rPr>
        <w:t>. Rezolve’s myBrain offering allows individual users limited free access to Rezolve’s AI tool, a proprietary Large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(or “LLM”) utility that allows users to ingest links and documents from any source to extract data from the documents in a personalized format by asking questions. Rezolve plans to advertise myBrain in Europe through the channels WhatsApp, Instagram, Facebook, TikTok and LinkedIn, which are expected to reach approximately 50.0 million consumers, and through Grupo Carso in Mexico, the contract with which Rezolve expects to commence in mid-August 2023 and to reach approximately 100.0 million consumers.</w:t>
      </w:r>
    </w:p>
    <w:p>
      <w:pPr>
        <w:spacing w:after="0" w:line="88"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Brain. </w:t>
      </w:r>
      <w:r>
        <w:rPr>
          <w:rFonts w:ascii="Times New Roman" w:cs="Times New Roman" w:eastAsia="Times New Roman" w:hAnsi="Times New Roman"/>
          <w:sz w:val="18"/>
          <w:szCs w:val="18"/>
          <w:color w:val="auto"/>
        </w:rPr>
        <w:t>Rezolve’s Brain offering to businesses utilizes AI and GPT models based on Rezolve’s proprietary LLM utility called “BrainPowa,”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has been trained specifically for eCommerce. Brain is designed to</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transform online stores, call-centers, social media interactions and in-store kiosks into personalized, conversational, online shopping experiences that increase orders and reduce costs. Rezolve believes it is in a unique position with first mover advantage in the retail space. The triggers for the AI offering have been active and used by merchants for at least 3 years and Rezolve initiated a large-scale trial in China that proved the technology. Merchants who engage Rezolve for the Brain platform will have access to Brain and all triggers (Geozone, audio triggers, watermarks, Instant Act and Instant Buy).</w:t>
      </w:r>
    </w:p>
    <w:p>
      <w:pPr>
        <w:spacing w:after="0" w:line="87" w:lineRule="exact"/>
        <w:rPr>
          <w:sz w:val="20"/>
          <w:szCs w:val="20"/>
          <w:color w:val="auto"/>
        </w:rPr>
      </w:pPr>
    </w:p>
    <w:p>
      <w:pPr>
        <w:ind w:left="1540" w:hanging="331"/>
        <w:spacing w:after="0"/>
        <w:tabs>
          <w:tab w:leader="none" w:pos="1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Brain-Latin America</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expand its offerings to Grupo Carso to include its myBrain and Brain offerings by the end of Q3 2024.</w:t>
      </w:r>
    </w:p>
    <w:p>
      <w:pPr>
        <w:spacing w:after="0" w:line="130" w:lineRule="exact"/>
        <w:rPr>
          <w:rFonts w:ascii="Times New Roman" w:cs="Times New Roman" w:eastAsia="Times New Roman" w:hAnsi="Times New Roman"/>
          <w:sz w:val="18"/>
          <w:szCs w:val="18"/>
          <w:color w:val="auto"/>
        </w:rPr>
      </w:pPr>
    </w:p>
    <w:p>
      <w:pPr>
        <w:ind w:left="2200" w:right="240" w:hanging="545"/>
        <w:spacing w:after="0" w:line="312" w:lineRule="auto"/>
        <w:tabs>
          <w:tab w:leader="none" w:pos="2200"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 anticipates that it will enter into contracts by the end of 2024 with the Latin American digital merchants with which it is currently in negotiations, including a grocery store chain, a pharmacy chain and a digital marketing designer.</w:t>
      </w:r>
    </w:p>
    <w:p>
      <w:pPr>
        <w:spacing w:after="0" w:line="45" w:lineRule="exact"/>
        <w:rPr>
          <w:rFonts w:ascii="Times New Roman" w:cs="Times New Roman" w:eastAsia="Times New Roman" w:hAnsi="Times New Roman"/>
          <w:sz w:val="17"/>
          <w:szCs w:val="17"/>
          <w:color w:val="auto"/>
        </w:rPr>
      </w:pPr>
    </w:p>
    <w:p>
      <w:pPr>
        <w:ind w:left="2200" w:right="220" w:hanging="545"/>
        <w:spacing w:after="0" w:line="224" w:lineRule="auto"/>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17.94 million SME’s in Latin America in 2021</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Rezolve’s platform assumes that it will be engaged by approximately 0.0048% of Latin American SME merchants by December 2024 to achieve the Projections.</w:t>
      </w:r>
    </w:p>
    <w:p>
      <w:pPr>
        <w:spacing w:after="0" w:line="10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Brain-Europe.</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party to a contract with the Weekend based in Germany to promote the Rezolve platform.</w:t>
      </w:r>
    </w:p>
    <w:p>
      <w:pPr>
        <w:spacing w:after="0" w:line="130" w:lineRule="exact"/>
        <w:rPr>
          <w:rFonts w:ascii="Times New Roman" w:cs="Times New Roman" w:eastAsia="Times New Roman" w:hAnsi="Times New Roman"/>
          <w:sz w:val="18"/>
          <w:szCs w:val="18"/>
          <w:color w:val="auto"/>
        </w:rPr>
      </w:pPr>
    </w:p>
    <w:p>
      <w:pPr>
        <w:ind w:left="2200" w:right="60" w:hanging="545"/>
        <w:spacing w:after="0" w:line="266" w:lineRule="auto"/>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anticipates that it will enter into contracts by the end of 2024 with several European digital merchants with which it is currently in negotiations, including digital marketing companies, telecommunications companies, a consulting company and various digital marketplaces.</w:t>
      </w:r>
    </w:p>
    <w:p>
      <w:pPr>
        <w:spacing w:after="0" w:line="81" w:lineRule="exact"/>
        <w:rPr>
          <w:rFonts w:ascii="Times New Roman" w:cs="Times New Roman" w:eastAsia="Times New Roman" w:hAnsi="Times New Roman"/>
          <w:sz w:val="18"/>
          <w:szCs w:val="18"/>
          <w:color w:val="auto"/>
        </w:rPr>
      </w:pPr>
    </w:p>
    <w:p>
      <w:pPr>
        <w:ind w:left="2200" w:right="20" w:hanging="545"/>
        <w:spacing w:after="0" w:line="224" w:lineRule="auto"/>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33.21 million SME’s in Europe in 2021</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Rezolve’s platform assumes Rezolve will be engaged by approximately 0.0015% of Europe SME merchants by December 2024 for its Brain offering to achieve the Projections.</w:t>
      </w:r>
    </w:p>
    <w:p>
      <w:pPr>
        <w:spacing w:after="0" w:line="104" w:lineRule="exact"/>
        <w:rPr>
          <w:rFonts w:ascii="Times New Roman" w:cs="Times New Roman" w:eastAsia="Times New Roman" w:hAnsi="Times New Roman"/>
          <w:sz w:val="18"/>
          <w:szCs w:val="18"/>
          <w:color w:val="auto"/>
        </w:rPr>
      </w:pPr>
    </w:p>
    <w:p>
      <w:pPr>
        <w:ind w:left="2200" w:right="340" w:hanging="545"/>
        <w:spacing w:after="0" w:line="282" w:lineRule="auto"/>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Latin America was worth $1.9 trillion in 2017 and was forecasted to grow to $2.35 trillion by 2022 (Statista).</w:t>
      </w:r>
    </w:p>
    <w:p>
      <w:pPr>
        <w:spacing w:after="0" w:line="6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Brain-Asia</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2200" w:right="240" w:hanging="545"/>
        <w:spacing w:after="0" w:line="282" w:lineRule="auto"/>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anticipates that it will enter into contracts for the Rezolve platform offering by the end of 2024 with Indian and South Korean digital merchants with which it is currently in negotiations, including a digital retailer.</w:t>
      </w:r>
    </w:p>
    <w:p>
      <w:pPr>
        <w:spacing w:after="0" w:line="67" w:lineRule="exact"/>
        <w:rPr>
          <w:rFonts w:ascii="Times New Roman" w:cs="Times New Roman" w:eastAsia="Times New Roman" w:hAnsi="Times New Roman"/>
          <w:sz w:val="18"/>
          <w:szCs w:val="18"/>
          <w:color w:val="auto"/>
        </w:rPr>
      </w:pPr>
    </w:p>
    <w:p>
      <w:pPr>
        <w:ind w:left="2200" w:right="120" w:hanging="545"/>
        <w:spacing w:after="0" w:line="230" w:lineRule="auto"/>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approximately 1.2 trillion SME’s in India in 2021</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with approximately 63 million MSME’s and approximately 1.5 million SME’s in South Korea, Rezolve’s platform assumes Rezolve will be engaged by approximately 0.0005% of SME merchants in these two countries by December 2024 for its Brain offering to achieve the Projections.</w:t>
      </w:r>
    </w:p>
    <w:p>
      <w:pPr>
        <w:spacing w:after="0" w:line="103"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India was worth $1.2 trillion in 2022 and $487 billion in South Korea.</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Brain-North America.</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party to a contract with ACI Group in North America to promote the Rezolve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340" w:hanging="224"/>
        <w:spacing w:after="0"/>
        <w:tabs>
          <w:tab w:leader="none" w:pos="340" w:val="left"/>
        </w:tabs>
        <w:numPr>
          <w:ilvl w:val="0"/>
          <w:numId w:val="2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Research Department, “Estimated number of small and medium sized enterprises (SMEs) worldwide from 2000 to 2021, by region” (August 2022)</w:t>
      </w:r>
    </w:p>
    <w:p>
      <w:pPr>
        <w:spacing w:after="0" w:line="1" w:lineRule="exact"/>
        <w:rPr>
          <w:rFonts w:ascii="Times New Roman" w:cs="Times New Roman" w:eastAsia="Times New Roman" w:hAnsi="Times New Roman"/>
          <w:sz w:val="27"/>
          <w:szCs w:val="27"/>
          <w:color w:val="auto"/>
          <w:vertAlign w:val="superscript"/>
        </w:rPr>
      </w:pPr>
    </w:p>
    <w:p>
      <w:pPr>
        <w:ind w:left="120"/>
        <w:spacing w:after="0" w:line="18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Id.</w:t>
      </w:r>
    </w:p>
    <w:p>
      <w:pPr>
        <w:ind w:left="12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Id.</w:t>
      </w:r>
    </w:p>
    <w:p>
      <w:pPr>
        <w:spacing w:after="0" w:line="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60"/>
          </w:cols>
          <w:pgMar w:left="320" w:top="455" w:right="5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200" w:right="580" w:hanging="545"/>
        <w:spacing w:after="0" w:line="282" w:lineRule="auto"/>
        <w:tabs>
          <w:tab w:leader="none" w:pos="22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 Group has access to over 80,000 merchants for which Rezolve has assumed it will be engaged by 0.3% of such merchants by December 2024.</w:t>
      </w:r>
    </w:p>
    <w:p>
      <w:pPr>
        <w:spacing w:after="0" w:line="67" w:lineRule="exact"/>
        <w:rPr>
          <w:rFonts w:ascii="Times New Roman" w:cs="Times New Roman" w:eastAsia="Times New Roman" w:hAnsi="Times New Roman"/>
          <w:sz w:val="18"/>
          <w:szCs w:val="18"/>
          <w:color w:val="auto"/>
        </w:rPr>
      </w:pPr>
    </w:p>
    <w:p>
      <w:pPr>
        <w:ind w:left="2200" w:right="220" w:hanging="545"/>
        <w:spacing w:after="0" w:line="224" w:lineRule="auto"/>
        <w:tabs>
          <w:tab w:leader="none" w:pos="22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31.85 million SME’s in the United States in 2021</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Rezolve’s platform assumes Rezolve will be engaged by approximately 0.0006% of North American SME merchants by December 2024 for its Brain offering to achieve the Projections.</w:t>
      </w:r>
    </w:p>
    <w:p>
      <w:pPr>
        <w:spacing w:after="0" w:line="104"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the United States was worth $6.6 trillion in 2021.</w:t>
      </w:r>
    </w:p>
    <w:p>
      <w:pPr>
        <w:spacing w:after="0" w:line="225"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In developing the assumptions for the Projections, Rezolve management compared its assumptions to publicly available forecasts of other similar payments companies and AI tools, such as ChatGPT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to assess the reasonableness of its assumptions, including with respect to the market opportunity for payment services and similar AI tools. While Rezolve management believes the above-mentioned assumptions to be reasonable for preparation of the Projections, the assumptions are dependent upon future events, and actual conditions may differ from those assumed. In addition, as noted above, Rezolve management used and relied upon certain information provided by others. While Rezolve management believes the use of such information and assumptions to be reasonable for preparation of its Projections, it offers no assurances with respect thereto and some assumptions may vary significantly due to unanticipated events and circumstances. Armada’s management and Board also reviewed such publicly available information, and consulted with its advisors to aid in evaluating the reasonableness of Rezolve’s Projections and the underlying assumptions. From time to time on an ongoing basis, Rezolve’s management reviews the reasonableness of significant assumptions related to its Projections. This analysis includes, among other things, the size and market opportunity of the retail markets in each of the Latin American, European, Asian and North American markets of Rezolve, its pipeline of merchants and entry of competitors into the digital payments and AI-enabled solutions spaces.</w:t>
      </w:r>
    </w:p>
    <w:p>
      <w:pPr>
        <w:spacing w:after="0" w:line="20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Forecast Period. </w:t>
      </w:r>
      <w:r>
        <w:rPr>
          <w:rFonts w:ascii="Times New Roman" w:cs="Times New Roman" w:eastAsia="Times New Roman" w:hAnsi="Times New Roman"/>
          <w:sz w:val="18"/>
          <w:szCs w:val="18"/>
          <w:color w:val="auto"/>
        </w:rPr>
        <w:t>Since Rezolve expects to commence providing its offerings under its contracts during the second half of 2023 and during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Rezolve management believes using a five-year period effectively shows the economic impact of the potential merchant engagement that can be reasonably extrapolated from the current level of inbound interest and ongoing discussions with current and prospective merchants. Taking these factors into account, Marshall &amp; Stevens requested that Rezolve management provide Projections covering a five-year period for purposes of the analyses it performed. In addition, due to the uncertainties and risks associated with the adoption and use of Rezolve’s offerings, as well as the size and scope of the potential market opportunity available to Rezolve, projections beyond 2027 could not be supported by information known to or reasonably estimable by Rezolve at the time the projections were developed.</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the preparation of the Projections in June 2023, certain factors have arisen with the passage of time that were not consistent with Rezolve’s assumptions underlying the preparation of the Projections and affected Rezolve’s actual financial results, notably in 2023, and which are expected to continue to affect Rezolve’s financial results in 2024 and into 2025. The primary factors, among other unanticipated circumstances, are (i) the delayed closing of the Business Combination (and, in particular, the corresponding delay in capital infusion for investment purposes) resulting from a delay related to the review of the registration statement relating to the Business Combination discussed in Note 2.20 in the Notes to the Carve-out Consolidated Financial Statements of Rezolve AI Limited and subsidiaries for the year ended December 31, 2023 and the year then ended included in this Amended Registration Statement and the resulting delay in the completion of the audit of Rezolve’s historical financial statements by its independent registered public accounting firm; (ii) Rezolve AI Limited has restated its consolidated combined carve-out financial statements for the year ended December 31, 2022 by restating the comparative financial statements for the year ended December 31, 2023 submitted with this Amended Registration Statement by not consolidating ANY, as discussed in Note 2.20 in the Notes to the Carve-out Consolidated Financial Statements of Rezolve AI Limited and subsidiaries for the year ended December 31, 2023 and the year then ended included in this Amended Registration Statement; and (iii) a delay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0" w:lineRule="exact"/>
        <w:rPr>
          <w:sz w:val="20"/>
          <w:szCs w:val="20"/>
          <w:color w:val="auto"/>
        </w:rPr>
      </w:pPr>
    </w:p>
    <w:p>
      <w:pPr>
        <w:ind w:left="340" w:hanging="224"/>
        <w:spacing w:after="0"/>
        <w:tabs>
          <w:tab w:leader="none" w:pos="340" w:val="left"/>
        </w:tabs>
        <w:numPr>
          <w:ilvl w:val="0"/>
          <w:numId w:val="2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Id.</w:t>
      </w:r>
    </w:p>
    <w:p>
      <w:pPr>
        <w:spacing w:after="0" w:line="1" w:lineRule="exact"/>
        <w:rPr>
          <w:sz w:val="20"/>
          <w:szCs w:val="20"/>
          <w:color w:val="auto"/>
        </w:rPr>
      </w:pPr>
    </w:p>
    <w:p>
      <w:pPr>
        <w:ind w:left="5480" w:right="3880" w:hanging="5364"/>
        <w:spacing w:after="0" w:line="311" w:lineRule="auto"/>
        <w:tabs>
          <w:tab w:leader="none" w:pos="323" w:val="left"/>
        </w:tabs>
        <w:numPr>
          <w:ilvl w:val="0"/>
          <w:numId w:val="2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“ChatGPT owner OpenAI projects $1 billion in revenue by 2024,” Reuters (December 15 2022) 154</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implementing Rezolve’s business model (as discussed above under “—</w:t>
      </w:r>
      <w:r>
        <w:rPr>
          <w:rFonts w:ascii="Times New Roman" w:cs="Times New Roman" w:eastAsia="Times New Roman" w:hAnsi="Times New Roman"/>
          <w:sz w:val="18"/>
          <w:szCs w:val="18"/>
          <w:i w:val="1"/>
          <w:iCs w:val="1"/>
          <w:color w:val="auto"/>
        </w:rPr>
        <w:t>Revenue Assumptions</w:t>
      </w:r>
      <w:r>
        <w:rPr>
          <w:rFonts w:ascii="Times New Roman" w:cs="Times New Roman" w:eastAsia="Times New Roman" w:hAnsi="Times New Roman"/>
          <w:sz w:val="18"/>
          <w:szCs w:val="18"/>
          <w:color w:val="auto"/>
        </w:rPr>
        <w:t>”) from a transaction-based revenue model to a subscription-based model resulting from the delayed closing of the Business Combination and the corresponding delays in capital infusions necessary to finance the implemention of Rezolve’s new subscription-based offerings and related customer acquisition and entry into new contracts. While Rezolve management does not anticipate that these will materially affect its Projections of the revenue, gross profit margin or EBITDA, Rezolve management believes that such factors will impact the timing for the implementation of its business model and, therefore, delay the timing for the Projections and shift such Projections to the periods following the closing of the Business Combination and the corresponding receipt of capital infusions and subsequent deploying of such capital infusions. While access to capital and the deployment of such capital are necessary for the full implementation of Rezolve’s new offerings and customer acquisitions and contract executions, Rezolve has provided Armada’s management and board of directors updates from time to time on Rezolve’s customer pipeline, the development of which has continued, although not at the same rate as Rezolve anticipated at the time it originally prepared the Projections due to the delays in closing the Business Combination discussed above in this paragraph.</w:t>
      </w:r>
    </w:p>
    <w:p>
      <w:pPr>
        <w:spacing w:after="0" w:line="18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a result of the foregoing and as discussed in more detail above and in the section captioned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 Armada’s management and board of directors considered whether it should request revised Projection following the change in Rezolve’s actual results reflected in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the Projections. At the request of Armada’s management, Rezolve advised Armada’s management and its board of directors that ANY was not material in terms of sales and EBITDA within the business model and Projections that were provided to Marshall Stevens for purposes of its opinion. As support for this determination, Rezolve advised Armada’s management and board of directors that revenue from ANY as a percentage of total revenue in the business model used to prepare the Projections was 6.5% in 2024, falling to 2.4% in 2025, 1.5% in 2026 and 1.0% in 2027. In 2028 revenue was forecast at $2,195,589,522 in 2028 with ANY forecast at $22,412,469, which would constitute approximately 1.0%. Rezolve also advised that the business model was developed so that revenue, less cost of sales, less costs would always net to zero in respect of ANY. Additionally, as noted above, Rezolve is continuing to develop its customer pipeline, although not at the same rate as Rezolve anticipated at the time it originally prepared the Projections due to the delays in closing the Business Combination and the corresponding delay in capital infusions for investment purposes. Accordingly, based upon the foregoing, no material changes (other than as noted in the immediately preceding paragraph) to the Projections are being requested from Rezolve at this time. The additional information would not have materially changed the board of directors’ understanding of Rezolve’s business and prospects, and the additional time and expense required for Rezolve’s management to create updated projections would have unnecessarily distracted management of Rezolve from focusing all of their efforts on running the business and bringing the Business Combination to a close, particularly since Armada’s board of directors understands that Rezolve’s access to capital markets is necessary to fund the development of its new offerings and marketing that enables the expected growth contemplated by the Projections.</w:t>
      </w:r>
    </w:p>
    <w:p>
      <w:pPr>
        <w:spacing w:after="0" w:line="19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Risks and Uncertainties. </w:t>
      </w:r>
      <w:r>
        <w:rPr>
          <w:rFonts w:ascii="Times New Roman" w:cs="Times New Roman" w:eastAsia="Times New Roman" w:hAnsi="Times New Roman"/>
          <w:sz w:val="18"/>
          <w:szCs w:val="18"/>
          <w:color w:val="auto"/>
        </w:rPr>
        <w:t>The Projections (including the Projections regarding revenues above) are subjective in many respects and Rezolve’s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operating history, notably following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or that the Projections will be realized according within the periods anticipated. The following risks and uncertainties may negatively impact the market opportunity of Rezolve’s platform and offerings and Rezolve’s ability to achieve the revenue Projections illustrated in the Projections:</w:t>
      </w:r>
    </w:p>
    <w:p>
      <w:pPr>
        <w:spacing w:after="0" w:line="90" w:lineRule="exact"/>
        <w:rPr>
          <w:sz w:val="20"/>
          <w:szCs w:val="20"/>
          <w:color w:val="auto"/>
        </w:rPr>
      </w:pPr>
    </w:p>
    <w:p>
      <w:pPr>
        <w:ind w:left="1080" w:right="46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 including with its new offerings myBrain and Brain.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radio advertising business in Germany is susceptible to risks associated with economic downturns and recession.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business is susceptible to risks associated with inadequate financing to continue to funds its growth and associated customer acquisitions and entry into new contracts with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 enabled mobile devices for commerce.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Projections are not being included herein to influence Armada’s stockholders’ decision whether to vote in favor of any proposal contained in this proxy statement/prospectus. In light of the foregoing factors and the uncertainties inherent in the Projections, stockholders are cautioned not to place undue, if any, reliance on the Projections.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Adjusted EBITDA measure included in the Projections is a non-GAAP financial measure. Non-GAAP financial measures are additions to, and should not be considered in isolation from, or as a substitute for, financial information presented in compliance with GAAP, and these non-GAAP financial measures as used in the Projections may not be reported by Rezolve’s or Armada’s competitors and may not be comparable to similarly titled amounts used by other companies. We encourage you to review the financial statements of Rezolve included in this proxy statement/prospectus, as well as the financial information in the sections entitled “</w:t>
      </w:r>
      <w:r>
        <w:rPr>
          <w:rFonts w:ascii="Times New Roman" w:cs="Times New Roman" w:eastAsia="Times New Roman" w:hAnsi="Times New Roman"/>
          <w:sz w:val="18"/>
          <w:szCs w:val="18"/>
          <w:i w:val="1"/>
          <w:iCs w:val="1"/>
          <w:color w:val="auto"/>
        </w:rPr>
        <w:t>Selected Financial Information of Rezolve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in this proxy statement/prospectus and to not rely on any single financial measure.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Measures</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 reconciliation of Adjusted EBITDA to the most comparable GAAP financial measure for the periods presented is included below. 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Although it is frequently used by investors and securities analysts in their evaluations of companies, Adjusted EBITDA has limitations as an analytical tool, including:</w:t>
      </w:r>
    </w:p>
    <w:p>
      <w:pPr>
        <w:spacing w:after="0" w:line="73" w:lineRule="exact"/>
        <w:rPr>
          <w:sz w:val="20"/>
          <w:szCs w:val="20"/>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Rezolve’s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Rezolve’s interest expense, or the cash requirements to service interest or principal payments on, Rezolve’s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Rezolve’s tax expense or the cash requirements to pay Rezolve’s taxes;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Rezolve considers not to be indicative of its future operations;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Rezolve does.</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compensates for the inherent limitations associated with using Adjusted EBITDA through disclosure of these limitations, presentation of the Rezolve Financial Statements in accordance with GAAP and reconciliation of Adjusted EBITDA to the most directly comparable GAAP measure, net income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provides a reconciliation of Rezolve’s net income (loss) to its non-GAAP financial measure, Adjusted EBITDA, for each of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92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Historical Results</w:t>
            </w: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Management Projections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tcBorders>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CY 2021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2022</w:t>
            </w:r>
          </w:p>
        </w:tc>
        <w:tc>
          <w:tcPr>
            <w:tcW w:w="44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2023E</w:t>
            </w: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2024E</w:t>
            </w: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2025E</w:t>
            </w:r>
          </w:p>
        </w:tc>
        <w:tc>
          <w:tcPr>
            <w:tcW w:w="8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2026E</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2027E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Net income</w:t>
            </w:r>
            <w:r>
              <w:rPr>
                <w:rFonts w:ascii="Times New Roman" w:cs="Times New Roman" w:eastAsia="Times New Roman" w:hAnsi="Times New Roman"/>
                <w:sz w:val="23"/>
                <w:szCs w:val="23"/>
                <w:color w:val="auto"/>
                <w:vertAlign w:val="superscript"/>
              </w:rPr>
              <w:t>(2)</w:t>
            </w: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($ 37.7)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($104.1)</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79"/>
              </w:rPr>
              <w:t>16.1)</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61.1</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180.7</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354.3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715.4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to adjusted EBITDA</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u w:val="single" w:color="auto"/>
                <w:color w:val="auto"/>
              </w:rPr>
              <w:t>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u w:val="single" w:color="auto"/>
                <w:color w:val="auto"/>
              </w:rPr>
              <w:t>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88.</w:t>
            </w:r>
            <w:r>
              <w:rPr>
                <w:rFonts w:ascii="Times New Roman" w:cs="Times New Roman" w:eastAsia="Times New Roman" w:hAnsi="Times New Roman"/>
                <w:sz w:val="18"/>
                <w:szCs w:val="18"/>
                <w:u w:val="single" w:color="auto"/>
                <w:color w:val="auto"/>
              </w:rPr>
              <w:t>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7"/>
              </w:rPr>
              <w:t>($ 37.0)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99.6)</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79"/>
              </w:rPr>
              <w:t>16.1)</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76.0</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7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FX (gain) or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prepayments and other current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issued to related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parties for consultancy services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for consultancy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and other share based compensation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($ 13.3)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435.6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52" w:lineRule="auto"/>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 for the years ended December 31, 2021 and 2022 exclude applicable adjustments. All of Management Projections are unaudited. Additionally, historical results have not been adjusted for the restatement of Rezolve’s consolidated combined carve-out financial statements for the year ended December 31, 2022 and are as presented in June 2023 both to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and Armada’s board of directors. We have included the above information since it was presented to Marshall &amp; Steven’s and Armada’s board of directors in June 2023, notwithstanding that the above information was subsequently adjusted to reflect the restatement discussed below. As discussed in Note 2.20 in the Notes to the Carve-out Consolidated Financial Statements of Rezolve AI Limited and subsidiaries for the year ended December 31, 2023 and the year then ended included in this registration statement, Rezolve AI Limited has restated its consolidated combined carve-out financial statements for the year ended December 31, 2022 by restating the comparative financial statements for the year ended December 31, 2023 submitted with its fifth amended F-4 registration statement by not consolidating ANY. 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 Rezolve AI Limited and subsidiaries for the year ended December 31, 2023 and the year then ended included in this registration statement.</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60" w:lineRule="auto"/>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EBITDA (net income (loss) adjusted for interest expense, income tax, depreciation of property and equipment and amortization of acquired intangibles) adjusted for unrealized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520"/>
        <w:spacing w:after="0" w:line="266" w:lineRule="auto"/>
        <w:rPr>
          <w:sz w:val="20"/>
          <w:szCs w:val="20"/>
          <w:color w:val="auto"/>
        </w:rPr>
      </w:pPr>
      <w:r>
        <w:rPr>
          <w:rFonts w:ascii="Times New Roman" w:cs="Times New Roman" w:eastAsia="Times New Roman" w:hAnsi="Times New Roman"/>
          <w:sz w:val="18"/>
          <w:szCs w:val="18"/>
          <w:color w:val="auto"/>
        </w:rPr>
        <w:t>foreign exchange gains (losses), impairment of goodwill and other assets, business development expenses, warrants issued and share-based compensation and, solely for purposes of the Projections, exclude applicable audit adjustments. See below “Reconciliation of Non-GAAP Financial Measures”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major inputs and assumptions used in Marshall &amp; Stevens’s discounted cash flow method were as follows:</w:t>
      </w:r>
    </w:p>
    <w:p>
      <w:pPr>
        <w:spacing w:after="0" w:line="131" w:lineRule="exact"/>
        <w:rPr>
          <w:sz w:val="20"/>
          <w:szCs w:val="20"/>
          <w:color w:val="auto"/>
        </w:rPr>
      </w:pPr>
    </w:p>
    <w:p>
      <w:pPr>
        <w:ind w:left="1080" w:right="260" w:hanging="424"/>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Rezolve provided projection through 2027, which was extended to 2032 by Marshall &amp; Stevens reflecting a ramp-down in revenues growth coupled with constant margins, as the basis for the Discounted Cash Flow analysis. The duration of the projection provided assumes a time period by which Rezolve believes it would achieve a stabilized long-term growth rate.</w:t>
      </w:r>
    </w:p>
    <w:p>
      <w:pPr>
        <w:spacing w:after="0" w:line="81"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weighted average cost of capital (WACC), adjusted for exposure to emerging markets, was used as the discount rate in Marshall &amp; Stevens’s analysis and applied to debt free, after-tax cash flows. The WACC was calculated to be approximately 27.0% and was determined based upon a cost of equity of approximately 28.08% and an after-tax cost of debt of approximately 6.20%.</w:t>
      </w:r>
    </w:p>
    <w:p>
      <w:pPr>
        <w:spacing w:after="0" w:line="81"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equity was determined using a 20-year U.S. Treasury Rate (3.94%), long-term regional/country inflation risk premium of 1.00% based upon the International Monetary Fund (IMF) and the weighted average inflation of the revenue-generating countries for Rezolve (China, UK, India, Germany, Mexico, Canada, Spain, France, Australia, New Zealand, Nordics, USA and the rest of the world (“RoW”)), Equity Risk Premium of 6.22% (Kroll Cost of Capital Navigator 2022 (“KCOC”)), Re-levered Equity beta of 1.00 based upon the Guideline Companies discussed below, a size premium of 1.34% based upon KCOC data for the 7th decile, and a company specific risk premium of 15.00% based upon anticipated forecast risk.</w:t>
      </w:r>
    </w:p>
    <w:p>
      <w:pPr>
        <w:spacing w:after="0" w:line="92"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cost of debt was determined using BBB rated bond yields, a country risk/inflation adjustment (based upon the IMF and Federal Reserve Bank of Philadelphia), and a tax rate of 26.48% based upon the weighted average tax rates of the revenue-generating countries for Rezolve (China, UK, India, Germany, Mexico, Canada, Spain, France, Australia, New Zealand, Nordics, USA, and RoW).</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debt-to-capital ratio was estimated at 5.0% and the equity-to-capital ratio was estimated at 95.0% using input from the Guideline Companies discussed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income tax expense of 26.48% of pre-tax income;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projected year 2023 through 2032 were based upon discussions with Rezolve’s management;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for projected year 2023 through 2032 based upon Rezolve’s management estimates and a review of the Guideline Companies discussed below. The working capital requirements were estimated based on Rezolve’s normal debt-free, cash-free working capital to sales ratio of 3.00%, and the expectation that this level of debt-free, cash-free working capital would be sufficient going forward;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year multiple of 4.17 was calculated using the Gordon Growth Model and based upon a WACC of 27.0% and terminal growth rate of 3.00% (multiple = 1/(WACC – growth rate).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Marshall &amp; Stevens performed sensitivity analyses utilizing the projections including varying the terminal growth rate, the WACC rate, and the revenues growth rate.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first determined the enterprise value of Rezolve, which is defined as the market value of invested capital, less cash, plus the present value of net operating losses (NOLs). Thus, the indication of enterprise value for Rezolve using the discounted cash flow method was estimated to be between approximately $1,580,000,000 and $1,850,000,000.</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5"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 Public Company Analysis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Marshall &amp; Stevens reviewed and analyzed selected historical and projected information about Rezolve provided by Rezolve’s management and compared this information to certain financial information of thirteen (13) publicly traded companies that Marshall &amp; Stevens deemed to be reasonably comparable to Rezolve (each a “Guideline Company” and, collectively, the “Guideline Companies”). The initial Guideline Companies were provided by Rezolve, and Marshall &amp; Stevens reviewed these Guideline Companies to determine the comparability to Rezolve. Marshall &amp; Stevens also performed their own independent search for other Guideline Companies and added them to the list provided by Rezolve. The criteria for selecting the Guideline Companies were mainly based upon each Guideline Company’s industry and business description.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Business descriptions and financial information are provided below for the selected Guideline Companies. The descriptions of these companies and the financial information for such companies set out below are derived from publicly available information and are summary in nature. Shareholders are referred to, and these summaries are qualified in full by reference to, the public reports filed by these companies with the SEC. Marshall &amp; Stevens has conducted no due diligence as to the truthfulness, accuracy or completeness of this information and makes no representation or warranty as to any such matter.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Shopify, Inc. (NYSE: SHOP)</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Shopify Inc., a commerce company, provides a commerce platform and services in Canada, the United States, Europe, the Middle East, Africa, the Asia Pacific, and Latin America. The company’s platform enables merchants to display, manage, market, and sell their products through various sales channels, including web and mobile storefronts, physical retail locations, pop-up shops, social media storefronts, native mobile apps, buy buttons, and marketplaces; and enables them to manage products and inventory, process orders and payments, fulfill and ship orders, identify new buyers and build customer relationships, source products, leverage analytics and reporting, manage cash, payments and transactions, and access financing. It also sells custom themes and apps, and registration of domain names; and merchant solutions, which include accepting payments, shipping and fulfillment, and securing working capital. The company was formerly known as Jaded Pixel Technologies Inc. and changed its name to Shopify Inc. in November 2011. Shopify Inc. was incorporated in 2004 and is headquartered in Ottawa, Canada.</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Trade Desk, Inc. (NasdaqGM: TTD)</w:t>
      </w:r>
    </w:p>
    <w:p>
      <w:pPr>
        <w:spacing w:after="0" w:line="121"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 Trade Desk, Inc. operates as a technology company in the United States and internationally. The company operates a self-service cloud-based platform that allows buyers to plan, manage, optimize, and measure data-driven digital advertising campaigns across various ad formats and channels, including video, display, audio, digital-out-of-home, native, and social on various devices, such as computers, mobile devices, televisions, and streaming devices. It also provides data and other value-added services. The company serves advertising agencies, brands, and other service providers for advertisers. The Trade Desk, Inc. was incorporated in 2009 and is headquartered in Ventura, California.</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HubSpot, Inc. (NYSE: HUBS)</w:t>
      </w:r>
    </w:p>
    <w:p>
      <w:pPr>
        <w:spacing w:after="0" w:line="12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HubSpot, Inc. provides a cloud-based customer relationship management (CRM) platform for businesses in the Americas, Europe, and the Asia Pacific. The company’s CRM platform includes marketing, sales, service, and content management systems, as well as integrated applications, such as search engine optimization, blogging, website content management, messaging, chatbots, social media, marketing automation, email, predictive lead scoring, sales productivity, knowledge base, commerce, conversation routing, video hosting, ticketing and helpdesk tools, customer NPS surveys, analytics, and reporting. It also offers professional services to educate and train customers on how to leverage its CRM platform, as well as phone and/or email and chat-based support services. The company serves mid-market business-to-business companies. HubSpot, Inc. was incorporated in 2005 and is headquartered in Cambridge, Massachusetts.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DLocal Limited (NasdaqGS: DLO)</w:t>
      </w:r>
    </w:p>
    <w:p>
      <w:pPr>
        <w:spacing w:after="0" w:line="121" w:lineRule="exact"/>
        <w:rPr>
          <w:sz w:val="20"/>
          <w:szCs w:val="20"/>
          <w:color w:val="auto"/>
        </w:rPr>
      </w:pPr>
    </w:p>
    <w:p>
      <w:pPr>
        <w:ind w:left="560" w:right="200"/>
        <w:spacing w:after="0" w:line="289" w:lineRule="auto"/>
        <w:rPr>
          <w:sz w:val="20"/>
          <w:szCs w:val="20"/>
          <w:color w:val="auto"/>
        </w:rPr>
      </w:pPr>
      <w:r>
        <w:rPr>
          <w:rFonts w:ascii="Times New Roman" w:cs="Times New Roman" w:eastAsia="Times New Roman" w:hAnsi="Times New Roman"/>
          <w:sz w:val="17"/>
          <w:szCs w:val="17"/>
          <w:color w:val="auto"/>
        </w:rPr>
        <w:t>DLocal Limited operates a payment processing platform worldwide. Its payments platform enables merchants to get paid and to make payments online. The company serves commerce, streaming, ride-hailing, financial services, advertising, software as a service, travel, e-learning, on-demand delivery, gaming, and crypto industries. DLocal Limited was founded in 2016 and is headquartered in Montevideo, Uruguay.</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DoubleVerify Holdings, Inc. (NYSE: DV)</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DoubleVerify Holdings, Inc. provides a software platform for digital media measurement, and analytics in the United States and internationally. The company provides solutions to advertisers unbiased data analytics that enable advertisers to increase the effectiveness, quality and return on their digital advertising investments. It also offers solutions including DV Authentic Ad, a metric of digital media quality, which evaluates the existence of fraud-free, brand-suitable, viewability, and geography for each digital ad; DV Authentic Attention solution that provides exposure and engagement predictive analytics to drive campaign performance; and Custom Contextual solution, which allows advertisers to match their ads to relevant content to maximize user engagement and drive campaign performance. In addition, it offers DV Publisher suite, a solution for digital publishers to manage revenue and increase inventory yield by improving video delivery, identifying lost or unfilled sales, and aggregate data across all inventory sources; and DV Pinnacle, a service and analytics platform user interface that allows its customers to adjust and deploy controls for their media plan and track campaign performance metrics across channels, formats, and devices. Further, the company software solutions are integrated in the digital advertising ecosystem, including programmatic platforms, social media channels, and digital publishers. It serves brands, publishers, and other supply-side customers covering various industry verticals, including consumer packaged goods, financial services, telecommunications, technology, automotive, and healthcare. DoubleVerify Holdings, Inc. was founded in 2008 and is headquartered in New York, New York.</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Sprout Social, Inc. (NasdaqCM: SPT)</w:t>
      </w:r>
    </w:p>
    <w:p>
      <w:pPr>
        <w:spacing w:after="0" w:line="121"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Sprout Social, Inc. designs, develops, and operates a web-based social media management platform in the Americas, Europe, the Middle East, Africa, and the Asia Pacific. It provides cloud software that brings together social messaging, data, and workflows in a unified system of record, intelligence, and action. The company offers various integrated tools in a range of functions comprising social engagement/response, publishing, reporting and analytics, social listening and business intelligence, reputation management, social commerce, employee advocacy, and automation and workflows. Its tools serve a range of use-cases within its customers’ organizations, including social and community management, public relations, marketing, customer service and care, commerce, sales, and customer acquisition, recruiting and hiring, product development, and business strategy. The company also offers professional services, which primarily consist of consulting and training services. It serves small-and-medium-sized businesses, mid-market companies, enterprises, marketing agencies, government, non-profit, and educational institutions. Sprout Social, Inc. was incorporated in 2010 and is headquartered in Chicago, Illinois.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Lightspeed Commerce Inc. (TSX: LSPD)</w:t>
      </w:r>
    </w:p>
    <w:p>
      <w:pPr>
        <w:spacing w:after="0" w:line="121" w:lineRule="exact"/>
        <w:rPr>
          <w:sz w:val="20"/>
          <w:szCs w:val="20"/>
          <w:color w:val="auto"/>
        </w:rPr>
      </w:pPr>
    </w:p>
    <w:p>
      <w:pPr>
        <w:ind w:left="560" w:right="220"/>
        <w:spacing w:after="0" w:line="255" w:lineRule="auto"/>
        <w:rPr>
          <w:sz w:val="20"/>
          <w:szCs w:val="20"/>
          <w:color w:val="auto"/>
        </w:rPr>
      </w:pPr>
      <w:r>
        <w:rPr>
          <w:rFonts w:ascii="Times New Roman" w:cs="Times New Roman" w:eastAsia="Times New Roman" w:hAnsi="Times New Roman"/>
          <w:sz w:val="18"/>
          <w:szCs w:val="18"/>
          <w:color w:val="auto"/>
        </w:rPr>
        <w:t>Lightspeed Commerce Inc. provides a commerce enabling Software as a Service (SaaS) platform for small and midsize businesses, retailers, restaurants, and golf course operators in Canada, the United States, Australia, the Netherlands, and other geographies. Its SaaS platform enables customers to engage with consumers, manage operations, accept payments, etc. The company’s cloud platforms are designed interrelated elements, such as omni-channel consumer experience, a comprehensive back-office operations management suite to improve customers’ efficiency and insight, and the facilitation of payments. Its platform functionalities include full omni-channel capabilities, point of sale (POS), product and menu management, employee and inventory management, analytics and reporting, multi-location connectivity, order-ahead and curbside pickup functionality, loyalty, and customer management solutions.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320"/>
        <w:spacing w:after="0" w:line="258" w:lineRule="auto"/>
        <w:rPr>
          <w:sz w:val="20"/>
          <w:szCs w:val="20"/>
          <w:color w:val="auto"/>
        </w:rPr>
      </w:pPr>
      <w:r>
        <w:rPr>
          <w:rFonts w:ascii="Times New Roman" w:cs="Times New Roman" w:eastAsia="Times New Roman" w:hAnsi="Times New Roman"/>
          <w:sz w:val="18"/>
          <w:szCs w:val="18"/>
          <w:color w:val="auto"/>
        </w:rPr>
        <w:t>also offers tailored financial solutions, such as Lightspeed Analytics; Lightspeed Payments; and Lightspeed Capital, a merchant cash advance program. In addition, it sells POS peripheral hardware, including tablets, customer facing displays, receipt printers, networking hardware, cash drawers, payment terminals, servers, stands, bar-code scanners, and an assortment of accessories, as well as provides installation and implementation services. The company was formerly known as Lightspeed POS Inc. and changed its name to Lightspeed Commerce Inc. in August 2021. Lightspeed Commerce Inc. was incorporated in 2005 and is headquartered in Montréal, Canada.</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EverCommerce Inc. (NasdaqGS: EVCM)</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EverCommerce Inc., together with its subsidiaries, provides integrated software-as-a-service solutions for service-based small and medium sized businesses in the United States and internationally. The company’s solutions include business management software that offers route-based dispatching, medical practice management, and gym member management solutions; billing and payment solutions comprising e-invoicing, mobile payments, and integrated payment processing; customer engagement applications, which include reputation management and messaging solutions; and marketing technology solutions that cover websites, hosting, and digital lead generation. It also provides EverPro suite of solutions in home services; EverHealth suite of solutions within health services; and EverWell suite of solutions in fitness and wellness services. In addition, the company offers professional services, such as implementation, configuration, installation, or training services. It serves home service professionals, including home improvement contractors and home maintenance technicians; physician practices and therapists in the health services industry; and personal trainers and salon owners in the fitness and wellness sectors. The company was formerly known as PaySimple Holdings, Inc. and changed its name to EverCommerce Inc. in December 2020. EverCommerce Inc. was incorporated in 2016 and is headquartered in Denver, Colorado.</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Sprinklr, Inc. (NYSE: CXM)</w:t>
      </w:r>
    </w:p>
    <w:p>
      <w:pPr>
        <w:spacing w:after="0" w:line="121"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Sprinklr, Inc. provides enterprise cloud software products worldwide. The company offers Unified Customer Experience Management platform, a purpose-built to analyze unstructured customer experience data, built to scale across future and modern channels, and integrates all stages of the customer journey. Its products include Sprinklr Insights that enables its customers to listen, learn from, and act on insights gleaned from modern channels; Sprinklr Service, a comprehensive, cloud-based, and AI-powered contact center as a service platform that enables customer service agents to service customers across digital, social, and voice channels; Sprinklr Marketing enables brands to streamline their marketing operations across the campaign lifecycle ability to derive insights and optimize their marketing and advertising strategies at scale; and Sprinklr Social helps customers listen to, triage, engage, and analyze conversations across modern channels. The company also provides professional, managed, training, and consultancy services. Sprinklr, Inc. was founded in 2009 and is headquartered in New York, New York.</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Amplitude, Inc. (NasdaqCM: AMPL)</w:t>
      </w:r>
    </w:p>
    <w:p>
      <w:pPr>
        <w:spacing w:after="0" w:line="121"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Amplitude, Inc. provides a digital analytics platform to analyze customer behavior within digital products in the United States and internationally. It offers Amplitude Analytics provides product, marketing, experience analytics, and AI-Driven alerts; Experimentation, a solution that integrates with analytics to plan, deliver, monitor, and analyze tests and product changes; Audience Management tools leverage the data in analytics to build audience lists through behavioral segmentation or machine learning powered predictions; and Data Streaming tools helps to move event data and user profiles to other tools in customers’ stacks in real-time to destinations, such as marketing platforms, ad networks, personalization engines, and others; and Amplitude CDP, an insight-driven solution that encompasses the data infrastructure, audience management, and data streaming capabilities. The company also provides customer support services related to initial implementation setup, ongoing support, and application training. It delivers its application over the Internet as a subscription service using a software-as-a-service model. The company was formerly known 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Sonalight, Inc. and changed its name to Amplitude, Inc. in December 2014. Amplitude, Inc. was incorporated in 2011 and is headquartered in San Francisco, California.</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Olo, Inc. (NYSE: OLO)</w:t>
      </w:r>
    </w:p>
    <w:p>
      <w:pPr>
        <w:spacing w:after="0" w:line="121" w:lineRule="exact"/>
        <w:rPr>
          <w:sz w:val="20"/>
          <w:szCs w:val="20"/>
          <w:color w:val="auto"/>
        </w:rPr>
      </w:pPr>
    </w:p>
    <w:p>
      <w:pPr>
        <w:ind w:left="560" w:right="140"/>
        <w:spacing w:after="0" w:line="254" w:lineRule="auto"/>
        <w:rPr>
          <w:sz w:val="20"/>
          <w:szCs w:val="20"/>
          <w:color w:val="auto"/>
        </w:rPr>
      </w:pPr>
      <w:r>
        <w:rPr>
          <w:rFonts w:ascii="Times New Roman" w:cs="Times New Roman" w:eastAsia="Times New Roman" w:hAnsi="Times New Roman"/>
          <w:sz w:val="18"/>
          <w:szCs w:val="18"/>
          <w:color w:val="auto"/>
        </w:rPr>
        <w:t>Olo Inc. operates an open SaaS platform for restaurants in the United States. The company’s platform enables on-demand digital commerce operations, which cover digital ordering, delivery, front-of-house management, and payments. Its solutions include Order, a suite of solutions powering restaurant brands’ on-demand commerce operations, enabling digital ordering, delivery, and channel management through ordering, dispatch, rails, switchboard, network, virtual brands, kiosk, catering, and sync modules; Engage, a suite of restaurant-centric marketing solutions optimizing guest lifetime value by strengthening and enhancing the restaurants’ direct guest relationships, through the guest data platform, marketing, sentiment, and host modules; and Pay, a frictionless payment platform that enables restaurants to grow and protect their digital business through customer payment experience that offers advanced fraud prevention to improve authorization rates for valid transactions, and increase basket conversion through its Olo Pay module. The company was formerly known as Mobo Systems, Inc. and changed its name to Olo Inc. in January 2020. Olo Inc. was incorporated in 2005 and is headquartered in New York, New York.</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BigCommerce Holdings, Inc. (NasdaqGM: BIGC)</w:t>
      </w:r>
    </w:p>
    <w:p>
      <w:pPr>
        <w:spacing w:after="0" w:line="121"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BigCommerce Holdings, Inc. operates a software-as-a-service platform for small businesses, mid-markets, and large enterprises in the United States, Europe, the Middle East, Africa, the Asia-Pacific, and other geographies. The company’s platform provides various services for launching and scaling e-commerce operation, including store design, catalog management, hosting, checkout, order management, reporting, and pre-integrations. It serves online stores across industries. The company was founded in 2009 and is headquartered in Austin, Texas.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VTEX (NYSE: VTEX)</w:t>
      </w:r>
    </w:p>
    <w:p>
      <w:pPr>
        <w:spacing w:after="0" w:line="12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VTEX provides a software-as-a-service digital commerce platform for enterprise brands and retailers. Its platform enables customers to execute their commerce strategy, including building online stores, integrating, and managing orders across channels, and creating marketplaces to sell products from third-party vendors. It has operations in Brazil, Argentina, Chile, Colombia, France, Italy, Mexico, Peru, Portugal, Romania, Spain, the United Kingdom, and the United States. VTEX was founded in 2000 and is headquartered in London, the United Kingdom.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Marshall &amp; Stevens reviewed, among other things, the Guideline Companies’ enterprise value as a multiple of revenues and EBITDA for the years ending December 31, 2023, December 31, 2024, and December 31, 2025 forecast for each Guideline Company. The Guideline Company multiples were then size-adjusted based on a comparison to the respective deciles, and the respective equity risk premium, to which each Guideline Company was classified compared to the 7th decile utilized for Rezolve.</w:t>
      </w:r>
    </w:p>
    <w:p>
      <w:pPr>
        <w:spacing w:after="0" w:line="180" w:lineRule="exact"/>
        <w:rPr>
          <w:sz w:val="20"/>
          <w:szCs w:val="20"/>
          <w:color w:val="auto"/>
        </w:rPr>
      </w:pPr>
    </w:p>
    <w:p>
      <w:pPr>
        <w:ind w:left="120" w:right="140" w:firstLine="440"/>
        <w:spacing w:after="0" w:line="230" w:lineRule="auto"/>
        <w:rPr>
          <w:sz w:val="20"/>
          <w:szCs w:val="20"/>
          <w:color w:val="auto"/>
        </w:rPr>
      </w:pPr>
      <w:r>
        <w:rPr>
          <w:rFonts w:ascii="Times New Roman" w:cs="Times New Roman" w:eastAsia="Times New Roman" w:hAnsi="Times New Roman"/>
          <w:sz w:val="18"/>
          <w:szCs w:val="18"/>
          <w:color w:val="auto"/>
        </w:rPr>
        <w:t>Given the expected growth profile of Rezolve, the year ending December 31, 2024 forecasted value indications utilizing the enterprise value as a multiple of revenues and EBITDA were weighted 50.0% each to arrive at the final range of value and the average of the minimum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multiples were selected. The indication of enterprise value for Rezolve using the guideline public company method in the final value conclusion was estimated to be between approximately $1,645,000,000 to $1,995,000,000.</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 Transaction Analysis</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market transaction method is a variation of the market approach where transactions involving the actual sale or purchase of the Rezolve’s enterprise value, or the enterprise value of similar companies are analyzed to provide an indication of fair value. In the present instance, our transaction search did not yield any comparable transactions, so we did not consider the Guideline Transaction Method in the formation of our opinion.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Reconciled Conclusion of Value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considered the discounted cash flow method and the guideline public company method. A 75.0% weighting was placed on the discounted cash flow method given the detailed forecast provided by Rezolve management, while a 25.0% weighting was placed on the guideline public company method.</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Giving the weighing discussed above, Marshall &amp; Stevens concluded a final enterprise value range of approximately $1,595,000,000 to $1,885,000,000.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Northland</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Armada retained Northland Securities, Inc. (“Northland”), to act as its financial advisor in connection with the Business Combination. In selecting Northland, Armada considered, among other things, Northland’s qualifications, expertise, reputation, and knowledge of Armada’s business and the industry in which Rezolve operates.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16, 2021, Northland rendered its oral and written opinion to Armada’s board of directors, and on March 31, 2022, Northland rendered an updated oral and written opinion stating that, as of the date of the letter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w:t>
      </w:r>
    </w:p>
    <w:p>
      <w:pPr>
        <w:spacing w:after="0" w:line="17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The full text of Northland’s updated written opinion letter, dated as of March 31, 2022 , is attached as Annex H. You should read Northland’s opinion letter carefully and in its entirety for a discussion of, among other things, the scope of the review undertaken, and the assumptions made, procedures followed, matters considered and qualifications and limitations upon the review undertaken by Northland in connection with its opinion. This summary is qualified in its entirety by reference to the full text of the opinion letter. Northland’s opinion letter was directed to Armada’s board of directors, in its capacity as the board of directors, and addressed only (a) the fairness from a financial point of view, as of March 31, 2022, to Armada of the aggregate stock consideration under the Business Combination Agreement and (b) whether Rezolve has a fair market value equal to at least 80% of the balance of funds in Armada’s Trust Account (excluding underwriting commissions and taxes payable). The opinion letter does not constitute a recommendation as to how any stockholder should vote with respect to the Business Combination or any other matter and does not in any manner address the price at which Armada’s securities will trade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5284470</wp:posOffset>
            </wp:positionH>
            <wp:positionV relativeFrom="paragraph">
              <wp:posOffset>-1135380</wp:posOffset>
            </wp:positionV>
            <wp:extent cx="285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arriving at its opinion, Northland conducted such analyses, examinations, and inquiries and considered such other financial, economic and market criteria as it deemed necessary. Northland, among other things:</w:t>
      </w:r>
    </w:p>
    <w:p>
      <w:pPr>
        <w:spacing w:after="0" w:line="67" w:lineRule="exact"/>
        <w:rPr>
          <w:sz w:val="20"/>
          <w:szCs w:val="20"/>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the draft of the Business Combination Agreement, dated March 8, 2022;</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Armada’s Registration Statement on Form S-1, as amended, and Final Prospectus filed under Rule 424;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Armada’s Quarterly Report on Form 10-Q and other reports filed with the Securities and Exchange Commission;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historical financial statements for the calendar year ended December 31, 2020;</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revised projected financial statements for the calendar years ending December 31, 2021 – December 31, 2024, which were revised by Rezolve in March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roadshow presentation dated December 2021;</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financial and business information provided to Northland by Armada, Rezolve, and their advisors;</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information, estimates, and financial and operations forecasts for Rezolve, prepared by Rezolve or Armada management;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press releases issued by Armada and Rezolve;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and commercial due diligence reports prepared by KPMG;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side letter between Armada Sponsor LLC and Rezolve, dated March 28, 2022;</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information above with members of Armada’s management and had discussions concerning the information referred to above and the background and other elements of the Business Combination, the financial condition, current operating results, and business outlook for Armada and Rezolve; and</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certain valuation and comparative analyses using generally accepted valuation and analytical techniques including an analysis of selected public companies that Northland deemed relevant and an analysis of selected precedent transactions that Northland deemed relevant.</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Northland relied upon the assessments of the management of Armada, as the case may be, as to, among other things, the potential impact on Armada and Rezolve of macroeconomic, geopolitical, market, competitive, and other conditions, trends, and developments in and prospects for, and governmental, regulatory and legislative matters relating to or otherwise affecting, the high-growth payments, e-commerce enablement, and high-growth marketing technology industries, including supply and demand for raw materials and supply chain availability, which may be subject to significant volatility and which, if different than assumed could have a material impact on Northland’s analyses or opinion, the offerings, technology, and intellectual property, as the case may be, of Rezolve and associated risks (including, without limitation, the validity and duration of intellectual property rights relating to, and the useful life of, Rezolve’s offerings, services, and technology systems). Northland assumed that there would be no developments with respect to any such matters that would be meaningful in any respect to its analyses or opinion. In its review and analysis and in arriving at its opinion, Northland assumed and relied on the accuracy and completeness of all of the financial, business, and other information provided to or otherwise discussed with Northland or publicly available. Northland was not engaged to, and did not independently attempt to, verify any of such information. Northland also relied upon information provided by Armada’s management as to the reasonableness and achievability of the financial projections (and the assumptions and bases therefor) provided to Northland, and, with Armada’s consent, Northland assumed that the projections were reasonably prepared and reflect the best currently available estimates and judgments of Armada’s management. Northland was not engaged to assess the reasonableness or achievability of the projections or the assumptions on which they were based, and Northland expressed no view as to such projections or assumptions. In addition, Northland did not conduct a physical inspection or appraisal of any of the assets, properties or facilities owned by Rezolve, and Northland was not furnished with any such evaluation or appraisal. Northland also assumed that all governmental, regulatory, or other consents and approvals necessary for the consummation of the Business Combination would be obtained without any material adverse effect on Armada, Rezolve, or the Business Combination.</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aggregate stock consideration was determined through arm’s-length negotiations between Armada and Rezolve and was approved by the Armada board of directors. Northland did not recommend any specific consideration to Armada or the Armada board of directors or suggest that any specific consideration constituted the only appropriate consideration for the Business Combination, including but not limited to the aggregate stock consideration. In addition, Northland’s opinion and financial analyses were one of many factors taken into consideration by the Armada board of directors in evaluating the Business Combination. In rendering its opinion, Northland assumed, with Armada’s consent, that the final executed form of the Business Combination Agreement would not differ in any material respect from the drafts that Northland examined, and that the conditions to the Business Combination in the Business Combination Agreement will be satisfied and that the Business Combination will be consummated on a timely basis in the manner contemplated by the Business Combination Agreement. Northland was not requested to opine as to, and its opinion did not address, the basic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business decision to proceed with or effect the Business Combination. Northland was not asked to, nor did Northland, offer any opinion as to the material terms of the Business Combination Agreement or the form of the Business Combination. Northland expressed no opinion or view as to the relative merits of the Business Combination as compared to any alternative business strategies or transactions that might exist for Armada or the effect of any other transaction in which Armada might engage. Northland did not render any financial, legal, accounting or other advice and Northland relied on the assumptions of the management of Armada as to all accounting, tax, regulatory, legal and similar matters with respect to Armada, Rezolve, or the Business Combination, including, without limitation, as to tax or other consequences of the Business Combination or otherwise or changes in, or the impact of, accounting standards, or tax and other laws, regulations, and governmental and legislative policies affecting Armada, Rezolve, or the Business Combination and Northland assumed that Armada obtained advice as to such matters from appropriate professionals. The issuance of Northland’s opinion was approved by the Northland Fairness Opinion Committee.</w:t>
      </w:r>
    </w:p>
    <w:p>
      <w:pPr>
        <w:spacing w:after="0" w:line="188" w:lineRule="exact"/>
        <w:rPr>
          <w:sz w:val="20"/>
          <w:szCs w:val="20"/>
          <w:color w:val="auto"/>
        </w:rPr>
      </w:pPr>
    </w:p>
    <w:p>
      <w:pPr>
        <w:jc w:val="both"/>
        <w:ind w:left="120" w:right="500" w:firstLine="440"/>
        <w:spacing w:after="0" w:line="272" w:lineRule="auto"/>
        <w:rPr>
          <w:sz w:val="20"/>
          <w:szCs w:val="20"/>
          <w:color w:val="auto"/>
        </w:rPr>
      </w:pPr>
      <w:r>
        <w:rPr>
          <w:rFonts w:ascii="Times New Roman" w:cs="Times New Roman" w:eastAsia="Times New Roman" w:hAnsi="Times New Roman"/>
          <w:sz w:val="17"/>
          <w:szCs w:val="17"/>
          <w:color w:val="auto"/>
        </w:rPr>
        <w:t>Northland’s opinion was based on economic and market conditions and other circumstances existing on, and information made available to Northland as of, March 30, 2021 and does not address any matters subsequent to such date. Northland’s opinion was limited to the fairness from a financial point of view, as of the date of the opinion, to Armada of the aggregate stock consideration under the Business Combination Agreement.</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Although subsequent developments may affect Northland’s opinion, Northland does not have any obligation to update, revise, or reaffirm its opinion.</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Northland in arriving at its opinion. Northland’s opinion letter was only one of many factors considered by the board of directors in evaluating the Business Combination. Neither Northland’s opinion nor its financial analyses were determinative of the aggregate stock consideration or of the views of Armada’s board of directors or Armada’s management with respect to the aggregate stock consideration or the Business Combination. None of the analyses performed by Northland were necessarily assigned a greater significance by Northland than any other, nor does the order of analyses described represent relative importance or weight given to those analyses by Northland. The summary text describing each financial analysis does not constitute a complete description of Northland’s financial analyses, including the methodologies and assumptions underlying the analyses, and if viewed in isolation could create a misleading or incomplete view of the financial analyses performed by Northland. The summary text set forth below does not represent and should not be viewed by anyone as constituting conclusions reached by Northland with respect to any of the analyses performed by it in connection with its opinion. Rather, Northland made its determination as to the fairness, from a financial point of view, to Armada of the aggregate stock consideration under the Business Combination Agreement. As the board of directors of Amanda was aware, Northland did not conduct a discounted cash flow analysis of Rezolve given, based on discussions with the management of Armada, limited long-term financial projections and estimates for Rezolve.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Selected Publicly Traded Companies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Northland performed a selected public companies analysis of Rezolve in which Northland reviewed certain financial and stock market information relating to Rezolve and the following 10 selected publicly traded high-growth payments, e-commerce enablement, and high-growth marketing technology companies with market capitalizations of more than $200 million that Northland considered generally relevant for purposes of analysis, collectively referred to as the “Rezolve selected companies”:</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 Amplitude,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 Lightspeed Commerce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 BigCommerce Holdings,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 Shopify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 DLocal Limited</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 Sprout Social,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 EverCommerce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Trade Desk,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 HubSpot,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 VTEX</w:t>
            </w:r>
          </w:p>
        </w:tc>
      </w:tr>
    </w:tbl>
    <w:p>
      <w:pPr>
        <w:spacing w:after="0" w:line="21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Northland reviewed, among other information and to the extent publicly available and meaningful, enterprise values of the Rezolve selected companies, calculated as implied equity values based on closing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prices on March 30, 2022 plus total debt, preferred equity, and non-controlling interests (as applicable) and less cash and cash equivalents, as multiples of such companies’ calendar year 2021 actual revenue, and calendar years 2022 and 2023 estimated revenue. Financial data of the Rezolve selected companies were based on publicly available Wall Street research analysts’ estimates, public filings, and other publicly available information. Because Rezolve’s audited financial statements for the year ended December 31, 2021 were not finalized at the time of Northland’s analysis, Northland used estimated revenues of Rezolve for that year. Financial data for Rezolve was based on financial projections and estimates of Armada’s management. Northland applied a 25% private company discount to the equity value of the Rezolve selected companies.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discounted overall low to high calendar year 2021 actual and calendar years 2022 and 2023 estimated revenue multiples observed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selected companies were as follows:</w:t>
      </w:r>
    </w:p>
    <w:p>
      <w:pPr>
        <w:spacing w:after="0" w:line="112" w:lineRule="exact"/>
        <w:rPr>
          <w:sz w:val="20"/>
          <w:szCs w:val="20"/>
          <w:color w:val="auto"/>
        </w:rPr>
      </w:pPr>
    </w:p>
    <w:p>
      <w:pPr>
        <w:ind w:left="1080" w:hanging="532"/>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2021 actual revenue multiples: low to high of 13.2x to 22.0x (with a mean of 16.5x and a median of 14.4x)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2022 estimated revenue multiples: low to high of 10.1x to 16.5x (with a mean of 12.5x and a median of 10.9x)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2023 estimated revenue multiples: low to high of 7.6x to 13.1x (with a mean of 9.8x and a median of 8.5x)</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Northland then applied the calendar years 2021 actual and 2022 and 2023 estimated revenue multiples described above derived from the Rezolve selected companies to corresponding data of Rezolve. This analysis indicated approximate implied aggregate enterprise value reference ranges for Rezolve of $383 million to $2,282 million, $885 million to $3,935 million, and $1,419 million to $5,723 million based on calendar year 2021 actual revenues, and calendar years 2022 and 2023 estimated revenues, respectively.</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 company used in the comparable company analysis is identical to Rezolve. In evaluating selected publicly traded companies, Northland made judgments and assumptions with regard to industry performance, general business, economic, market and financial conditions and other matters which are beyond Armada’s control, such as the impact of competition on Rezolve and the industry generally, industry growth and the absence of any adverse material change in Armada’s financial conditions and prospects or those of Rezolve or the industry or the financial markets in general.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Selected Precedent Transactions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Northland reviewed financial data relating to the following 13 selected transactions that Northland considered generally relevant for purposes of analysis as transactions that closed between January 1, 2018 and March 30, 2022 involving target companies within the high-growth payments, e-commerce enablement, and high-growth marketing technology industries and implied enterprise values of less than $10 billion, collectively referred to as the “selected precedent transactions”: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220" w:type="dxa"/>
            <w:vAlign w:val="bottom"/>
          </w:tcPr>
          <w:p>
            <w:pPr>
              <w:spacing w:after="0"/>
              <w:rPr>
                <w:sz w:val="16"/>
                <w:szCs w:val="16"/>
                <w:color w:val="auto"/>
              </w:rPr>
            </w:pPr>
          </w:p>
        </w:tc>
        <w:tc>
          <w:tcPr>
            <w:tcW w:w="37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Buyer / Seller</w:t>
            </w:r>
          </w:p>
        </w:tc>
        <w:tc>
          <w:tcPr>
            <w:tcW w:w="320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91"/>
        </w:trPr>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Global-e Online Ltd.</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Flow Commerce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Thoma Bravo, L.P.</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Medallia,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Ecwid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Constant Contact,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SharpSpring,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July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Stne Participacoes S.A.</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Linx S.A.</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June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FTAC Olympus Acquisition Corp.</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Payoneer Global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June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Just Eat Takeaway.com N.V.</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Grubhub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April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Vend Limited</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2020</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Shopkeep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Vista Equity Partners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MINDBODY,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January 2019</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Cision Ltd.</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Trendkite,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PayPal Holdings,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iZettle AB</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May 2018</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GTCR, Sycamore Partners Management</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Commerce Technologies, LLC</w:t>
            </w:r>
          </w:p>
        </w:tc>
      </w:tr>
      <w:tr>
        <w:trPr>
          <w:trHeight w:val="365"/>
        </w:trPr>
        <w:tc>
          <w:tcPr>
            <w:tcW w:w="3860" w:type="dxa"/>
            <w:vAlign w:val="bottom"/>
          </w:tcPr>
          <w:p>
            <w:pPr>
              <w:spacing w:after="0"/>
              <w:rPr>
                <w:sz w:val="24"/>
                <w:szCs w:val="24"/>
                <w:color w:val="auto"/>
              </w:rPr>
            </w:pPr>
          </w:p>
        </w:tc>
        <w:tc>
          <w:tcPr>
            <w:tcW w:w="3740" w:type="dxa"/>
            <w:vAlign w:val="bottom"/>
            <w:gridSpan w:val="2"/>
          </w:tcPr>
          <w:p>
            <w:pPr>
              <w:jc w:val="right"/>
              <w:ind w:right="1879"/>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Northland reviewed transaction values in the selected precedent transactions, based on the consideration paid in such transactions, as multiples of the target company’s most recent publicly reported last 12 months revenue, referred to as “LTM,” and next 12 months revenue estimates, referred to as “NTM,” available as of the closing date of the relevant transaction. Financial data of the selected precedent transactions were based on publicly available Wall Street research analysts’ estimates, public filings, and other publicly available information. Financial data for Rezolve was based on financial projections and estimates of Armada’s management.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overall low to high LTM revenue multiples observed for the selected precedent transactions were 5.6x to 27.3x (with a mean of 13.0x and a median of 9.5x). Northland then applied the low to high of the LTM revenue multiples derived from the selected precedent transactions to corresponding data of Rezolve using Rezolve’s estimated 2021 revenues rather than LTM. This analysis indicated an approximate implied aggregate enterprise value reference range for Rezolve of $429 million to $2,078 million. The overall low to high NTM revenue multiples observed for the selected precedent transactions were 4.8x to 10.9x (with a mean of 7.3x and a median of 6.8x). Northland then applied the low to high of the NTM revenue multiples derived from the selected precedent transactions to corresponding data of Rezolve using Rezolve’s estimated 2022 revenues rather than NTM. This analysis indicated an approximate implied aggregate enterprise value reference range for Rezolve of $1,049 million to $2,399 million.</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No transaction used in the analysis of comparable transactions is identical to Rezolve or the Business Combination. In evaluating the precedent transactions, Northland made judgments and assumptions with regard to general business, market and financial conditions and other matters, which are beyond Armada’s control. These include, among other things, the impact of competition on the business of Rezolve or the industry generally, industry growth and the absence of any adverse material change in the financial condition of Rezolve or the industry or in the financial markets in general, which could affect the public trading value of the companies and the aggregate value and enterprise value of the transactions to which they are being compared.</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Northland did not draw, in isolation, conclusions from or with regard to any factor or analysis that it considered. Rather, Northland made its determination as to fairness on the basis of its experience and professional judgment after considering the results of all of the analyses.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Northland’s services as Armada’s financial advisor in connection with the Business Combination, Armada paid Northland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fees of $120,000, which were payable upon the delivery of Northland’s original opinion and revised opinion. Armada will pay Northland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$1,030,000 upon the closing of Business Combination, which amount is not payable if the Business Combination does not close. In addition,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has agreed to reimburse Northland for certain of its expenses and to indemnify Northland and related persons against various potential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including certain liabilities that may arise in connection with Northland’ engagement. On August 12, 2021, Northland entered into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Underwriting Agreement with Armada, under which Northland received 1% of the gross proceeds of Armada’s initial public offering. Such amount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totaled $1,500,000. On August 12, 2021, Northland entered into a Business Combination Marketing Agreement with Armada, under which Northland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entitled to receive (a) a cash advisory fee of 2.25% of the gross proceeds of Armada’s initial public offering; (b) a capital markets advisory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$2,500,000; and (c) a finder fee equal to 1% of the total consideration if Northland introduces Armada to a target with which a business combination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completed. Because Northland did not introduce Armada to Rezolve, Northland will not receive the finder fee in connection with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The fees under the Business Combination Marketing Agreement are payable upon the closing of Armada’s initial business combination.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17"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entry into the Business Combination Agreement, dated as of December 17, 2021, as amended on November 10, 2022 and as further amended and restated on June 16, 2023 (the “Business Combination Agreement”), by and among Armada, Rezolve, Rezolve Limited, and Rezolve Merger Sub, be confirmed, ratified and approved in all respects.”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on the approval of the Business Combination Proposal, the Nasdaq Proposal and the Incentive Equity Plan Proposal at the Special Meeting. The proposals in this proxy statement/prospectus (other than the Adjournment Proposal) are conditioned on the approval of the Business Combination Proposal.</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Business Combination Proposal (and consequently, the Business Combination Agreement and the transactions contemplated thereby, including the Business Combination) will be adopted and approved only if at least a majority of the votes cast at the Special Meeting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w:t>
      </w:r>
    </w:p>
    <w:p>
      <w:pPr>
        <w:spacing w:after="0" w:line="179"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Our Sponsor has agreed to vote its shares of Armada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Business Combination Proposal. As of the record date, our Sponsor owns approximately 74.95% of our issued and outstanding shares of Armada Common Stock.</w:t>
      </w:r>
    </w:p>
    <w:p>
      <w:pPr>
        <w:spacing w:after="0" w:line="15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THE ARMADA STOCKHOLDERS VOTE “FOR” THE APPROVAL OF THE BUSINESS COMBINATION PROPOSAL.</w:t>
      </w:r>
    </w:p>
    <w:p>
      <w:pPr>
        <w:spacing w:after="0" w:line="15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p>
    <w:p>
      <w:pPr>
        <w:spacing w:after="0" w:line="1" w:lineRule="exact"/>
        <w:rPr>
          <w:sz w:val="20"/>
          <w:szCs w:val="20"/>
          <w:color w:val="auto"/>
        </w:rPr>
      </w:pPr>
    </w:p>
    <w:p>
      <w:pPr>
        <w:ind w:left="5480" w:right="3640" w:hanging="5373"/>
        <w:spacing w:after="0" w:line="433" w:lineRule="auto"/>
        <w:rPr>
          <w:sz w:val="20"/>
          <w:szCs w:val="20"/>
          <w:color w:val="auto"/>
        </w:rPr>
      </w:pPr>
      <w:r>
        <w:rPr>
          <w:rFonts w:ascii="Times New Roman" w:cs="Times New Roman" w:eastAsia="Times New Roman" w:hAnsi="Times New Roman"/>
          <w:sz w:val="18"/>
          <w:szCs w:val="18"/>
          <w:i w:val="1"/>
          <w:iCs w:val="1"/>
          <w:color w:val="auto"/>
        </w:rPr>
        <w:t>— Interests of Armada’s Directors and Officers in the Business Combination</w:t>
      </w:r>
      <w:r>
        <w:rPr>
          <w:rFonts w:ascii="Times New Roman" w:cs="Times New Roman" w:eastAsia="Times New Roman" w:hAnsi="Times New Roman"/>
          <w:sz w:val="18"/>
          <w:szCs w:val="18"/>
          <w:color w:val="auto"/>
        </w:rPr>
        <w:t>” for a further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Rezolve Ordinary Shares or Rezolve Warrants. They do not purport to provide any analysis of the UK tax consequences of the Business Combination.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Rezolve Ordinary Shares or Rezolve Warrants as an investment and who are the absolute beneficial owners of the Rezolve Ordinary Shares or Rezolve Warrants. The statements do not apply to special categories of holders such as dealers in securities, insurance companies, collective investment schemes, charities, exempt pension funds or holders who have, or are deemed to have, acquired their Rezolve Ordinary Shares or Rezolve Warrants by virtue of an office or employment.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Holders who are not resident in the UK will not generally be subject to UK taxation of capital gains on the disposal or deemed disposal of Rezolve Ordinary Shares or Rezolve Warrants unless they are carrying on a trade, profession or vocation in the UK through a branch or agency there (or, in the case of a company, they are carrying on a trade in the UK through a permanent establishment there) in connection with which the Rezolve Ordinary Shares or Rezolve Warrants are used, held or acquired. Non-UK tax resident holders may be subject to non-UK taxation on any gain under local law.</w:t>
      </w:r>
    </w:p>
    <w:p>
      <w:pPr>
        <w:spacing w:after="0" w:line="16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Rezolve Ordinary Shares or Rezolve Warrants during that period may be liable to capital gains tax on his or her return to the UK, subject to any available exemptions or reliefs.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Rezolve Ordinary Shares are used by, or held by or for, that UK permanent establishment). Rezolve shareholders resident outside the UK should consult their own tax adviser concerning their tax position on dividends received from Rezolve.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Rezolve Ordinary Shares.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 agreement to transfer Rezolve Ordinary Shares or Rezolve Warrants will normally give rise to a charge to UK SDRT at the rate of 0.5% of the amount or value of the consideration payable for the transfer. SDRT is, in general, payable by the purchaser. Instruments transferring Rezolve Ordinary Shares or Rezolve Warrants will generally be subject to UK stamp duty at the rate of 0.5% of the consideration given for the transfer (rounded up to the next £5). The purchaser normally pays the stamp duty. Any SDRT should be cancelled and any SDRT that has been paid should be repaid where an instrument of transfer has been executed in respect of the transfer of securities (and certain conditions are met).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transfer of existing Rezolve Ordinary Shares or Rezolve Warrants to a depository trust company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Rezolve Ordinary Shares or Rezolve Warrants within the facilities of the DTC.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This section describes the material U.S. federal income tax considerations for beneficial owners of Armada Common Stock and Armada Warrants (collectively, the “Armada securities”) (i) electing to have their Armada Common Stock redeemed for cash if the Business Combination is completed,</w:t>
      </w:r>
    </w:p>
    <w:p>
      <w:pPr>
        <w:spacing w:after="0" w:line="1" w:lineRule="exact"/>
        <w:rPr>
          <w:sz w:val="20"/>
          <w:szCs w:val="20"/>
          <w:color w:val="auto"/>
        </w:rPr>
      </w:pPr>
    </w:p>
    <w:p>
      <w:pPr>
        <w:ind w:left="120" w:hanging="4"/>
        <w:spacing w:after="0" w:line="252" w:lineRule="auto"/>
        <w:tabs>
          <w:tab w:leader="none" w:pos="38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Business Combination and (iii) of the ownership and disposition of Rezolve AI Limited, a private limited company organized under the law of England and Wales (“Rezolve”) Ordinary Shares and Rezolve Warrants acquired pursuant to the Business Combination. This discussion applies only to Armada securities and Rezolve Ordinary Shares and Rezolve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95"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other investors that do not own their Armada securities, Rezolve Ordinary Shares or Rezolve Warrants as capital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Rezolve Ordinary Shares;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Armada securities, Rezolve Ordinary Shares or Rezolve Warrants as part of a straddle, hedging or conversion transaction, constructive sale, or other arrangement involving more than one position;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Armada securities, Rezolve Ordinary Shares or Rezolve Warrants as a result of such income being recognized on an applicable financial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Armada securities, Rezolve Ordinary Shares or Rezolve Warrants as compensation for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Armada securities, Rezolve Ordinary Shares or Rezolve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9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Armada securities, Rezolve Ordinary Shares or Rezolve Warrants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Holders who are not U.S. holders should consult with their own tax advisors regarding the U.S. federal income tax consequences of exercising redemption rights, of the Business Combination, and of holding Rezolve Securities, including U.S. federal withholding tax that may be imposed on any amounts received on a redemption of Armada Common Stock that are characterized as dividends for U.S. federal income tax purposes and the consequences of holding Armada Securities or Rezolve Securities for non-U.S. holders who are engaged in a trade or business within the United States.</w:t>
      </w:r>
    </w:p>
    <w:p>
      <w:pPr>
        <w:spacing w:after="0" w:line="16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ALL HOLDERS OF ARMADA SECURITIES SHOULD CONSULT WITH THEIR OWN TAX ADVISORS REGARDING THE TAX CONSEQUENCES TO THEM OF THE BUSINESS COMBINATION AND CONSIDERATIONS RELATING TO THE OWNERSHIP AND DISPOSITION OF REZOLVE ORDINARY SHARES AND REZOLVE WARRANTS, INCLUDING THE EFFECTS OF U.S. FEDERAL, STATE, AND LOCAL AND NON-U.S.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Treatment of Rezolve</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A corporation is generally considered for U.S. federal income tax purposes to be a tax resident in the jurisdiction of its organization or incorporation. Accordingly, under the generally applicable U.S. federal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tax rules, Rezolve, which is organized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Section 7874,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is met: (i) the non-U.S. corporation, directly or indirectly, acquires substantially all of the properties held directly or indirectly by a U.S. corporation (including through the acquisition of all of the outstanding shares of the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former stockholders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“80% ownership test”).</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purposes of Section 7874, the first condition described above will be met with respect to the Business Combination because Rezolve will acquire indirectly all of the assets of Armada through the Business Combination, and it is unclear whether Rezolve, including its “expanded affiliated group,” is expected to satisfy the substantial business activities test upon consummation of the Business Combination. As a result, whether Section 7874 will apply to cause Rezolve to be treated as a U.S. corporation for U.S. federal income tax purposes following the Business Combination should depend on the satisfaction of the 80% ownership test.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and the Treasury Regulations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promulgated thereunder, and certain factual assumptions, Armada and Rezolve currently expect that the Section 7874 ownership percentage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stockholders in Rezolve should be less than 80%. Accordingly, Rezolve is not currently expected to be treated as a U.S. corporation for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 under Section 7874. However, whether the 80% ownership test has been satisfied must be finally determined 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completion of the Business Combination, by which time there could be adverse changes to the relevant facts and circumstances or facts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circumstances of which Armada and Rezolve are not currently aware. Further, for purposes of determining the ownership percentage of former Armada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for purposes of Section 7874, former Armada stockholders will be deemed to own an amount of Rezolve Ordinary Shares in respect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redemptions by Armada prior to the Business Combination. In addition, as discussed above, the rules for determining ownership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7874 are complex, unclear and the subject of ongoing regulatory change. Accordingly, there can be no assurance that Rezolve will not be treated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U.S. corporation for U.S. federal income tax purposes under Section 7874 of the Code.</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Rezolve were to be treated as a U.S. corporation for U.S. federal income tax purposes, it could be subject to substantial liability for additional U.S. income taxes, and the gross amount of any dividend payments to its non-U.S. holders could be subject to 30% U.S. withholding tax, depending on the application of any income tax treaty that might apply to reduce the withholding tax.</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Rezolve will not be treated as a U.S. corporation for U.S. federal income tax purposes under Section 7874 of the Code.</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Section 7874 contains an alternative set of rules that results in a non-U.S. corporation being treated as a “surrogate foreign corporation” and an acquired U.S. corporation being treated as an “expatriated entity,” if the first two conditions described above are met but former shareholders of the acquired U.S. corporation hold 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least sixty percent (60%) but less than eighty percent (80%) (by vote or value) of the shares of the non-U.S. acquiror by reason of holding shares of the U.S. acquired corporation as determined for purposes of Section 7874 (this test is referred to as the “60% ownership test”).</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and the Treasury Regulations promulgated thereunder, and certain factual assumptions, Armada and Rezolve currently expect that the Section 7874 ownership percentage of the Armada stockholders in Rezolve should be less than 60%. Accordingly, Rezolve is not currently expected to be treated as a surrogate foreign corporation and Armada is not expected to be treated as an expatriated entity under Section 7874. However, whether the 60% ownership test has been satisfied must be finally determined after completion of the Business Combination, by which time there could be adverse changes to the relevant facts and circumstances or facts and circumstances of which Armada and Rezolve are not currently aware. Further, as discussed above, for purposes of determining the ownership percentage of former Armada stockholders, former Armada stockholders will be deemed to own an amount of Rezolve Ordinary Shares in respect to certain redemptions by Armada prior to the Business Combination. In addition, as discussed above, the rules for determining ownership under Section 7874 are complex, unclear and the subject of ongoing regulatory change. Accordingly, there can be no assurance that Section 7874 ownership percentage of Armada stockholders in Rezolve will be less than 60%.</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Armada were treated as an expatriated entity, then certain items of its taxable income that constitute “inversion gain” (generally gain from the transfer of shares or other property that is not inventory and income from the license of property to related foreign persons) recognized during the ten year period following the inversion transaction would not be offset by its tax attributes, if any, including foreign tax credit or net operating loss carryforwards. Additionally, if Rezolve were treated as a surrogate foreign corporation, any dividends paid by Rezolve to U.S. holders who are individuals would not be eligible for the reduced rate of tax on qualified dividend income under Section 1(h)(11)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Qualification of the Business Combination as a Reorganization</w:t>
      </w:r>
    </w:p>
    <w:p>
      <w:pPr>
        <w:spacing w:after="0" w:line="11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The Business Combination is intended to qualify as a reorganization under Section 368(a) of the Code (a “Reorganization”). 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prevent a substantial part of the value of the propriety interests in Armada from being preserved for this purpose. If it is not so preserved, then the Business Combination would not qualify as a Reorganization.</w:t>
      </w:r>
    </w:p>
    <w:p>
      <w:pPr>
        <w:spacing w:after="0" w:line="19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Neither Rezolve, Armada, nor any other party to the Business Combination Agreement makes any representations or provides any assurances regarding the tax treatment of the Business Combination, including whether the Business Combination qualifies as Reorganization, or any related transactions. Furthermore, because of the legal and factual uncertainties described above,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LIGHT OF THE FOREGOING AND BECAUSE THE FOLLOWING DISCUSSION IS INTENDED AS A GENERAL SUMMARY ONLY, EACH HOLDER OF ARMADA SHARES OR WARRANTS IS URGED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CONSULT SUCH HOLDER’S OWN TAX ADVISOR REGARDING THE TAX CONSEQUENCES OF THE BUSINESS COMBINATION AND OF HOLDING REZOLVE SHARES OR WARRANTS, INCLUDING STATE, LOCAL AND NON-U.S. TAX CONSEQUENCES, AND ANY TAX REPORTING REQUIREMENTS OF THE BUSINESS COMBINATION AND ANY RELATED TRANSACTIONS IN LIGHT OF SUCH HOLDER’S OWN TAX SITUATION.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if the Business Combination Qualifies as a Reorganization</w:t>
      </w:r>
    </w:p>
    <w:p>
      <w:pPr>
        <w:spacing w:after="0" w:line="11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If the Business Combination qualifies as a Reorganization, subject to the discussion regarding the application of Section 367 of the Code to the Business Combination below, the U.S. federal income tax consequences of the Business Combination would generally be as follows: (i) a U.S. Holder of Armada Shares who receives Rezolve Shares in exchange for his or her Armada Shares would not recognize gain or loss in respect of such exchange;</w:t>
      </w:r>
    </w:p>
    <w:p>
      <w:pPr>
        <w:spacing w:after="0" w:line="2" w:lineRule="exact"/>
        <w:rPr>
          <w:sz w:val="20"/>
          <w:szCs w:val="20"/>
          <w:color w:val="auto"/>
        </w:rPr>
      </w:pPr>
    </w:p>
    <w:p>
      <w:pPr>
        <w:ind w:left="380" w:hanging="264"/>
        <w:spacing w:after="0"/>
        <w:tabs>
          <w:tab w:leader="none" w:pos="38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Holder of Armada warrants whose Armada warrants are assumed by Rezolve would not recognize gain or loss in respect of such assumptions;</w:t>
      </w:r>
    </w:p>
    <w:p>
      <w:pPr>
        <w:spacing w:after="0" w:line="20" w:lineRule="exact"/>
        <w:rPr>
          <w:rFonts w:ascii="Times New Roman" w:cs="Times New Roman" w:eastAsia="Times New Roman" w:hAnsi="Times New Roman"/>
          <w:sz w:val="17"/>
          <w:szCs w:val="17"/>
          <w:color w:val="auto"/>
        </w:rPr>
      </w:pPr>
    </w:p>
    <w:p>
      <w:pPr>
        <w:ind w:left="120" w:right="100" w:hanging="4"/>
        <w:spacing w:after="0" w:line="253" w:lineRule="auto"/>
        <w:tabs>
          <w:tab w:leader="none" w:pos="43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Rezolve shares or warrants that are received in the Business Combination by each U.S. Holder would be equal to the aggregate tax basis of the Armada Shares or warrants surrendered in exchange for such Rezolve shares or warrants; and (iv) the holding period for the Rezolve shares or warrants received in the Business Combination would include the period during which the Armada Shares or warrants surrendered in exchange for such Rezolve shares or warrants were held, provided that such Rezolve share or warrants were held as capital assets at the time of the Business Combination.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for the reasons described below relating to Rezolve’s status as a foreign corporation and the application of Section 367 of the Code, even if the Business Combination qualifies as a Reorganization, the Business Combination could still be taxable for U.S. federal income tax purposes. Because Rezolve is a foreign corporation, the additional requirements of Section 367(a) of the Code described below must be satisfied in order for the Business Combination to be tax deferred for U.S. holders of Armada Common Stock or warrants.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367(a)</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Section 367(a) of the Code and the Treasury Regulations promulgated thereunder, in certain circumstances described below, impose additional requirements for a U.S. holder to qualify for tax-deferred treatment with respect to the exchange of Armada Common Stock and/or Armada Warrants in the Business Combination.</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Section 367(a) of the Code generally requires a U.S. holder of stock or warrants in a U.S. corporation to recognize gain (but not loss) when such stock or warrants are exchanged for stock or warrants of a non-U.S. corporation in an exchange that would otherwise qualify for tax-deferred treatment (such as pursuant to a reorganization under Section 368 of the Code) and any of the following is true: (i) the U.S. corporation fails to comply with certain reporting requirements; (ii) U.S. holders of stock or warrants of the acquired U.S. corporation receive more than 50% (by vote or value) of the stock or warrants of the non-U.S. corporation; (iii) U.S. persons that are officers, directors, or 5% or greater shareholders of the acquired U.S. corporation own more than 50% (by vote or value) of the stock or warrants of the non-U.S. corporation immediately after the acquisition; (iv) such U.S. holder is a 5% (by vote or value) or greater shareholder of the acquired U.S. corporation and fails to enter into a 5-year gain recognition agreement with the IRS to recognize gain with respect to the acquired U.S. corporation stock or warrants exchanged in the acquisition; or (v) the U.S. and non-U.S. corporations (and other relevant parties) fail to meet the “active trade or business test.” For purposes of the foregoing ownership percentage thresholds, certain constructive ownership rules apply that may treat a holder as owning stock that person does not directly own. A holder of an acquired U.S. corporation is presumed to be a U.S. person unless that person signs an ownership statement certifying certain information, including its residency. The “active trade or business test” generally requires (A) that the non-U.S. corporation (and its qualified subsidiaries) be engaged in an “active trade or business” outside of the U.S. for the 36-month period immediately before the exchange and that neither the transferors nor the non-U.S. corporation has an intention to</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substantially dispose of or discontinue such trade or business, and (B) that the fair market value of the non-U.S. corporation be at least equal to the fair market value of the U.S. corporation, as specifically determined for purposes of Section 367 of the Code, as of the closing of the exchange (the “substantiality test”). For purposes of applying the substantiality test to the Business Combination, the fair market value of Armada generally will be deemed to include the value of any non-ordinary course distributions, as determined under applicable Treasury Regulations, made by Armada during the 36-month period ending on the closing of the Business Combination.</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Because of the inherently factual nature of these tests under the applicable Treasury Regulations, and the fact that these tests are generally applied based on the relevant facts at the time of, and following, the completion of the Business Combination, counsel is unable to opine on the application of Section 367(a) of the Code to the exchange by a U.S. holder of Armada Common Stock and/or Armada Warrants in the Business Combination. Additionally, there can be no assurance that Armada will comply with the reporting requirements referenced above.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a U.S. holder of Armada Common Stock and/or Armada Warrants is required to recognize gain under Section 367(a) of the Code for any of the foregoing reasons, such U.S. holder generally would recognize gain, if any, (but not loss) in an amount equal to the excess of (i) the sum of the fair market value of the Rezolve Ordinary Shares received and/or Rezolve Warrants deemed received by such U.S. holder, over (ii) such U.S. holder’s adjusted tax basis in the Armada Common Stock exchanged and/or Armada Warrants deemed exchanged therefor. Any such gain would generally be capital gain and would be long-term capital gain if the U.S. holder’s holding period for the Armada Common Stock and/or Armada Warrants was more than one year at the time of the Business Combination. It is unclear whether the redemption rights with respect to the Armada Common Stock have suspended the applicable holding period for this purpose. The U.S. holder’s tax basis in the Rezolve Ordinary Shares and/or Public Warrants received in the exchange would be equal to the fair market value of such Rezolve Ordinary Shares and/or Public Warrants at the time of the Business Combination.</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rules dealing with Section 367(a) of the Code discussed above are very complex and are affected by various factors in addition to those described above. Accordingly, you are strongly urged to consult your own tax advisor concerning the application of these rules to your exchange of Armada Common Stock and/or Armada Warrants under your particular circumstances, including, if you believe you may be a 5% or greater shareholder and the possibility of entering into a “gain recognition agreement” under applicable Treasury Regulations.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if the Business Combination Fails to Qualify as a Reorganization</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Business Combination fails to qualify as a Reorganization, U.S. Holders of Armada Shares or warrants would be treated as if they sold their Armada Shares or warrants in a fully taxable transaction. In such event, each U.S. Holder would recognize gain or loss with respect to the disposition of each of his or her Armada Shares or warrants or rights equal to the difference between (i) the U.S. Holder’s adjusted basis in each such shares or warrants and (ii) the fair market value of the Rezolve shares or warrants received in the Business Combination.</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Such gain or loss with respect to Armada Shares or warrants would be capital gain or loss. Capital gain or loss will be long-term capital gain or loss if the Armada Shares or warrants were held for more than one year. Long-term capital gains of noncorporate taxpayers are taxed at a preferential rate. Capital gain that is not long-term capital gain is taxed at ordinary income tax rates. It is unclear whether the redemption rights with respect to the Armada Common Stock have suspended the applicable holding period for this purpose.</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Recognized loss would be treated as capital loss. For corporate U.S. Holders, capital losses can be deducted only to the extent of capital gains, and, for individual U.S. Holders, capital losses are similarly deductible up to the extent of capital gains, but may be further deductible up to a maximum of $3 thousand in any one taxable year. The amount and character of gain or loss would be computed separately for each block of Armada Shares or warrants that was purchased by the holder in the same transaction. For purposes of the foregoing, a block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Armada Shares or warrants generally consists of those shares of a particular class of securities of Armada that were acquired at the same time and at the same price. A U.S. Holder’s aggregate tax basis in the Rezolve shares or warrants so received would equal their fair market value, and a U.S. Holder’s holding period for such Rezolve shares or warrants would begin the day after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Armada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a U.S. holder of Armada Common Stock exercises such holder’s right to have such holder’s Armada Common Stock redeemed pursuant to the redemption provisions described herein, the treatment of the transaction for U.S. federal income tax purposes will depend on whether the redemption qualifies as a sale of such stock pursuant to Section 302 of the Code or whether the U.S. holder will be treated as receiving a corporate distribution. Whether that redemption qualifies for sale treatment will depend largely on the total number of shares of Armada common stock treated as held by the U.S. holder (including any stock constructively owned by the U.S. holder as a result of, among other things, owning warrants) relative to all of shares of Armada Common Stock both before and after the redemption. The redemption of stock generally will be treated as a sale of the stock (rather than as a corporate distribution) if the redemption is “substantially disproportionate” with respect to the U.S. holder, results in a “complete termination” of the U.S. holder’s interest in Armada or is “not essentially equivalent to a dividend” with respect to the U.S. holder. These tests are explained more fully below.</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stock actually owned by the U.S. holder, but also shares of Armada Common Stock that are constructively owned by such U.S. holder. A U.S. holder may constructively own, in addition to stock owned directly, stock owned by certain related individuals and entities in which the U.S. holder has an interest or that have an interest in such</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U.S. holder, as well as any stock the U.S. holder has a right to acquire by exercise of an option, which generally would include common stock that could be acquired pursuant to the exercise of the Armada Warrants. In order to meet the substantially disproportionate test, the percentage of Armada’s outstanding voting stock actually and constructively owned by the U.S. holder immediately following the redemption of Armada Common Stock must, among other requirements, be less than 80% of the percentage of Armada’s outstanding voting stock actually and constructively owned by the U.S. holder immediately before the redemption. There will be a complete termination of a U.S. holder’s interest if either all the shares of Armada Common Stock actually and constructively owned by the U.S. holder are redeemed or all the shares of Armada Common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of the Armada Common Stock will not be essentially equivalent to a dividend if a U.S. holder’s redemption results in a “meaningful reduction” of the U.S. holder’s proportionate interest in Armada. Whether the redemption will result in a meaningful reduction in a U.S. holder’s proportionate interest in Armada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redemption.</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the redemption qualifies as a sale of stock by the U.S. holder under Section 302 of the Code, the U.S. holder generally will be required to recognize gain or loss in an amount equal to the difference, if any, between the amount of cash received and the tax basis of the shares of Armada Common Stock redeemed. Such gain or loss should be treated as capital gain or loss if such shares were held as a capital asset on the date of the redemption. A U.S. holder’s tax basis in such holder’s shares of Armada Common Stock generally will equal the cost of such shares. A U.S. holder that purchased Armada Units would have been required to allocate the cost between the shares of Armada Common Stock and the Armada Warrants comprising the units based on their relative fair market values at the time of the purchase.</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does not qualify as a sale of stock under Section 302 of the Code, then the U.S. holder will be treated as receiving a corporate distribution. Such distribution generally will constitute a dividend for 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federal income tax purposes to the extent paid from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U.S. holder’s Armada Common Stock. Any remaining excess will be treated as gain realized on the sale or other disposition of the Armada Common Stock. Special rules apply to dividends received by U.S. holders that are taxable corporations. After the application of the foregoing rules, any remaining tax basis of the U.S. holder in the redeemed Armada Common Stock will be added to the U.S. holder’s adjusted tax basis in its remaining stock, or, to the basis of stock constructively owned by such holder if the stock actually owned by the holder is completely redeemed.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Rezolve Ordinary Shares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Rezolve Ordinary Shares that is made out of Rezolve’s current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Rezolve Ordinary Shares, and thereafter as capital gain recognized on a sale or exchange.</w:t>
      </w:r>
    </w:p>
    <w:p>
      <w:pPr>
        <w:spacing w:after="0" w:line="18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Rezolve Ordinary Shares are expected to be) will be considered readily tradable on an established securities market in the United States. There can be no assurance that Rezolve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Material U.S. Federal Income Tax Considerations — 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Rezolve Ordinary Shares will generally be treated as income from sources outside the United States and will generally constitute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passive category income. The rules governing the U.S. foreign tax credit are complex. U.S. holders should consult their own tax advisors regarding the availability of the U.S. foreign tax credit under particular circumstances.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Rezolve Ordinary Shares and Rezolve Warrants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Rezolve Ordinary Shares or Rezolve Warrants in an amount equal to the difference between (i) the amount realized on the disposition and (ii) such U.S. holder’s adjusted tax basis in such shares and/or warrants. Any gain or loss recognized by a U.S. holder on a taxable disposition of Rezolve Ordinary Shares or Rezolve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Rezolve Ordinary Shares or Rezolve Warrants generally will be treated as U.S. source gain or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Rezolve Warrant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Rezolve Warrant, a U.S. holder generally will not recognize gain or loss upon the acquisition of a Rezolve Ordinary Share on the exercise of a Rezolve Warrant for cash. A U.S. holder’s tax basis in a Rezolve Ordinary Shares received upon exercise of the Rezolve Warrant generally should be an amount equal to the sum of the U.S. holder’s tax basis in the Rezolve Warrant exchanged therefor and the exercise price. The U.S. holder’s holding period for a Rezolve Ordinary Share received upon exercise of the Rezolve Warrant will begin on the date following the date of exercise (or possibly the date of exercise) of the Rezolve Warrant and will not include the period during which the U.S. holder held the Rezolve Warrant. If a Rezolve Warrant is allowed to lapse unexercised, a U.S. holder generally will recognize a capital loss equal to such holder’s tax basis in the Rezolve Warrant.</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Rezolve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Rezolve Ordinary Shares received would equal the holder’s basis in the Rezolve Warrants exercised therefore. If the cashless exercise were treated as not being a gain realization event, a U.S. holder’s holding period in the Rezolve Ordinary Shares would be treated as commencing on the date following the date of exercise (or possibly the date of exercise) of the Rezolve Warrants. If the cashless exercise were treated as a recapitalization, the holding period of the Rezolve Ordinary Shares would include the holding period of the Rezolve Warrants exercised therefore.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of a Rezolve Warrant could be treated in part as a taxable exchange in which gain or loss would be recognized. In such event, a U.S. holder would recognize gain or loss with respect to the portion of the exercised Rezolve Warrants treated as surrendered to pay the exercise price of the Rezolve Warrants (the “surrendered warrants”). The U.S. holder would recognize capital gain or loss with respect to the surrendered warrants in an amount generally equal to the difference between (i) the fair market value of the Rezolve Ordinary Shares that would have been received with respect to the surrendered warrants in a regular exercise of the Rezolve Warrants and (ii) the sum of the U.S. holder’s tax basis in the surrendered warrants and the aggregate cash exercise price of such warrants (if they had been exercised in a regular exercise). In this case, a U.S. holder’s tax basis in the Rezolve Ordinary Shares received would equal the U.S. holder’s tax basis in the Rezolve Warrants exercised plus (or minus) the gain (or loss) recognized with respect to the surrendered warrants. A U.S. holder’s holding period for the Rezolve Ordinary Shares would commence on the date following the date of exercise (or possibly the date of exercise) of the Rezolve Warrants.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own tax advisors regarding the tax consequences of a cashless exercise of Rezolve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terms of each Rezolve Warrant provide for an adjustment to the number of Rezolve Ordinary Shares for which the Rezolve Warrant may be exercised or to the exercise price of the Rezolve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Rezolve Warrant would, however, be treated as receiving a constructive distribution from Rezolve if, for example, the adjustment increases the holder’s proportionate interest in Rezolve’s assets or earnings and profits (e.g., through an increase in the number of Rezolve Ordinary Shares that would be obtained upon exercise of such warrant) as a result of a distribution of cash to the holders of the Rezolve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Distributions on Rezolve Ordinary Shares.</w:t>
      </w:r>
      <w:r>
        <w:rPr>
          <w:rFonts w:ascii="Times New Roman" w:cs="Times New Roman" w:eastAsia="Times New Roman" w:hAnsi="Times New Roman"/>
          <w:sz w:val="18"/>
          <w:szCs w:val="18"/>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Rezolve Ordinary Shares could be materially different from that described above if Rezolve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Rezolve Ordinary Shares, and (b) the composition of the assets and income of Rezolve. Further, because Rezolve may value its goodwill based on the market value of the Rezolve Ordinary Shares, a decrease in the market value of the Rezolve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 be provided that Rezolve will not be a PFIC for the taxable year that includes the date of the Business Combination or in a future year.</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Rezolve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Rezolve Ordinary Shares, and (ii) any “excess distribution” received on Rezolve Ordinary Shares (generally, any distributions in excess of 125% of the average of the annual distributions on Rezolve Ordinary Shares during the preceding three years or the U.S. holder’s holding period, whichever is shorter). Generally, under this excess distribution regime:</w:t>
      </w:r>
    </w:p>
    <w:p>
      <w:pPr>
        <w:spacing w:after="0" w:line="91" w:lineRule="exact"/>
        <w:rPr>
          <w:sz w:val="20"/>
          <w:szCs w:val="20"/>
          <w:color w:val="auto"/>
        </w:rPr>
      </w:pPr>
    </w:p>
    <w:p>
      <w:pPr>
        <w:ind w:left="1080" w:hanging="424"/>
        <w:spacing w:after="0"/>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Rezolve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Rezolve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Rezolve Ordinary Shares, which are expected to be listed on Nasdaq, will qualify as marketable shares for the PFIC rules purposes, but there can be no assurance that Rezolve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Rezolve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Rezolve Warrants will not be able to make a mark-to-market election with respect to their Rezolve Warrants.</w:t>
      </w:r>
    </w:p>
    <w:p>
      <w:pPr>
        <w:spacing w:after="0" w:line="1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5"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Rezolve Ordinary Shares will be required to file an annual report on IRS Form 8621 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Rezolve Ordinary Shares, subject to certain exceptions (including an exception for Rezolve Ordinary Shares held in accounts maintained by U.S. financial institutions), by attaching a complete IRS Form 8938 to their tax return, for each year in which they hold Rezolve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Rezolve Ordinary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may apply to cash received in redemption of Armada Common Stock, dividends received by U.S. holders of Rezolve Ordinary Shares, and the proceeds received on the disposition of Rezolve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Armada Common Stock and Rezolve Ordinary Shares and proceeds from the sale, exchange, redemption or other disposition of Rezolve Ordinary Shares may be subject to information reporting to the IRS and possible U.S. backup withholding. U.S. holders should consult their own tax advisors regarding the application of the U.S. information reporting and backup withholding rules.</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Armada Common Stock, Armada Warrants or their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Rezolve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Rezolve Ordinary Shares and proceeds from the sale of other disposition of Rezolve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5"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Assuming the Business Combination Proposal is approved, the consideration to be paid to the Armada Stockholders will consist of, assuming minimum redemptions by Armada’s public stockholders, approximately         million Rezolve Ordinary Shares to be issued by Rezolve, as set forth in and pursuant to the terms of the Business Combination Agreement.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Rezolve Limited has issued an aggregate of $31,125,000 Convertible Loan Notes which will increase to $49,892,080 Convertible Loan Notes upon completion of the Pre-Closing Demerger, which can convert into ordinary shares in Rezolve Limited (or after the Pre-Closing Demerger, Rezolve Ordinary Shares) at a conversion price equal to 70% of the lesser of (1) the price per share implied in connection with an initial public offering or a business combination with a publicly-listed company and (2) the annual volume-weighted average share price of Rezolve Limited (or after the Pre-Closing Demerger, Rezolve) on the last calendar day of each calendar year ending after the date of an initial public offering or a business combination with a publicly-listed company and prior to the maturity date.</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contemplated by the Incentive Equity Plan Proposal, we intend to reserve         Rezolve Ordinary Shares for grants of awards under the Rezolve Incentive Equity Plan, which is equal to 10% of the fully diluted and issued equity securities post-Closing less any amount issued or reserved for issuance pursuant to any Other Arrangements. For more information on the Incentive Equity Plan Proposal, see “</w:t>
      </w:r>
      <w:r>
        <w:rPr>
          <w:rFonts w:ascii="Times New Roman" w:cs="Times New Roman" w:eastAsia="Times New Roman" w:hAnsi="Times New Roman"/>
          <w:sz w:val="18"/>
          <w:szCs w:val="18"/>
          <w:i w:val="1"/>
          <w:iCs w:val="1"/>
          <w:color w:val="auto"/>
        </w:rPr>
        <w:t>Proposal No. 3—The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Plan Proposal</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Armada Needs Stockholder Approval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seeking stockholder approval in order to comply with Nasdaq Listing Rule 5635.</w:t>
      </w:r>
    </w:p>
    <w:p>
      <w:pPr>
        <w:spacing w:after="0" w:line="225"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Under Nasdaq Listing Rule 5635, stockholder approval is required prior to the issuance of shares of common stock in certain circumstances, including in connection with: (i) the acquisition of the stock or assets of another company; (ii) a change of control; and (iii) transactions other than public offerings. Under Nasdaq Listing Rule 5635, stockholder approval is required prior to the issuance of shares of common stock in certain circumstances, including if the issuance of Rezolve Ordinary Shares to be issued will result in a change of control of Armada. The maximum aggregate number of shares of common stock issuable as consideration to be paid to Armada’s stockholders pursuant to the Business Combination Agreement, as well as upon conversion of the Convertible Notes represents greater than 20% of the number of shares of common stock before such issuance and results in a change of control of Armada. As a result, stockholder approval of the issuance of shares of common stock is required under the Nasdaq regulations.</w:t>
      </w:r>
    </w:p>
    <w:p>
      <w:pPr>
        <w:spacing w:after="0" w:line="167"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SHAREHOLDERS VOTE “FOR” THE APPROVAL OF THE NASDAQ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for the purposes of complying with the applicable provisions of the Nasdaq Listing Rule 5635, the issuance of Rezolve’s Ordinary Shares in connection with the Business Combination and Rezolve’s Ordinary Shares in connection with the conversion of the Convertible Notes be approved.”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the Business Combination Proposal is not approved, the Nasdaq Proposal will not be presented at the Special Meeting. The approval of the Nasdaq Proposal requires the majority of the votes cast by the stockholders present in person (which would include presence at a virtual meeting) or represented by proxy at the Special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Failure to vote by proxy or to vote in person (which would include presence at a virtual meeting) at the Special Meeting, abstentions and broker non-votes will have no effect on the Nasdaq Proposal.</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upon the approval of the Nasdaq Proposal, subject to the terms of the Business Combination Agreement. Notwithstanding the approval of the Nasdaq Proposal, if the Business Combination is not consummated for any reason, the actions contemplated by the Nasdaq Proposal will not be effected.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Sponsor and Armada’s directors and officers have agreed to vote the Founder Shares and any Armada public shares owned by them in favor of Nasdaq Proposal. See “</w:t>
      </w:r>
      <w:r>
        <w:rPr>
          <w:rFonts w:ascii="Times New Roman" w:cs="Times New Roman" w:eastAsia="Times New Roman" w:hAnsi="Times New Roman"/>
          <w:sz w:val="18"/>
          <w:szCs w:val="18"/>
          <w:i w:val="1"/>
          <w:iCs w:val="1"/>
          <w:color w:val="auto"/>
        </w:rPr>
        <w:t>Proposal No.1—The Business Combination Proposal—Ancillary Agreements</w:t>
      </w:r>
      <w:r>
        <w:rPr>
          <w:rFonts w:ascii="Times New Roman" w:cs="Times New Roman" w:eastAsia="Times New Roman" w:hAnsi="Times New Roman"/>
          <w:sz w:val="18"/>
          <w:szCs w:val="18"/>
          <w:color w:val="auto"/>
        </w:rPr>
        <w:t>” for more information.</w:t>
      </w:r>
    </w:p>
    <w:p>
      <w:pPr>
        <w:spacing w:after="0" w:line="15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NASDAQ PROPOSAL.</w:t>
      </w:r>
    </w:p>
    <w:p>
      <w:pPr>
        <w:spacing w:after="0" w:line="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60"/>
          </w:cols>
          <w:pgMar w:left="320" w:top="455" w:right="6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INCENTIVE EQUITY PLAN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Incentive Equity Plan Proposal — </w:t>
      </w:r>
      <w:r>
        <w:rPr>
          <w:rFonts w:ascii="Times New Roman" w:cs="Times New Roman" w:eastAsia="Times New Roman" w:hAnsi="Times New Roman"/>
          <w:sz w:val="18"/>
          <w:szCs w:val="18"/>
          <w:color w:val="auto"/>
        </w:rPr>
        <w:t>Armada is asking its shareholders to approve the Rezolve Long Term Incentive Plan (the “Main LTIP”),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Annex 1 to the LTIP (the “Non-Employee LTIP”) (“Rezolve Incentive Equity Plan”). If the Rezolve Incentive Equity Plan, which will also be approved by Rezolve, is approved by our stockholders, the Rezolve Incentive Equity Plan will become effective on or prior to Closing. If the Rezolve Incentive Equity Plan is not approved by our stockholders, it will not become effective and no stock awards will be granted thereunder. The Rezolve Incentive Equity Plan is described in more detail below. This summary is qualified in its entirety by reference to the complete text of the Rezolve Incentive Equity Plan, a copy of which is attached to this proxy statement/prospectus as Annex F.</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to Approve the Rezolve Incentive Equity Plan</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purpose of the Rezolve Incentive Equity Plan is to enhance our ability to attract, retain and incentivize employees, independent contractors and directors and promote the success of our business. We consider equity compensation to be a vital element of our compensation program and believe that the ability to grant stock-based awards at competitive levels is in the best interest of us and our shareholders. Our board of directors believes the Rezolve Incentive Equity Plan is critical in enabling us to grant stock awards as an incentive and retention tool as we continue to compete for talent.</w:t>
      </w:r>
    </w:p>
    <w:p>
      <w:pPr>
        <w:spacing w:after="0" w:line="16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Approval of the Rezolve Incentive Equity Plan by our stockholders is required, among other things, to comply with stock exchange rules requiring shareholder approval of equity compensation plans and allow the grant of incentive stock options under the Rezolve Incentive Equity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Rezolve Incentive Equity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Rezolve Incentive Equity Plan, which will be adopted and become effective on or prior to Closing, allows for the grant of equity-based incentive awards in respect of our Ordinary Shares to employees, and, under the Annex of the relevant Rezolve Incentive Equity Plan, to directors, officers and consultants. The material terms of the Rezolve Incentive Equity Plan are summarized below. Save where specified below, the material terms of the Non-Employee LTIP are substantively similar to the material terms of the Main LTIP.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 and administration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Main LTIP provides for the grant of restricted share units, deferred share units, or incentive share units to employees of Rezolve and its subsidiaries; and the Non-Employee LTIP provides for the grant of options, restricted share units, deferred share units, or incentive share units to non-employee directors, officers, or consultants of Rezolve and its subsidiaries (the holder of an award is referred to here as a “participant”). The Rezolve Incentive Equity Plan will be administered by the Rezolve board of directors, which may delegate its duties and responsibilities to one or more committees of the directors of Rezolve (referred to collectively as the “plan administrator” below). In addition, in 2023, the right to grant and determine who shall be granted one half of the awards has been delegated to Daniel Wagner for the whole of 2023.</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will have the authority to take all actions and make all determinations under the Rezolve Incentive Equity Plan, to interpret the Rezolve Incentive Equity Plan and award agreements and to adopt, amend and repeal rules for the administration of the Rezolve Incentive Equity Plan as it deems advisable. The plan administrator will also have the authority to grant awards (provided that the chairman of Rezolve must be consulted), determine which eligible service providers receive awards and set the terms and conditions of all awards under the Rezolve Incentive Equity Plan, including any vesting and vesting acceleration provisions, subject to the conditions and limitations in the Rezolve Incentive Equity Plan.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Subject to the adjustment provisions contained in the Rezolve Incentive Equity Plan, the maximum aggregate number of Ordinary Shares that may be issued (whether from treasury or by subscription) pursuant to awards under the Rezolve Incentive Equity Plan (and any sub-plan thereto, including the Non-Employee LTIP) is equal to 10% of the fully diluted issued and outstanding equity securities of the Company (which includes any option, warrant, right or security (including debt securities) convertible, exchangeable or exercisable into shares) as of the Closing less certain amounts issued or reserved for issuance pursuant to any other arrangement pursuant to which current, prospective or former directors, officers, employees or consultants or their related companies or certain other persons not contemplated by the BCA are to be issued equity securities or are to be granted options, units or awards over such Ordinary Shares which are expressed in writing to be subject to such limit (“Other Arrangements”). The amount reserved for such issuance or share transfer may be increased by the plan administrator at any time on or after January 1, 2024 by an additional 5% per annum.</w:t>
      </w:r>
    </w:p>
    <w:p>
      <w:pPr>
        <w:spacing w:after="0" w:line="17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If an award under the Rezolve Incentive Equity Plan (including any sub-plan thereto including the Non-Employee LTIP) expires, lapses or is forfeited or is settled by a transfer of shares other than from treasury, or is settled in cash, any unused shares subject to the award will, as applicable, become or again be available for new grants under the Rezolve Incentive Equity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Rezolve Incentive Equity Plan provides for the grant of options, restricted share units, deferred share units, and incentive share units. All awards under the Rezolve Incentive Equity Plan will be set forth in award agreements, which will detail the terms and conditions of awards, including any applicable vesting and payment terms, change of control provisions and post-termination exercise limitations. A brief description of each award type follows. In all cases, units granted pursuant to the Non-Employee Plan may contain a term requiring the participant to pay an amount at least equal to the nominal value of a share as a condition of settlement in shares of the relevant award.</w:t>
      </w:r>
    </w:p>
    <w:p>
      <w:pPr>
        <w:spacing w:after="0" w:line="18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Options are contractual rights to acquire Ordinary Shares in the future at an exercise price set at no less than the nominal value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 which may remain forfeitable unless and until specified conditions are met. The participant may elect to have the option settled partly or wholly in cash rather than shares. The terms and conditions applicable to options will be determined by the plan administrator, subject to the conditions and limitations contained in the Rezolve Incentive Equity Plan. Options may not be exercised after the tenth anniversary of grant.</w:t>
      </w:r>
    </w:p>
    <w:p>
      <w:pPr>
        <w:spacing w:after="0" w:line="18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Restricted share units are contractual promises to deliver Ordinary Shares in the future, which may also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restricted share units will be determined by the plan administrator, subject to the conditions and limitations contained in the Rezolve Incentive Equity Plan. In the absence of any vesting period set out in the award agreement, restricted share units will vest as to one third each year over the course of three years.</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Deferred share units</w:t>
      </w:r>
      <w:r>
        <w:rPr>
          <w:rFonts w:ascii="Times New Roman" w:cs="Times New Roman" w:eastAsia="Times New Roman" w:hAnsi="Times New Roman"/>
          <w:sz w:val="18"/>
          <w:szCs w:val="18"/>
          <w:color w:val="auto"/>
        </w:rPr>
        <w:t>. Deferred share units are contractual promises to deliver Ordinary Shares in the future and may be accompanied by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the equivalent value of dividends paid on Ordinary Shares prior to the settlement of the unit. Only directors of Rezolve (whether employees or not) are eligible to be granted deferred share units. Deferred share units may be recommended by the Board or, in the case of the Non-Employee Plan only, a participant may elect to have up to 100% of their annual retainer (together with Board committee fees, attendance fees and additional fees and retainers to committee chairs) deferred into deferred share units rather than paid in cash. The participant may elect to have the unit settled partly or wholly in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cash rather than shares. The terms and conditions applicable to deferred share units will be determined by the plan administrator, subject to the conditions and limitations contained in the Rezolve Incentive Equity Plan, provided that a deferred share unit may, subject to the terms of the Rezolve Incentive Equity Plan (in particular on a change of control) only vest on the date on which the participant ceases to be a director.</w:t>
      </w:r>
    </w:p>
    <w:p>
      <w:pPr>
        <w:spacing w:after="0" w:line="17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Incentive share units</w:t>
      </w:r>
      <w:r>
        <w:rPr>
          <w:rFonts w:ascii="Times New Roman" w:cs="Times New Roman" w:eastAsia="Times New Roman" w:hAnsi="Times New Roman"/>
          <w:sz w:val="18"/>
          <w:szCs w:val="18"/>
          <w:color w:val="auto"/>
        </w:rPr>
        <w:t>. Incentive share units are contractual promises to deliver Ordinary Shares in the future, which may also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incentive share units will be determined by the plan administrator, subject to the conditions and limitations contained in the Rezolve Incentive Equity Plan.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Criteria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may set performance goals in respect of any awards (but in particular incentive share units) in its discretion.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certain corporate transactions and events affecting Ordinary Shares, including a change of control, the plan administrator has discretion to accelerate the vesting of awards or convert or exchange awards into securities or units of any entity participating in or resulting from the transaction. Options may, if no treatment is prescribed in a relevant change of control agreement, be exercised within a set period of certain corporate transactions, and participants may elect to exchange awards. In addition, in the event of certain equity restructuring transactions and variations of capital, the plan administrator will make equitable adjustments to the outstanding awards as it deems appropriate to reflect the transaction.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Amendment and Termination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may amend or terminate the Rezolve Incentive Equity Plan at any time; however, no amendment may adversely affect an award outstanding under the Rezolve Incentive Equity Plan and shareholder approval will be obtained for any amendment to the extent necessary to comply with applicable laws. Further, the plan administrator will seek the approval of shareholders in respect of any amendment to: (i) the limits on the number of shares that may be issued pursuant to the Rezolve Incentive Equity Plan (other than an adjustment as reflected in “Certain Transactions” above); or (ii) the provisions relating to amendments to the Rezolve Incentive Equity Plan. No awards may be granted under the Rezolve Incentive Equity Plan after their termination.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and Participant Payments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Awards under the Rezolve Incentive Equity Plan are generally non-transferrable, except to a participant’s legal representative in the case of death. With regard to tax and/or social security withholding obligations arising in connection with awards under the Rezolve Incentive Equity Plan, the plan administrator may accept cash, wire transfer or check or the participant may sell sufficient shares to meet the relevant liability or elect to have their award settled at least partly in cash with such amount then being withheld.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Non-U.K. Participants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modify awards granted to participants who are non-U.K. nationals or employed outside the United Kingdom or establish sub-plans or procedures to address differences in laws, rules, regulations or customs of such international jurisdictions with respect to tax, securities, currency, foreign exchange control, employee benefit or other matters or to enable awards to be granted in compliance with a tax favorable regime that may be available in any jurisdiction and any sub-plan may include provision to grant equity-based awards that are not units and/or to grant awards to be settled in cash only.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60"/>
          </w:cols>
          <w:pgMar w:left="320" w:top="455" w:right="5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Legacy Option Arrangements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current, former and prospective employees and directors, and current and former consultants currently hold or have been promised options over Ordinary Shares or otherwise been promised rights to acquire Ordinary Shares in Rezolve which vest and become exercisable either immediately or subject to the meeting of certain conditions. Such options and promised options/rights are expected to be released and regranted as options over Ordinary Shares in Rezolve prior to or on Closing. The material terms of the expected options are set out below (the “Expected Options”).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and eligibility</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Expected Options will be administered by the Rezolve board of directors or a duly authorized committee thereof (the “EO administrator”). Only those individuals who have previously been granted an option or promised an option or right to acquire shares shall be eligible for the grant of an Expected Option. Where such individual has not yet commenced service, the grant will be conditional on their commencing 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that may be subject to the Expected Options will be designated “Other Arrangements” and subject to the cap specified in the summary above in respect of the LTIP. It is expected that in aggregate         Ordinary Shares will be subject to Expected Options.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Expected Options will take the form of options only. Options provide for the purchase of Ordinary Shares in the future at an exercise price set at no less than the nominal value of a share. The EO administrator will determine the number of Ordinary Shares covered by each option, and the conditions and limitations applicable to the exercise of each 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Criteria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EO administrator may set performance goals in respect of any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Expected Options are expected to vest subject to the conditions that the original options/promised options or promised right to acquire shares were subject to. In some cases, this is subject to a certain period of time passing; in others, this is subject to performance conditions being met or the Closing occurring. Once vested, Expected Options may be exercised at any point up until the tenth anniversary of their grant, subject to payment of the associated exercise price.</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Expected Options will ordinarily lapse: (i) in full on cessation of the option holder’s employment or service if the option holder falls into a prescribed category of “bad leaver” (e.g. cessation due to their dishonesty, fraud or misconduct or their termination or dismissal in circumstances which would justify summary dismissal or immediate termination); and (ii) to the extent unvested on cessation of employment for any other reason (save to the extent the EO administrator determines otherwise).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case of death, vested options may be exercised within 12 months of death and unvested options will only be exercisable if permitted by the EO administrator. At the end of this 12 month period, the options will lapse.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event of certain corporate transactions and events including a change of control, a sale of the group’s assets, options may be exercised to the extent vested (and the EO administrator shall have discretion to accelerate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options) within six months (or 90 days in the case of an asset sale) of the transaction or may, if the acquiring company agrees, be exchanged for options over shares in the acquiring company. In addition, in the event of certain variations of capital, the EO administrator may make equitable adjustments to the outstanding options.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EO Options may only be amended or terminated with the consent of the relevant option holder.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and Participant Payments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Expected Options will not be transferable save to a personal representative in the case of death. With regard to tax and/or social security withholding obligations arising in connection with the Expected Options, the EO administrator may accept cash, wire transfer or check or deduction from cash sums owed to the optionholder, or the participant may sell sufficient shares to meet the relevant liability.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Non-UK Participants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EO administrator may amend the terms described above prior to grant in respect of any non-UK nationals or employed outside the United Kingdom to address differences in laws, rules, regulations or customs of such international jurisdictions with respect to tax, securities, foreign exchange control, currency, employee benefit or other matters or to enable awards to be granted in compliance with a tax favorable regime that may be available in any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Employee Benefit Trust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Rezolve may set up one or more employee benefit trusts to, among other things, hold shares on behalf of employees of Rezolve and its subsidiaries and/or satisfy the vesting or exercise of awards pursuant to any of Rezolve’s equity incentive arrangements, including the Rezolve Incentive Equity Plan and the Expected Options.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Employee Incentive Shares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Rezolve has in issue certain shares held by certain employees, directors, and consultants which were issued to incentivize performance and may be forfeited in the event of cessation of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120" w:right="1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the Rezolve Incentive Equity Plan, substantially in the form attached to the proxy statement/prospectus as Annex F, be adopted and approved.”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If the Business Combination Proposal is not approved, the Incentive Equity Plan Proposal will not be presented at the Special Meeting. The approval of the Incentive Equity Plan Proposal requires the majority of the votes cast by the stockholders present in person (which would include presence at a virtual meeting) or represented by proxy at the Special Meeting.</w:t>
      </w:r>
    </w:p>
    <w:p>
      <w:pPr>
        <w:spacing w:after="0" w:line="176"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Failure to vote by proxy or to vote in person (which would include presence at a virtual meeting) at the Special Meeting, abstentions and broker non-votes will have no effect on the Incentive Equity Plan Proposal.</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upon the approval of the Incentive Equity Plan Proposal, subject to the terms of the Business Combination Agreement. Notwithstanding the approval of the Incentive Equity Plan Proposal, if the Business Combination is not consummated for any reason, the actions contemplated by the Incentive Equity Plan Proposal will not be effected.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Sponsor and Armada’s directors and officers have agreed to vote the Founder Shares and any of Armada’s public shares owned by them in favor of Incentive Equity Plan Proposal. See “</w:t>
      </w:r>
      <w:r>
        <w:rPr>
          <w:rFonts w:ascii="Times New Roman" w:cs="Times New Roman" w:eastAsia="Times New Roman" w:hAnsi="Times New Roman"/>
          <w:sz w:val="17"/>
          <w:szCs w:val="17"/>
          <w:i w:val="1"/>
          <w:iCs w:val="1"/>
          <w:color w:val="auto"/>
        </w:rPr>
        <w:t>Proposal No.1—The Business Combination Proposal—Ancillary Agreements</w:t>
      </w:r>
      <w:r>
        <w:rPr>
          <w:rFonts w:ascii="Times New Roman" w:cs="Times New Roman" w:eastAsia="Times New Roman" w:hAnsi="Times New Roman"/>
          <w:sz w:val="17"/>
          <w:szCs w:val="17"/>
          <w:color w:val="auto"/>
        </w:rPr>
        <w:t>” for more information.</w:t>
      </w:r>
    </w:p>
    <w:p>
      <w:pPr>
        <w:spacing w:after="0" w:line="136"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INCENTIVE EQUITY PLAN PROPOSAL.</w:t>
      </w:r>
    </w:p>
    <w:p>
      <w:pPr>
        <w:spacing w:after="0" w:line="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0860"/>
          </w:cols>
          <w:pgMar w:left="320" w:top="455" w:right="7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CHARTER LIMITATION AMENDMENT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discussed in this proxy statement/prospectus, Armada is asking its stockholders to approve the Charter Limitation Amendment Proposal.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Charter Limitation Amendment Proposal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Armada stockholders are being asked to adopt the proposed amendments to the Armada Charter, prior to the Closing, which, in the judgment of Armada’s board of directors, is necessary to facilitate the Business Combination. The Armada Charter limits Armada’s ability to consummate a Business Combination, if it would cause Armada to have less than $5,000,001 in net tangible assets. The purpose of such limitation is to ensure that the Armada Common Stock are not deemed to be a “penny stock” pursuant to Rule 3a51-1 under the Exchange Act. Because the Armada Common Stock and the Rezolve Ordinary Shares, if listed, would not be deemed to be a “penny stock” since it will be listed on the Nasdaq, Armada is presenting the Charter Limitation Amendment Proposal to facilitate the consummation of the Business Combination. In connection with the approval of the Charter Limitation Amendment Proposal, the parties to the Business Combination Agreement have waived the condition to Closing under the Business Combination Agreement that Rezolve have, after giving effect to the Company Reorganization, the Merger and the Promissory Note, at least $5,000,0001 in net tangible assets (as determined in accordance with Rule 3a51-1(g)(1) under the Exchange Act), subject to the approval of the Charter Limitation Amendment Proposal and implementation. If the Charter Limitation Amendment Proposal is not approved and implemented, and there are significant requests for redemption such that Armada’s net tangible assets would be less than $5,000,001 upon the consummation of the Business Combination, we would be unable to consummate the Business Combination even if all other conditions to Closing are met.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Charter Limitation Amendment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Charter Limitation Amendment Proposal. Abstentions will be counted in connection with the determination of whether a valid quorum is established but will have no effect on the Charter Limitation Amendment Proposal.</w:t>
      </w:r>
    </w:p>
    <w:p>
      <w:pPr>
        <w:spacing w:after="0" w:line="17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CHARTER LIMITATION AMENDMENT PROPOSAL.</w:t>
      </w:r>
    </w:p>
    <w:p>
      <w:pPr>
        <w:spacing w:after="0" w:line="15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1 — Approval of the Business Combination — Interests of Armada’s Directors and Officers in the Business Combination</w:t>
      </w:r>
      <w:r>
        <w:rPr>
          <w:rFonts w:ascii="Times New Roman" w:cs="Times New Roman" w:eastAsia="Times New Roman" w:hAnsi="Times New Roman"/>
          <w:sz w:val="17"/>
          <w:szCs w:val="17"/>
          <w:color w:val="auto"/>
        </w:rPr>
        <w:t>” for a further discussion.</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of proxies (the “Adjournment Proposal”). The Adjournment Proposal will only be presented to our stockholders in the event that there are insufficient votes for, or otherwise in connection with, the approval of the Business Combination Proposal, the Nasdaq Proposal, the Incentive Equity Plan Proposal, or the Charter Limitation Amendment Proposal but no other proposal than the Business Combination Proposal, the Nasdaq Proposal, the Incentive Equity Plan Proposal and the Charter Limitation Amendment Proposal are approved.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Proposal, the Incentive Equity Plan Proposal or any other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the adjournment of the meeting to a later date or dates to be determined by the chairman of the meeting, if necessary, to permit further solicitation and vote of proxies if, based upon the tabulated vote at the time of the meeting that more time is necessary or appropriate to approve one or more proposals of the meeting be approved in all respects.”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76"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ADJOURNMENT PROPOSAL.</w:t>
      </w:r>
    </w:p>
    <w:p>
      <w:pPr>
        <w:spacing w:after="0" w:line="15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1 — Approval of the Business Combination — Interests of Armada’s Directors and Officers in the Business Combination</w:t>
      </w:r>
      <w:r>
        <w:rPr>
          <w:rFonts w:ascii="Times New Roman" w:cs="Times New Roman" w:eastAsia="Times New Roman" w:hAnsi="Times New Roman"/>
          <w:sz w:val="17"/>
          <w:szCs w:val="17"/>
          <w:color w:val="auto"/>
        </w:rPr>
        <w:t>” for a further discussion.</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 RELATED TO ARMADA</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References in this section to “Armada”, “we”, “our”, “us” or “the Company” refer to Armada Acquisition Corp. I., a Delaware corporation.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for the purpose of effecting a merger, capital stock exchange, asset acquisition, stock purchase, reorganization or similar business combination with one or more businesses, which we refer to as our initial business combination throughout this proxy statement/prospectus. While we could have pursued an initial business combination target in any business or industry, we concentrated our efforts identifying businesses in the FinTech industry with an enterprise value of approximately $500 million to $1.0 billion, with particular emphasis on businesses that are providing digital, on-line or mobile payment solutions, processing and gateway services, point-of-sale technologies, consumer engagement platforms, and ecommerce and loyalty solutions.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the creation, delivery and servicing of financial payment products and related services for consumers and businesses is undergoing continuous evolution, which will further and dramatically develop in the years ahead. Amid an increased level of sophistication in financial technology and services, we believe that there were many potential targets within the financial technology industry that could become attractive public companies. These potential targets exhibited a diverse range of business models and growth characteristics, ranging from high-growth companies to established firms with stable revenues and strong cash flow. In addition, these businesses tended to have above-industry growth rates and would greatly benefit from access to public market capital and management’s extensive operational experience in both public and private companies. We believe our management team is well-positioned to capitalize on these trends and to identify, acquire, and manage a business in the financial technologies industry that can benefit from their operational, strategic, managerial and transaction experience, as well as their differentiated networks.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not, however, required to complete our initial business combination with a financial technologies business and, as a result, we could have pursued a business combination outside of that industry. We sought to acquire an established business that we believe is fundamentally sound but potentially in need of financial, operational, strategic or managerial redirection to maximize value. We also looked at earlier stage companies that exhibit the potential to change the industries in which they participate and which will offer the potential of sustained high levels of revenue and earnings growth.</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December 17, 2021, we announced that we entered into a business combination agreement, dated as of December 17, 2021 (as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 Pursuant to the terms of the Business Combination Agreement, Armada, Rezolve Limited, Rezolve and Rezolve Merger Sub will effect a series of transactions including, among other things:</w:t>
      </w:r>
    </w:p>
    <w:p>
      <w:pPr>
        <w:spacing w:after="0" w:line="93" w:lineRule="exact"/>
        <w:rPr>
          <w:sz w:val="20"/>
          <w:szCs w:val="20"/>
          <w:color w:val="auto"/>
        </w:rPr>
      </w:pPr>
    </w:p>
    <w:p>
      <w:pPr>
        <w:ind w:left="1080" w:right="120" w:hanging="532"/>
        <w:spacing w:after="0" w:line="255"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58"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the Combined Company will be named Rezolve PLC and will be listed on The Nasdaq Stock Market LLC under the new ticker symbol “ 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Management Team</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Our management team has significant operational experience working as executives and advisors in the financial technologies industry, particularly in the FinTech payments ecosystem. Our management team consists of seasoned leaders that have years of experience identifying and capitalizing on emerging technological and secular trends across the financial technologies industry, building and scaling high growth FinTech companies, a history of value creation in C-level operating roles in public companies, and delivering operational strategies designed to improve businesses over the long-term. Our management team is experienced in a variety of delivery models, including direct-to-consumer and business-to-business services as well as scalable networks, consumer engagement services, open platform technologies and robust ecosystems. Our management team is also well-versed in the regulatory and quasi-regulatory landscape that directly and indirectly impacts the financial technologies industry. In addition, our management team has significant transaction experience having executed and integrated numerous transactions in the financial technologies industry as operators and advisors. Messrs. Stephen P. Herbert and Douglas Lurio, our Chief Executive Officer and President, respectively, have worked together in the FinTech space for over 25 years. From 1996 to 2019, the two worked together at USA Technologies, Inc. (which changed its name to Cantaloupe, Inc. on April 15, 2021, Nasdaq: CTLP), a publicly traded FinTech company (“USAT”), of which Mr. Herbert served as Chairman and Chief Executive Officer for eight years (and as an executive officer prior thereto) and Mr. Lurio served as outside general counsel for 29 years. While at USAT, the two were involved in the company’s private and public funding of over $390 million, including public financings in excess of $100 million, as well as the company’s acquisitions, including the company’s nearly $90 million acquisition of Cantaloupe Systems, Inc. in November 2017. While Messrs. Herbert and Lurio worked together at USAT, the company’s revenues grew from approximately $80,000 to approximately</w:t>
      </w:r>
    </w:p>
    <w:p>
      <w:pPr>
        <w:spacing w:after="0" w:line="20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$170 million on an annualized basis, customer connections grew from 135 to 1.2 million, customers grew from approximately 135 to 20,000, annual transaction processing dollars grew from a nominal amount to $1.73 billion, the number of annual customer transactions increased from a nominal amount to nearly 890 million, recurring revenues on an annualized basis increased from a nominal amount to $140 million, and USAT attained its largest market cap of nearly $1 billion as of August 17, 2018.</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During his tenure at USAT, Mr. Herbert was recognized for his innovative leadership, including by Smart CEO, and as an EY Entrepreneur of the Year Finalist in the Greater Philadelphia area, and USAT received the following awards: Frost and Sullivan for Customer Value Leadership in the Integrated Financial Services and Retail Market, IoT Evolution Smart Machines Innovation, and a Deloitte Fast 500 Company. Previously, Mr. Herbert was employed by Pepsi-Cola, the beverage division of PepsiCo, Inc. (Nasdaq: PEP), and was a Manager of Market Strategy at Pepsi-Cola from 1994 to April 1996, responsible for directing development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market strategy for the vending channel, and subsequently, the supermarket channel for Pepsi-Cola in North America. Mr. Herbert resigned as Chief Executive Officer of USAT on October 17, 2019, and pursuant to his separation agreement was engaged as a consultant to serve as a resource for the incoming interim Chief Executive Officer for a one year period and was subject to a non-compete and a non-solicitation of clients, customers and employees during such one year period. Commencing in October 2020, Mr. Herbert has focused on the business of our Company as our Chairman and Chief Executive Officer.</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Mr. Lurio is a former securities and corporate law partner of the Dilworth Paxson law firm and has been the founder and President of the Lurio &amp; Associates, P.C. law firm since 1991 which specializes in corporate and securities law. He was counsel and a Director of Moro Corporation (OTCQX: MRCR), a Delaware corporation, which is in the construction contracting business, for 20 years from start-up founding in 1999 until July 2019. Since 1989, he has also served as Secretary and Director of Elbeco Incorporated, a leading manufacturer of career apparel and uniforms for first responders such as EMS personnel, police and firefighters.</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In addition to Messrs. Lurio and Herbert, our Board of Directors consists of Mohammad A. Khan, Celso L. White and Thomas (Tad) A. Decker. Our independent directors have highly relevant experiences and skill sets, including prior independent Board experience at United States listed companies, significant private and public equity, and capital markets experience, and international transaction and business development experience.</w:t>
      </w:r>
    </w:p>
    <w:p>
      <w:pPr>
        <w:spacing w:after="0" w:line="15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Mohammad A. Khan has been an industry leader in the development and adoption of mobile payments, mobile/omni-channel marketing, efficient and secured payment infrastructure, multi factor authentication, and technologies like NFC-contactless, QR codes, tokenization and Blockchain. He is currently the President and a Board member of Omnyway, Inc. (previously OmnyPay), which he co-founded in August 2014, and which abstracts the complexities of disparate digital wallet payment systems to enable elegant, flexible and scalable implementations in physical stores and online. He was the President and Board member of ViVOtech (acquired by Sequent Software, Inc. in August 2012) from the time he founded it in May 2001 until August 2012. ViVOtech pioneered making a mobile device a viable payment media for consumers using Near Field Communications (NFC) technology as well as making mobile an efficient marketing and advertising channel. While at ViVOtech, Mr. Khan assisted in enabling the adoption of NFC mobile payments through shipping of more than 800,000 NFC POS readers to merchants globally and driving more than 20 field trials of NFC mobile payments, coupons, and loyalty. From 1984 until 1998, he was part of the industry team at VeriFone (acquired by Hewlett Packard in 1997) that lead the effort to make Magnetic Stripe Cards the primary payment media for in-store payments, Smart Cards to be secured payment media for in-store payments, and the adoption of Internet payments and online e-commerce globally. From February 2014 to January 2021, Mr. Khan had been a Board advisor of Poynt Co. which offers an all-in-one omnicommerce payment solution and which was acquired by GoDaddy, Inc. (NYSE: GDDY) in February 2021. He has served on the Boards of numerous Fintech companies, including as Chairman of the Board of YellowPepper Holding Corporation from June 2015 to September 2018, which provided mobile payment solutions, and which was acquired by VISA in October 2020. Mr. Khan is the inventor of more than 40 United States patents which have been granted by the United States Patent and Trademark Office.</w:t>
      </w:r>
    </w:p>
    <w:p>
      <w:pPr>
        <w:spacing w:after="0" w:line="19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Thomas (Tad) A. Decker has significant experience in corporate finance, mergers and acquisitions, complex regulatory and legal issues, financial reporting and accounting and controls. He has also served in senior leadership roles in a number of global organizations such as Cozen O’Connor, Asbury Automotive, Inc., Unisource Worldwide, Inc. and Saint-Gobain Corporation. Since 2013, he has been the Vice Chairman of Cozen O’Connor, a law firm with 30 offices and over 775 attorneys. He served as Chief Executive Officer of the firm from 2007 to 2012, and as Managing Partner from May 2000 until 2004. From 2004 until 2007, he served as inaugural Chairman of the Pennsylvania Gaming Control Board following the appointment by Pennsylvania Governor Edward G. Rendell. He served as General Counsel and Executive Vice President for Asbury Automotive, Inc. from 1999 to 2000; General Counsel and Executive Vice President for Unisource Worldwide, Inc. (NYSE: UWW) from 1997 to 1999; and General Counsel, Secretary, Acting CFO and Chief Operating Officer for Saint-Gobain Corporation from 1974 to 1997. He led the corporate merger and acquisition activities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his tenures at Saint-Gobain Corporation and Unisource Worldwide, Inc. Since 2004, he has served on the board of directors of Actua Corporation (Nasdaq: ACTA), including serving as a member of its Audit Committee, Compensation Committee and Nominating and Corporate Governance Committee. He served as a Director and a member at various times of the Audit Committee and Compensation Committee of Pierce Leahy Corporation (NYSE: PLH) from 1993 to 1999, and has served as a Board member of numerous nonprofit institutions.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Celso L. White brings operational, industry, international business, strategic initiative, risk management and environmental and safety expertise to the Board as well as public Board experience. From 2013 to December 2019, he served as Global Chief Supply Chain Officer at Molson Coors Brewing Company (NYSE: TAP), one of the largest global brewers with more than 40 breweries in the United States, Canada, Europe and India and worldwide distribution, and with annual net sales of approximately $10.6 billion during 2019. From 2010 to January 2013, he was Vice President of International Supply Chain at Molson Coors. From 1998 to 2010, he was at PepsiCola (Nasdaq: PEP), leading the R&amp;D process and manufacturing technology teams from 1998 to 2004, and then as Vice President and General Manager of Concentrate Operations, responsible for the Americas and parts of Asia, from 2004 to 2010. He served in various senior operational roles at Silgin White Corp. from 1984 until 1990, M&amp;M/Mars from 1990 until 1993, and Campbell Soup Company (NYSE: CPB) from 1993 until 1998. In January 2020, he co-founded Igniting Business Growth LLC, a consultancy business. Since 2018, Mr. White has served as a Board member and a member of the Compensation and Management Development Committee of CF Industries Holdings, Inc. (NYSE: CF), one of the world’s largest manufacturers and distributors of nitrogen fertilizer and other nitrogen products. He serves on the Board of Colorado UpLift, whose mission is to build long-term, life-changing relationships with urban youth, based in Denver, Colorado. He is also a member of the Bradley University Board of Trustees.</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believe that our management team’s extensive relationships across the financial technologies industries, comprehensive operating experience building leading companies, transaction experience in acquiring and integrating businesses and focus on partnering with management teams to share our industry knowledge and network of long-standing industry relationships will enable us to access premium acquisition opportunities, consummate an initial business combination and facilitate innovative operational improvements and potential additional acquisitions post-close. Our collective experience in addressing complex situations across consumer- and business-facing business models involving a variety of revenue models and constituents, including the FinTech payment ecosystem and related consumer engagement platforms, and developing creative solutions forms the foundation of our competitive advantage.</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past performance of our management team is not a guarantee of success with respect to any business combination we may consummate. No member of our management team has had management experience with any special purpose acquisition company in the past. You should not rely on the historical record of our management team’s performance as indicative of future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7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Armada determined to enter into a letter of intent with Rezolve and to pursue a potential Business Combination with Rezolve, due to, among other things, Rezolve’s public company readiness, including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expressed interest and pursuit of a potential business combination with a special purpose acquisition company, and the fact that Rezolve had already commenced the Public Company Accounting Oversight Board (PCAOB) audit of its 2020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 Investment Criteria</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we identified the following general criteria that we believed would be important in evaluating prospective target businesses. We used these criteria in evaluating initial business combination opportunities, but we did not limit our evaluation of our initial business combination to target businesses that meet these criteria. We expected that no individual criterion would entirely determine a decision to pursue a particular opportunity. We sought a business combination with a business that we believed:</w:t>
      </w:r>
    </w:p>
    <w:p>
      <w:pPr>
        <w:spacing w:after="0" w:line="85" w:lineRule="exact"/>
        <w:rPr>
          <w:sz w:val="20"/>
          <w:szCs w:val="20"/>
          <w:color w:val="auto"/>
        </w:rPr>
      </w:pPr>
    </w:p>
    <w:p>
      <w:pPr>
        <w:ind w:left="1080" w:right="32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fundamentally sound and can unlock and enhance stockholder value through a combination with us, thereby offering attractive risk-adjusted returns for our stockholders;</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at an inflection point, such as requiring additional management expertise, and able to accelerate growth and financial performance through differentiated business models and the addition of our operational, financial, transactional and legal expertise and networks;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need of a flexible, creative or opportunistic structure where we can deliver additional value;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or provides a platform to assemble an effective management team with a track record of driving growth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with access to broader capital markets, to achieve the business’ growth strategy;</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poised to grow both organically through the application of technology, as well as inorganically, through bolt-on or transformational acquisitions;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leading or niche market position and demonstrates advantages when compared to competitors, which may help to create barriers to entry against new competitors;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unrecognized value or other characteristics that we believe can be enhanced based on our analysis and due diligence review.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Rezolve meets these criteria.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offering the following benefits to Rezolve:</w:t>
      </w:r>
    </w:p>
    <w:p>
      <w:pPr>
        <w:spacing w:after="0" w:line="131" w:lineRule="exact"/>
        <w:rPr>
          <w:sz w:val="20"/>
          <w:szCs w:val="20"/>
          <w:color w:val="auto"/>
        </w:rPr>
      </w:pPr>
    </w:p>
    <w:p>
      <w:pPr>
        <w:ind w:left="1080" w:right="8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our management team members who have extensive and proven experience in operating, leading, advising and investing in market-leading financial services and FinTech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deep and broad networks, insights and operational, financial, transactional, and legal and regulatory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company profile and improved credibility with investors, customers, suppliers and other key stakeholders;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 of engagement with core, relevant, fundamental investors as anchor stockholders than what a traditional IPO book-building process offers;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risk path to a public listing with flexible structuring;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 of cash and ongoing access to public capital markets;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5"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public currency for future acquisitions and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for management team to retain control and focus on growing the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motivate and retain employees using stock-based compensation.</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These criteria were not intended to be exhaustive. Our evaluation relating to the merits of our business combination with Rezolve were based, to the extent relevant, on these general criteria as well as other considerations and factors that our management team and advisors deemed relevant as discussed in this proxy statement/prospectus.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terms of our amended and restated certificate of incorporation, we will have until 24 months from the closing of our initial public offering to consummate an initial business combination (as extended). Pursuant to the terms of our amended and restated certificate of incorporation and the trust agreement between us and Continental Stock Transfer &amp; Trust Company, in order to extend the initial time available for us to consummate our initial business combination from 15 months to 18 months from the closing of our initial public offering, our sponsor or its affiliates or designees, upon ten days advance notice prior to the applicable deadline, deposited into the trust account $1,500,000, or $0.10 per share, which were made in the form of a non-interest bearing loan payable upon the consummation of our initial business combination. If we complete our initial business combination, we will be entitled to be repaid such loaned amounts out of the proceeds of the Trust Account released to us. If we do not complete a business combination, we will not be repaid such loans. On February 2, 2023, our stockholders approved an extension of the date by which we must consummate our initial business combination from February 17, 2023 for up to six additional months at the election of the Company, ultimately until as late as August 17, 2023. In connection with the extension,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subject to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19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evaluating a prospective target business, we conducted thorough due diligence that encompassed, among other things, meetings with incumbent management and employees, document reviews, inspection of facilities, as well as a review of financial and other information. We utilized our operational and capital allocation experience.</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December 17, 2021, we announced that we entered into the Business Combination Agreement. 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combination opportunity which is suitable for an entity to which he or she has then-current fiduciary or contractual obligations, he or she will honor his or her fiduciary or contractual obligations to present such opportunity to such entity. We do not believe, however, that the fiduciary duties or contractual obligations of our officers or directors will materially affect our ability to complete our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the assets held in the Trust Account (excluding deferred underwriting commissions and taxes payable on the income earned on the Trust Account) at the time of the agreement to enter into the initial business combination. If our board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substantive commercial business for an indefinite period of time. We intend to utilize cash derived from the proceeds of our initial public offering and the sale of private shares, our capital stock, debt or a combination of these in effecting a business combination which at the time of our IPO had not yet been identified. Accordingly, investors invested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our management team’s pre-existing fiduciary obligations and the limitations that a target business have a fair market value of at least 80% of the balance in the Trust Account (excluding deferred underwriting commissions and taxes payable)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not established any specific attributes or criteria (financial or otherwise) for prospective target businesses. In evaluating Rezolve, our management considered a variety of factors, including one or more of the following:</w:t>
      </w:r>
    </w:p>
    <w:p>
      <w:pPr>
        <w:spacing w:after="0" w:line="67" w:lineRule="exact"/>
        <w:rPr>
          <w:sz w:val="20"/>
          <w:szCs w:val="20"/>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results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skill of management and availability of additional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entry;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of development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distribution and potential for expansion;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current or potential market acceptance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aspects of products and the extent of intellectual property or other protection for products or formulas;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regulation on the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of the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effecting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leadership, sustainability of market share and attractiveness of market industries in which a target business participates;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competitive dynamics in the industry within which the company competes.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Rezolve, we conducted an extensive due diligence review which encompassed, among other things, meetings with incumbent management and inspection of facilities, as well as review of financial and other information which was made available to us. This due diligence review was conducted by our management.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Nasdaq listing rules require that the target business or businesses that we acquire must collectively have a fair market value equal to at least 80% of the balance of the funds in the Trust Account (excluding deferred underwriting commissions and taxes payable)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is structured whereby following the Company Reorganization, (a) Rezolve Merger Sub will be merged with and into Armada whereupon Rezolve Merger Sub will cease to exist and Armada will survive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fair market value of the target will be determined by our board of directors based upon one or more standards generally accepted by the financial community (such as actual and potential sales, earnings, cash flow and/or book value). This proxy statement/prospectus contains analysis of the fair market value of the target business, as well as the basis for our determinations upon which Armada’s board of directors relied. (Please see the section entitled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xml:space="preserve">” and the written opinion of Marshall &amp; Stevens attached as </w:t>
      </w:r>
      <w:r>
        <w:rPr>
          <w:rFonts w:ascii="Times New Roman" w:cs="Times New Roman" w:eastAsia="Times New Roman" w:hAnsi="Times New Roman"/>
          <w:sz w:val="18"/>
          <w:szCs w:val="18"/>
          <w:i w:val="1"/>
          <w:iCs w:val="1"/>
          <w:color w:val="auto"/>
        </w:rPr>
        <w:t xml:space="preserve">Annex I </w:t>
      </w:r>
      <w:r>
        <w:rPr>
          <w:rFonts w:ascii="Times New Roman" w:cs="Times New Roman" w:eastAsia="Times New Roman" w:hAnsi="Times New Roman"/>
          <w:sz w:val="18"/>
          <w:szCs w:val="18"/>
          <w:color w:val="auto"/>
        </w:rPr>
        <w:t>hereto.)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any proposed business combination, we will seek stockholder approval of our initial business combination at a meeting called for such purpose at which stockholders may seek to redeem their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5"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shares, regardless of whether they vote for or against the proposed business combination or do not vote at all, into their pro rata share of the aggregate amount then on deposit in the Trust Account (net of taxes payable). We will consummate our initial business combination only if we have net tangible assets of at least $5,000,001 immediately prior to or upon consummation of such business combination, unless the Charter Limitation Amendment Proposal is approved and is implemented, and a majority of the outstanding shares of common stock voted are voted in favor of the business combination. We cannot assure you as to how such anchor investors will vote on the Business Combination. We have no specified maximum percentage threshold for redemptions in our amended and restated certificate of incorporation and even those public stockholders who vote in favor of our initial business combination have the right to redeem their public shares. As a result, this may make it easier for us to consummate the Business Combination.</w:t>
      </w:r>
    </w:p>
    <w:p>
      <w:pPr>
        <w:spacing w:after="0" w:line="17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Our sponsor, officers and directors have agreed (1) to vote any shares of common stock owned by them in favor of any proposed business combination (which includes the Business Combination), (2) not to redeem any shares of common stock in connection with a stockholder vote to approve a proposed initial business combination (which includes the Business Combination) and (3) not to sell any shares of common stock in any tender in connection with a proposed initial business combination (which includes the Business Combination).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None of our officers, directors, sponsor, or their affiliates has indicated any intention to purchase units or shares of common stock from persons in the open market or in private transactions. However, if a significant number of stockholders vote, or indicate an intention to vote, against Business Combination or that they wish to redeem their shares, our officers, directors, sponsor, or their affiliates could make such purchases in the open market or in private transactions in order to influence the vote and reduce the number of redemptions.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 2024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 State Street – 30th Floor</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public stockholder’s option. The requirement for physical or electronic delivery prior to the Special Meeting ensures that a redeeming public stockholder’s election to redeem is irrevocable once the Business Combination is approved.</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public stockholder may elect to redeem its public shares irrespective of whether they vote for or against the Proposed Transactions.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Furthermore, if a holder of public shares delivered his certificate in connection with an election of their redemption and subsequently decides prior to the applicable date not to elect to exercise such rights, he may simply request that the transfer agent return the certificate (physically or electronically).</w:t>
      </w:r>
    </w:p>
    <w:p>
      <w:pPr>
        <w:spacing w:after="0" w:line="18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shares delivered by public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if No Business Combination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have only 24 months (as extended) from the closing of our initial public offering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sponsor, officers and directors have agreed that they will not propose any amendment to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unless we provide our public stockholders with the opportunity to redeem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executive officers, directors or any other person.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shares as soon as reasonably possible following August 17, 2023 (unless further extended),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83"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claims that we expect could arise would be from our vendors for the Business Combination (including, without limitation, our lawyers, investment bankers and other advisors).</w:t>
      </w:r>
    </w:p>
    <w:p>
      <w:pPr>
        <w:spacing w:after="0" w:line="16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required to seek to have all third parties (including any vendors or other entities we engage after our initial public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have not agreed to execute agreements with us waiving such claims to the monies held in the Trust Account. Furthermore, there is no guarantee that other vendors, service providers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our initial public offering against certain liabilities, including liabilities under the Securities Act. As a result, if we liquidate, the per-share distribution from the Trust Account could be less than $10.00 due to claims or potential claims of creditors.</w:t>
      </w:r>
    </w:p>
    <w:p>
      <w:pPr>
        <w:spacing w:after="0" w:line="190" w:lineRule="exact"/>
        <w:rPr>
          <w:sz w:val="20"/>
          <w:szCs w:val="20"/>
          <w:color w:val="auto"/>
        </w:rPr>
      </w:pPr>
    </w:p>
    <w:p>
      <w:pPr>
        <w:ind w:left="120" w:right="120" w:firstLine="440"/>
        <w:spacing w:after="0" w:line="236" w:lineRule="auto"/>
        <w:rPr>
          <w:sz w:val="20"/>
          <w:szCs w:val="20"/>
          <w:color w:val="auto"/>
        </w:rPr>
      </w:pPr>
      <w:r>
        <w:rPr>
          <w:rFonts w:ascii="Times New Roman" w:cs="Times New Roman" w:eastAsia="Times New Roman" w:hAnsi="Times New Roman"/>
          <w:sz w:val="18"/>
          <w:szCs w:val="18"/>
          <w:color w:val="auto"/>
        </w:rPr>
        <w:t>We anticipate notifying the trustee of the Trust Account to begin liquidating such assets promptly after our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or if extended,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and anticipate it will take no more than 10 business days to effectuate such distribution. The holders of the founder shares have waived their rights to participate in any liquidation distribution from the Trust Account with respect to such shares.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$100,000) and has contractually agreed not to seek repayment for such expenses.</w:t>
      </w:r>
    </w:p>
    <w:p>
      <w:pPr>
        <w:spacing w:after="0" w:line="20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and expend all of the net proceeds of our initial public offering and the sale of the private shares, other than the proceeds deposited in the Trust Account, and without taking into account interest, if any, earned on the Trust Account, the initial per-share redemption price would be $10.00. As discussed above, the proceeds deposited in the Trust Account could become subject to claims of our creditors that are in preference to the claims of public stockholders.</w:t>
      </w:r>
    </w:p>
    <w:p>
      <w:pPr>
        <w:spacing w:after="0" w:line="180"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Our public stockholders shall be entitled to receive funds from the Trust Account only in the event of our failure to complete a business combination within the required time period, if the stockholders seek to have us redeem or purchase their respective shares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6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(as extended) from the closing of our initial public offering, this may be viewed or interpreted as giving preference to our public stockholders over any potential creditors with respect to access to or distributions from our assets. Furthermore,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certain requirements and restrictions relating to our initial public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we will provide dissenting public stockholders with the opportunity to redeem their public shares in connection with any such vote. This redemption right shall apply in the event of the approval of any such amendment, whether proposed by our sponsor, any executive officer, director or any other person. Our sponsor, officers and directors have agreed to waive any redemption rights with respect to any founder shares and any public shares they may hold in connection with any vote to amend our amended and restated certificate of incorporation. Specifically, our amended and restated certificate of incorporation provides, among other things, that:</w:t>
      </w:r>
    </w:p>
    <w:p>
      <w:pPr>
        <w:spacing w:after="0" w:line="100" w:lineRule="exact"/>
        <w:rPr>
          <w:sz w:val="20"/>
          <w:szCs w:val="20"/>
          <w:color w:val="auto"/>
        </w:rPr>
      </w:pPr>
    </w:p>
    <w:p>
      <w:pPr>
        <w:ind w:left="1080" w:hanging="424"/>
        <w:spacing w:after="0" w:line="256"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either (1)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92"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immediately prior to or upon consummation of such business combination, unless the Charter Limitation Amendment Proposal is approved and implemented, and, if we seek stockholder approval, a majority of the outstanding shares of common stock voted are voted in favor of the business combination;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(as extended) from the closing of our initial public offering, then we will redeem all of the outstanding public shares and thereafter liquidate and dissolve our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our initial public offering, $150.0 million shall be placed into the Trust Account;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stock that participates in any manner in the proceeds of the Trust Account, or that votes as a class with the common stock sold in our initial public offering on an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currently maintain our principal executive offices at 2005 Market Street, Suite 3120, Philadelphia, PA 19103. The cost for this space is included in the $10,000 per-month fee to our sponsor. We believe, based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rents and fees for similar services, that the fee charged by our sponsor is at least as favorable as we could have obtained from an unaffiliated person. We consider our current office space adequate for our current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the stage of the business combination process the company is in. We presently expect our executive officers to devote such amount of time as they reasonably believe is necessary to our business. We do not intend to have any full-time employees prior to the consummation of a business combination.</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Armada will continue to exist as a wholly-owned subsidiary of Rezolve for potential business purposes, including, but not limited to, potential expansions of Rezolve’s operations into the United States as may be determined by Rezolve’s board of directors. Rezolve’s board of directors may, however, in its judgment, determine to dissolve Armada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members of our management team in their capacity as such.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Audited Financial Statements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registered our units, common stock and warrants under the Exchange Act and are subject to reporting obligations, including the requirement that we file annual, quarterly and current reports with the SEC. In accordance with the requirements of the Exchange Act, our annual report contains financial statements audited and reported on by our independent registered public accountants.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statement/prospectus contains the audited financial statements of our target business, Rezolve, to assist our stockholders in assessing the Business Combination. These financial statements have been prepared in accordance with or reconciled to United States generally accepted accounting principles or international financial reporting standards as promulgated by the International Accounting Standards Board.</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be required to have our internal control procedures audited for the fiscal year ending September 30, 2023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60"/>
          </w:cols>
          <w:pgMar w:left="320" w:top="455" w:right="5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ARMADA’S MANAGEMENT’S DISCUSSION AND ANALYSIS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 this section, references to the “Company,” “us” or “we” refer to Armada Acquisition Corp. I.</w:t>
      </w:r>
    </w:p>
    <w:p>
      <w:pPr>
        <w:spacing w:after="0" w:line="225"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the financial statements and the notes thereto contained elsewhere in this report.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a blank check company incorporated in Delaware on November 5, 2020, for the purpose of effecting a merger, stock exchange, asset acquisition, stock purchase, reorganization or other similar business combination with one or more businesses.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17, 2021, we consummated our IPO of 15,000,000 units, at $10.00 per unit, generating gross proceeds of $150 million.</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we consummated the private placement of 459,500 Private Shares for an aggregate purchase price of $4,595,000.</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IPO on August 17, 2021, $150,000,000 ($10.00 per unit) from the net proceeds of the sale of the units in the IPO and the sale of Private Shares were placed in the Trust Account.</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complete the initial Business Combination within the Combination Period,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us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liquidate and dissolve, subject (in the case of (ii) and (iii) above) to our obligations under Delaware law to provide for claims of creditors and the requirements of other applicable law.</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February 2, 2023, we held an annual meeting of our stockholders (the “Annual Meeting”). At the Annual Meeting, our stockholders approved an amendment to the Armada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We filed an amendment to the Armada Charter with the Secretary of State of the State of Delaware reflecting the Extension. In connection with the Extension, the holders of 11,491,148 shares of Armada Common Stock elected to redeem their shares at a per share redemption price of approximately $10.19. As a result, we removed $117,079,879 to pay such holders.</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On August 2, 2023, we held a special meeting of stockholders to approve an amendment to the Armada Charter (the “Charter Amendment”) to extend the date by which the Company has to consummate a Business Combination from August 17, 2023 to September 17, 2023 and to allow the Company without another stockholder vote, to elect to extend the Termination Date to consummate a Business Combination on a monthly basis up to five times by an additional one month each time after the Charter Extension Date, by resolution of Company’s board of directors, if requested by the Sponsor, and upon five days’ advance notice prior to the applicable Termination Date, until February 17, 2024, or a total of up to six months after the Original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Termination Date, unless the closing of a Business Combination shall have occurred prior thereto (the “Second Extension Amendment Proposal”). The stockholders of the Company approved the Second Extension Amendment Proposal at the special meeting and on August 3, 2023, the Company filed the amendment to the Armada Charter with the Delaware Secretary of State. In connection with the Second Extension Amendment Proposal, the holders of 1,145,503 public shares of Common Stock of Armada exercised their right to redeem their shares for cash at a redemption price of approximately $10.56 per share, for an aggregate redemption amount of approximately $12,095,215.</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Notwithstanding the foregoing, in the event that Armada does not consummate a Business Combination, the total principal amount of the Extension Note may be converted, in whole or in part, at the option of the lender into common stock of the Company at a price of $10.00 per share, which shares will be identical to the private placement shares issued to Armada Sponsor LLC at the time of the initial public offering of the Company. As of November 13, 2023, there was $283,601.88 outstanding under the Extension Note. The proceeds of the Extension Note will be deposited in the Trust Account in connection with the Charter Amendment as follows: $70,900.47 to be deposited into the Trust Account within five business days following approval of the Charter Amendment by the Company’s stockholders, and up to $354,502 in five equal installments to be deposited into the Trust Account for each of the five one-month extensions.</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February 15, 2024, we held a special meeting of its stockholders to approve an amendment to the Armada Charter to extend the date by which the Company has to consummate a Business Combination from February 17, 2024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 In connection with the Third Extension Amendment Proposal, the holders of 945,662 shares of Common Stock of the Company exercised their right to redeem their shares for cash at a redemption price of approximately $10.98 per share, for an aggregate redemption amount of $10,384,496.</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our plans to complete our initial business combination will be successful.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December 17, 2021, we announced that we entered into a business combination agreement, dated as of December 17, 2021, and amended on November 10, 2022, and as further amended and restated on June 16,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Rezolve and Rezolve Merger Sub will effect a series of transactions including, among other things:</w:t>
      </w:r>
    </w:p>
    <w:p>
      <w:pPr>
        <w:spacing w:after="0" w:line="67" w:lineRule="exact"/>
        <w:rPr>
          <w:sz w:val="20"/>
          <w:szCs w:val="20"/>
          <w:color w:val="auto"/>
        </w:rPr>
      </w:pPr>
    </w:p>
    <w:p>
      <w:pPr>
        <w:ind w:left="1080" w:right="80" w:hanging="532"/>
        <w:spacing w:after="0" w:line="255"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(i) the shareholders of Rezolve will receive a number of Rezolve Ordinary Shares equal to (A) the quotient obtained by dividing (x) $1,600,000,000 by (y) $10.00 minus (B) the Outstanding Warrant Number (as defined in the Business Combination Agreement) and minus (C) the Acquisition Shares (as defined in the Business Combination Agreement) (to the extent such Acquisition Shares are not already issued on or prior to the Company Reorganization Date), and (ii) the combined company will pay or cause to be paid all of the transaction expenses.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proposed business combination values Rezolve at a pro forma enterprise value of approximately $1.60 billion.</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the company will be named Rezolve PLC and will be listed on The Nasdaq Stock Market LLC under the new ticker symbol “        .”</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the completion of the Company Reorganization, the requisite approvals of our stockholders and Rezolve’s shareholders and regulatory approvals.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our plans to complete our initial business combination will be successful.</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55" w:right="4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2023, we had a net loss of $320,150, which consisted of formation and operating costs of $2,570,972, stock-based compensation of $218,254, and income tax provision of $615,284, partially offset by trust interest income of $3,084,260.</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2022, we had a net loss of $3,622,794, which consisted of formation and operating costs of $4,391,263, stock-based compensation of $111,852, and income tax provision of $145,621, partially offset by trust interest income of $1,025,942.</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2023, we had a net loss of $360,314, which consisted of formation and operating costs of $571,529, stock-based compensation of $50,400, and income tax provision of $67,834, partially offset by trust interest income of $334,836 and interest expense of $5,387.</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2022, we had a net income of $607,027, which consisted of trust interest income of $1,289,673, offset by formation and operating costs of $394,352, stock-based compensation of $27,963, and income tax provision of $260,331.</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had a net loss of $380,846, which consisted of formation and operating costs of $459,911, stock-based compensation of $25,200, and income tax provision of $47,080, partially offset by trust interest income of $270,156 and interest expense of $118,811.</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2024, we had a net loss of $741,160, which consisted of formation and operating costs of $1,031,440, stock-based compensation of $75,600, and income tax provision of $114,914, partially offset by trust interest income of $604,992 and interest expense of $124,198.</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we had a net loss of $27,143, which consisted of formation and operating costs of $790,735, stock-based compensation of $27,963, and income tax provision of $182,853, offset by trust interest income of $974,408.</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2023, we had a net income of $579,884, which consisted of trust interest income of $2,264,081, offset by formation and operating costs of $1,185,087, stock-based compensation of $55,926, and income tax provision of $443,184.</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exercise of the automatic extension of the deadline for us to complete an initial business combination under our second amended and restated certificate of incorporation, we had until February 17, 2023 (or 18 months following our initial public offering) to consummate a business combination (unless we further extend the period of time to consummate a business combination) (the “Combination Period”).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until no later than February 17, 2024. 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an additional five months or until February 17, 2024.</w:t>
      </w:r>
    </w:p>
    <w:p>
      <w:pPr>
        <w:spacing w:after="0" w:line="192"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On February 15, 2024, the stockholders approved a third amendment to the Company’s certificate of incorporation to extend the Combination Period for up to six additional months or until no later than August 17, 2024. On February 13, 2024, the Company deposited $49,900 into the Trust Account thereby extending the Combination Period until March 17, 2024, and on each of March 13, 2024, April 16, 2024 and May 17, 2024, the Company deposited $49,900 into the Trust Account thereby extending the Combination Period for an additional two months or until June 17, 2024.</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5"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if we are unable to complete the initial Business Combination within the Combination Period (unless such period is further extended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approval of our stockholders), we will (i) cease all operations except for the purpose of winding up, (ii) as promptly as reasonably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possible but not more than ten business days thereafter, redeem 100% of the outstanding public shares, at a per-share price, payable in cash, equal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amount then on deposit in the Trust Account, including interest earned on the funds held in the Trust Account and not previously released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but net of taxes payable (and less up to $100,000 of interest to pay dissolution expenses), divided by the number of then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shares, which redemption will completely extinguish public stockholders’ rights as stockholders (including the right to receive further liquidation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distributions, if any), subject to applicable law, and (iii) as promptly as reasonably possible following such redemption, subject to the approval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remaining stockholders and the Company’s board of directors, liquidate and dissolve, subject (in the case of (ii) and (iii) above) to our obligations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 law to provide for claims of creditors and the requirements of other applicable law. As of September 30, 2023 the Trust Account has released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$130,246,958 to the Company to pay tax obligations and for redemptions, including $129,175,094 for redemptions and $1,071,864 for tax obligations.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and September 30, 2023, the Trust Account has released $130,246,958 to the Company to pay tax obligations and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redemptions, including $129,175,094 for redemptions and $1,071,864 for tax obligations. As of March 31, 2024, the Trust Account has released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$140,787,627 to the Company to pay tax obligations and for redemptions, including $139,559,590 for redemptions and $1,228,038 for tax obligations.</w:t>
      </w:r>
    </w:p>
    <w:p>
      <w:pPr>
        <w:spacing w:after="0" w:line="20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also agreed to reimburse the Sponsor for office space, secretarial and administrative services provided to members of our management team, in an amount not to exceed $10,000 per month. Upon completion of or initial business combination or our liquidation, we will cease paying these monthly fees. For each of the two fiscal years ended September 30, 2023 and 2022, the Company paid $120,000 under this agreement. For the three months ended December 31, 2023 the Company did not pay these administrative fees and recorded an account payable to the Sponsor for $30,000 and for the three months ended December 31, 2022, the Company paid $30,000 under this agreement. For the three and six months ended March 31, 2024, the Company incurred $30,000 and $60,000, respectively in administrative service fee.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2024, we had cash outside our Trust Account of $107,722, available for working capital needs. As of December 31, 2023, we had cash outside our Trust Account of $54,405, available for working capital needs. As of September 30, 2022 and September 30, 2023, we had cash outside our Trust Account of $177,578 and $60,284, respectively, available for working capital needs. The amount of $15,771,190 as of March 31, 2024, held in the Trust Account is generally unavailable for our use, prior to an initial business combination.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17, 2021, we completed the sale of 15,000,000 Units at $10.00 per Unit, generating gross proceeds of $150,000,000.</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IPO, the underwriters were granted a 45-day option from the date of the prospectus for the IPO to purchase up to 2,250,000 additional units to cover over-allotments, if any. On October 1, 2021 this option expired unused.</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Following our IPO and the sale of the Private Shares, a total of $150,000,000 ($10.00 per Unit) was placed in the Trust Account. We incurred $3,537,515 in IPO related costs, including $1,500,000 of underwriting fees and $2,037,515 of other costs.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May 9, 2022, the Sponsor loaned us the aggregate amount of $483,034 in order to assist us to fund our working capital needs. The loan was evidenced by two promissory notes. During July 2022, we fully repaid one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of the promissory notes in the amount of $187,034 which represented monies loaned to us for the payment of Delaware franchise taxes. We utilized the interest earned on the Trust Account to repay the promissory note, $120,000 of which was distributed to us from the Trust Account during June 2022, and $62,069 of which was distributed to us from the Trust Account during July 2022. We also paid $4,300 and $44,246 on behalf of the Sponsor for tax services in fiscal years 2023 and 2022, respectively. These amounts were applied against the balance owing to the Sponsor under the remaining promissory note. As of September 30, 2023 and 2022, the net amount outstanding under the promissory note was $247,454 and $251,754, respectively. The promissory notes are non-interest bearing and due on the earlier of: (i) the liquidation or release of all of the monies held in the Trust Account or</w:t>
      </w:r>
    </w:p>
    <w:p>
      <w:pPr>
        <w:spacing w:after="0" w:line="5" w:lineRule="exact"/>
        <w:rPr>
          <w:sz w:val="20"/>
          <w:szCs w:val="20"/>
          <w:color w:val="auto"/>
        </w:rPr>
      </w:pPr>
    </w:p>
    <w:p>
      <w:pPr>
        <w:ind w:left="120" w:right="580" w:hanging="4"/>
        <w:spacing w:after="0" w:line="260" w:lineRule="auto"/>
        <w:tabs>
          <w:tab w:leader="none" w:pos="38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10, 2022 our Sponsor loaned us $1,500,000 in order to cover the additional contribution to the Trust Account required in connection with the exercise by us of the extension of our deadline to complete our Initial Business Combination until February 17, 2023 (which deadline has been subsequently further extended), and $450,000 for our working capital needs. These loans were evidenced by two promissory notesfrom us, as maker, to our Sponsor, as payee. The promissory notes are non-interest bearing and due on the earlier of: (i) the liquidation or release of all of the monies held in the Trust Account or (ii) the date on which we consummate an acquisition, merger or other business combination transaction involving us or our affiliates. The principal balance may be prepaid at any time.</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August 2, 2023, the Company issued the Extension Note to the Sponsor in the amount of up to $425,402.82.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$425,402.82 of the total principal amount of the Extension Note into common stock of the Company at a price of $10.00 per share. The Common Stock shall be identical to the private placement shares issued to Armada Sponsor, LLC at the time of the Company’s IPO. As of September 30, 2023, $141,800.94 was drawn and outstanding under the Extension Note.</w:t>
      </w:r>
    </w:p>
    <w:p>
      <w:pPr>
        <w:spacing w:after="0" w:line="18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On August 8, 2023, the Company borrowed $70,900.47 under the Extension Note and deposited the funds into the Trust Account thereby extending the Termination Date to September 17, 2023.</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August 9, 2023, the Company issued a promissory note to the Sponsor for the aggregate amount of $20,840.03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September 10, 2023, the Company issued a promissory note to the Sponsor for the aggregate amount of $79,099.53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September 12, 2023, the Company borrowed $70,900.47 under the Extension Note and deposited the funds into the Trust Account thereby extending the Termination Date to October 17,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On February 15, the Company issued the Second Extension Note in an amount up to $297,714.30. The Second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$297,714.30 of the total principal amount of the Second Extension Note into common stock of the Company at a price of $10.00 per share. The Common Stock shall be identical to the private placement shares issued to Armada Sponsor, LLC at the time of the Company’s IPO.</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aggregate balance outstanding under all promissory notes, including the Extension Note and the Second Extension Note, was $2,776,600 and $2,564,439 as of March 31, 2024, and September 30, 2023, respectively.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Trust Account has released $ 1,228,038 and $1,071,864 as of March 31, 2024 and September 30, 2023, respectively, to the Company to pay its income and franchise tax obligations. The Trust Account has released $0 and $1,071,864 as of December 31, 2023 and September 30, 2023, respectively, to the Company to pay its income and franchise tax obligations. In connection with the Extension approved by our stockholders on February 2, 2023, the holders of 11,491,148 shares of Common Stock elected to redeem their shares at a per share redemption price of approximately $10.19. As a result, $117,079,879 was removed from the Company’s Trust Account to pay such holders. During August 2023, holders of 1,145,503 shares of Common Stock elected to redeem their shares in connection with the Second Amendment Extension Proposal. As a result, $12,095,215, or approximately $10.56 per share, was removed from the Company’s Trust Account to pay such holders. During February 2024, holders of 945,662 shares of Common Stock elected to redeem their shares in connection with the Third Extension Amendment Proposal. As a result, $10,384,496, or approximately, $10.98 per share, was removed from the Trust Account.</w:t>
      </w:r>
    </w:p>
    <w:p>
      <w:pPr>
        <w:spacing w:after="0" w:line="188"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For the year ended September 30, 2023, cash used in operating activities was $1,860,042. Net loss of $320,150 was impacted primarily by changes in operating assets and liabilities of $1,326,108, stock-based compensation of $218,254, partially offset by trust interest income of $3,084,260.</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year ended September 30, 2022, cash used in operating activities was $913,835. Net loss of $3,622,794 was impacted primarily by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changes in operating assets and liabilities of $3,623,049, stock-based compensation of $111,852, partially offset by trust interest income of $1,025,942.</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to complete our initial business combination. We may withdraw interest to pay our taxes and liquidation expenses if we are unsuccessful in completing a business combination. We estimate our 2023 annual franchise tax obligations to be $127,600, which we may pay from funds from the Public Offering held outside of the Trust Account or from interest earned on the funds held in the Trust Account and released to us for this purpose. Our 2021 Delaware franchise tax amounted to $182,069 and our 2022 Delaware franchise tax exclusive of interest and penalty amounted to $200,000. Our annual income tax obligations will depend on the amount of interest and other income earned on the amounts held in the Trust Account reduced by our operating expense and franchise taxes.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As of December 31, 2023, and September 30, 2023, the Trust Account has released $130,246,958 to the Company to pay tax obligations and for redemptions, including $129,175,094 for redemptions and $1,071,864 for tax obligations.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Further, our sponsor, officers and directors or their respective affiliates may, but are not obligated to, loan us funds as may be required. If we complete a business combination, we would repay the loans. In the event that a business combination does not close, we may use a portion of proceeds held outside the Trust Account to repay the loans, but no proceeds held in the Trust Account would be used to repay the loans. Such loans would be evidenced by promissory notes and would be repaid upon consummation of a business combination, without interest. There was a balance due to the Sponsor of $2,776,600 and $2,564,439 under the loans (including the Extension Note) as of December 31, 2023 and September 30, 2023, respectively.</w:t>
      </w:r>
    </w:p>
    <w:p>
      <w:pPr>
        <w:spacing w:after="0" w:line="16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However, if our estimates of the operating costs are less than the actual amount necessary to do so, or our Sponsor ceases to loan us sufficient funds, we may have insufficient funds available to operate our business prior to our business combination. Under the original Business Combination Agreement, either we or Rezolve could have terminated the Business Combination Agreement if the aggregate transaction proceeds (excluding certain amounts invested by the investors specified in the Business Combination Agreement) provided or committed to be provided was not more than $50 million. The Amendment entered into in November 2022 eliminated this provision in its entirety. If we are unable to complete a business combination (including the Business Combination) because we do not have sufficient funds available to us, we will be forced to cease operations and liquidate the Trust Account.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 Accounting Standards Update (“ASU”) 2014-15, “Disclosures of Uncertainties about an Entity’s Ability to Continue as a Going Concern,” our management has determined that we have and will continue to incur significant costs in pursuit of acquisition plans which, in addition to possibility that we might not be able to a close business combination and be forced to liquidate after August 17, 2024 raises substantial doubt about our ability to continue as a going concern. No adjustments have been made to the carrying amounts of assets or liabilities that might be necessary if we are unable to continue as a going concern.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Shares of Armada Common Stock</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account for our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Our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w:t>
      </w:r>
    </w:p>
    <w:p>
      <w:pPr>
        <w:spacing w:after="0" w:line="17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00"/>
          </w:cols>
          <w:pgMar w:left="320" w:top="455" w:right="5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comply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we did not have any dilutive securities or other contracts that could, potentially, be exercised or converted into common stock and then share in the earnings of the Company. As a result, diluted net loss per common stock is the same as basic net loss per common stock for the period presented.</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We have not entered into any off-balance sheet financing arrangements, established any special purpose entities, guaranteed any debt or commitments of other entities, or entered into any non-financial agreements involving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administrative agreement to reimburse our sponsor for office space, secretarial and administrative services not to exceed $10,000 per month from the date of closing of the Public Offering. Upon completion of a business combination or the Company’s liquidation, the Company will cease paying these monthly fees.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Advisory Fee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we paid to CCM an aggregate of $1,500,000. CCM is engaged to represent our interests only. We have engaged CCM as a capital markets advisor in connection with the initial Business Combination for which it will earn an advisory fee of $3,000,000, payable only upon closing of the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Combination. The Company also engaged CCM as a financial advisor in connection with the initial Business Combination for which it will earn an advisory fee of $8,750,000, payable only upon closing of the Business Combination.</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have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have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engaged Northland Securities, Inc., the representative of the underwriter, as an advisor in connection with Business Combination to assist in holding meetings with our stockholders to discuss the potential Business Combination and the target business’ attributes, introduce us to potential investors that are interested in purchasing our securities in connection with the initial Business Combination and assist us with press releases and public filings in connection with the Business Combination. We will pay the representative a cash fee for such services only upon the consummation of the initial Business Combination in an amount equal to 2.25% of the gross proceeds of the IPO, or $3,375,000. We will also pay the representative a separate capital market advisory fee of $2,500,000 only upon completion of the initial Business Combination. Additionally, we will pay the representative a cash fee equal to 1.0% of the total consideration payable in the proposed Business Combination if the representative introduces us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canceled.</w:t>
      </w:r>
    </w:p>
    <w:p>
      <w:pPr>
        <w:spacing w:after="0" w:line="194"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of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 of First Refusal</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determine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officers, directors or their affiliates may issue in payment of Working Capital Loans made to us, will be entitled to registration rights pursuant to an agreement to be signed prior to or on the effective date of the IPO. The holders of a majority of these securities (other than the holders of the representative shares)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officers, directors or their affiliates in payment of Working Capital Loans made to us can elect to exercise these registration rights at any time after we consummate a business combination. In addition, the holders have certain “piggy-back” registration rights with respect to registration statements filed subsequent to the consummation of a business combination. We will bear the expenses incurred in connection with the filing of any such registration statements. Pursuant to the terms of the Business Combination Agreement, in connection with the Business Combination, our sponsor, certain stockholders of Rezolve and certain other parties will enter into an investor rights agreement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at the closing of the transactions contemplated by the Business Combination Agreement, which will, among other things, provide for registration rights for the parties thereto. The registration rights agreement with the holders of the Founders Shares will be terminated and superseded by the Investor Rights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party to a definitive business combination agreement with Rezolve and Rezolve Merger Sub, dated December 17, 2021 as amended on November 10, 2022 and further amended and restated on June 16, 2023. Completion of the Proposed Transactions pursuant to the Business Combination Agreement is subject to customary closing conditions, including the approval of the Company’s and Rezolve’s respective stockholders and regulatory approvals.</w:t>
      </w:r>
    </w:p>
    <w:p>
      <w:pPr>
        <w:spacing w:after="0" w:line="180"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260" w:lineRule="auto"/>
        <w:tabs>
          <w:tab w:leader="none" w:pos="37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the Business Combination Agreement and the agreements contemplated thereby and the transactions contemplated hereby, (c) enter into an Investor Rights Agreement at Closing and (d) the termination of certain agreements effective as of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an subscription agreement (the “Polar Subscription Agreement”) with Polar Multi-Strategy Master Fund (“Polar”), an unaffiliated third party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shares of common stock, par value $0.0001 per share, to Polar at the closing of its initial business combination, as further described below; and (ii) upon repayment of working capital loans by the Company, the Sponsor will return the Investor Capital Contribution at the closing of an initial business combination, as further described below.</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maximum aggregate Investor Capital Contribution is $440,000, with an initial Investor Capital Contribution of $110,000 available for drawdown within five (5) business days of the Polar Subscription Agreement and the balance available for drawdown in three equal monthly tranches of $110,000 during January, February and March 2024. The initial Investor Capital Contribution of $110,000 has been funded to the Sponsor, on January 16, 2024, the second Investor Capital Contribution of $110,000 was funded, and on February 13, 2024, the third Investor Capital Contribution of $110,000 was funded.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exchange for the forgoing commitment of Polar to make capital contributions to the Sponsor, the Company agrees to, or cause the surviving entity following the closing of the Company’s initial business combination to, issue 880,000 shares of Armada common stock currently held by the Sponsor in consideration for the amount that has been funded by Polar as of or prior to the closing of an initial business combination.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Following the consummation of our IPO on August 17, 2021, after releasing funds to Armada to be held outside of the Trust, $150,000,000 from the net proceeds of the sale of the units in the IPO was held in a Trust Account and has been invested only in U.S. government securities, within the meaning set forth in Section 2(a)(16) of the Investment Company Act of 1940, as amended (the “Investment Company Act”), having a maturity of</w:t>
      </w:r>
    </w:p>
    <w:p>
      <w:pPr>
        <w:spacing w:after="0" w:line="1" w:lineRule="exact"/>
        <w:rPr>
          <w:sz w:val="20"/>
          <w:szCs w:val="20"/>
          <w:color w:val="auto"/>
        </w:rPr>
      </w:pPr>
    </w:p>
    <w:p>
      <w:pPr>
        <w:jc w:val="both"/>
        <w:ind w:left="120" w:right="220"/>
        <w:spacing w:after="0" w:line="255" w:lineRule="auto"/>
        <w:rPr>
          <w:sz w:val="20"/>
          <w:szCs w:val="20"/>
          <w:color w:val="auto"/>
        </w:rPr>
      </w:pPr>
      <w:r>
        <w:rPr>
          <w:rFonts w:ascii="Times New Roman" w:cs="Times New Roman" w:eastAsia="Times New Roman" w:hAnsi="Times New Roman"/>
          <w:sz w:val="18"/>
          <w:szCs w:val="18"/>
          <w:color w:val="auto"/>
        </w:rPr>
        <w:t>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OF REZOLVE LIMITED</w:t>
      </w:r>
    </w:p>
    <w:p>
      <w:pPr>
        <w:spacing w:after="0" w:line="227"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Shareholders should read this section in conjunction with the more detailed information about Rezolve contained in this proxy statement/prospectus, including the Rezolve Financial Statements and the other information appearing in the section entitled “Rezolve’s Management’s Discussion &amp; Analysis of Financial Condition and Results of Operations.” In this section, references to “we,” “us,” the “Company,” “Rezolve” and “our” are intended to refer to Rezolve Limited and its subsidiaries prior to the Pre-Closing Demerger, unless the context clearly indicates otherwise.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43"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340" w:right="4220" w:hanging="224"/>
        <w:spacing w:after="0" w:line="218" w:lineRule="auto"/>
        <w:tabs>
          <w:tab w:leader="none" w:pos="340" w:val="left"/>
        </w:tabs>
        <w:numPr>
          <w:ilvl w:val="0"/>
          <w:numId w:val="2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Please see Rezolve Press Release dated July 25, 2023, available at </w:t>
      </w:r>
      <w:r>
        <w:rPr>
          <w:rFonts w:ascii="Times New Roman" w:cs="Times New Roman" w:eastAsia="Times New Roman" w:hAnsi="Times New Roman"/>
          <w:sz w:val="17"/>
          <w:szCs w:val="17"/>
          <w:u w:val="single" w:color="auto"/>
          <w:color w:val="auto"/>
        </w:rPr>
        <w:t>https://www.rezolve.com/investors/britainsbrain-heralds-new-era-of-commerce-enabled-ai/</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We expect revenues to increase significantly in 2024. Revenues from Brain are also forecast to begin in Q4 2024, increasing significantly in 2025. We also expect to generate revenues in Q4 2024 in Europe, South America and the Middle East. North American revenues are forecast in Q1 2025. We have signed partner agreements with Adobe, ACI, Haendlerbund, Epages, JTL, Oxid and Chatwerk and others and are in discussions with significant new partners in markets around the world.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total revenues were $0.1 million and $0.1 million, for the years ended December 31, 2022 and 2023, respectively. We had net losses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$110.7 million and $31.7 million inclusive of non-cash items representing $10.2m and $28.6m, respectively for the years ended December 31, 2022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respectively. We currently generate our revenue from Transaction fees based on sales of ticketing for La Liga football events in Spain.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“—Business of Rezolve Limited.” For additional information regarding Rezolve’s business model and Rezolve management’s anticipated impacts to its business from the transition of its business model to its myBrain and Brain offerings, see “—The Business Combination Proposal—Opinion of Marshall &amp; Stevens—Rezolve 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5168900" cy="26574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68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60"/>
          </w:cols>
          <w:pgMar w:left="320" w:top="455" w:right="5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29" w:lineRule="exact"/>
        <w:rPr>
          <w:sz w:val="20"/>
          <w:szCs w:val="20"/>
          <w:color w:val="auto"/>
        </w:rPr>
      </w:pPr>
    </w:p>
    <w:p>
      <w:pPr>
        <w:ind w:left="1080" w:hanging="424"/>
        <w:spacing w:after="0" w:line="261"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eCommerce-Specific AI Platform and Suite—Brain. </w:t>
      </w:r>
      <w:r>
        <w:rPr>
          <w:rFonts w:ascii="Times New Roman" w:cs="Times New Roman" w:eastAsia="Times New Roman" w:hAnsi="Times New Roman"/>
          <w:sz w:val="18"/>
          <w:szCs w:val="18"/>
          <w:color w:val="auto"/>
        </w:rPr>
        <w:t>Rezolve’s Brain allows customers, either online or instore, to ask, via voice or text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85" w:lineRule="exact"/>
        <w:rPr>
          <w:rFonts w:ascii="Times New Roman" w:cs="Times New Roman" w:eastAsia="Times New Roman" w:hAnsi="Times New Roman"/>
          <w:sz w:val="18"/>
          <w:szCs w:val="18"/>
          <w:color w:val="auto"/>
        </w:rPr>
      </w:pPr>
    </w:p>
    <w:p>
      <w:pPr>
        <w:ind w:left="1080" w:right="100" w:hanging="424"/>
        <w:spacing w:after="0" w:line="272" w:lineRule="auto"/>
        <w:tabs>
          <w:tab w:leader="none" w:pos="108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Instant Checkout. </w:t>
      </w:r>
      <w:r>
        <w:rPr>
          <w:rFonts w:ascii="Times New Roman" w:cs="Times New Roman" w:eastAsia="Times New Roman" w:hAnsi="Times New Roman"/>
          <w:sz w:val="17"/>
          <w:szCs w:val="17"/>
          <w:color w:val="auto"/>
        </w:rPr>
        <w:t>Rezolve’s Instant Checkout allows websites to convert passive browsers into actors or buyers with one click 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7" w:lineRule="exact"/>
        <w:rPr>
          <w:rFonts w:ascii="Times New Roman" w:cs="Times New Roman" w:eastAsia="Times New Roman" w:hAnsi="Times New Roman"/>
          <w:sz w:val="17"/>
          <w:szCs w:val="17"/>
          <w:color w:val="auto"/>
        </w:rPr>
      </w:pPr>
    </w:p>
    <w:p>
      <w:pPr>
        <w:ind w:left="1080" w:hanging="424"/>
        <w:spacing w:after="0" w:line="258"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Our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8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85"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00"/>
          </w:cols>
          <w:pgMar w:left="320" w:top="455"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3" w:lineRule="exact"/>
        <w:rPr>
          <w:sz w:val="20"/>
          <w:szCs w:val="20"/>
          <w:color w:val="auto"/>
        </w:rPr>
      </w:pPr>
    </w:p>
    <w:p>
      <w:pPr>
        <w:ind w:left="1080" w:right="60" w:hanging="424"/>
        <w:spacing w:after="0" w:line="256"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Actionable Analytics and Insights. </w:t>
      </w:r>
      <w:r>
        <w:rPr>
          <w:rFonts w:ascii="Times New Roman" w:cs="Times New Roman" w:eastAsia="Times New Roman" w:hAnsi="Times New Roman"/>
          <w:sz w:val="18"/>
          <w:szCs w:val="18"/>
          <w:color w:val="auto"/>
        </w:rPr>
        <w:t>With our platform, we expect merchants will be able to receive direct insights into consumer behavior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Frictionless Consumer Experience. </w:t>
      </w:r>
      <w:r>
        <w:rPr>
          <w:rFonts w:ascii="Times New Roman" w:cs="Times New Roman" w:eastAsia="Times New Roman" w:hAnsi="Times New Roman"/>
          <w:sz w:val="18"/>
          <w:szCs w:val="18"/>
          <w:color w:val="auto"/>
        </w:rPr>
        <w:t>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146685</wp:posOffset>
            </wp:positionV>
            <wp:extent cx="4697730" cy="27171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9773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provides the following key benefits to these Channels:</w:t>
      </w:r>
    </w:p>
    <w:p>
      <w:pPr>
        <w:spacing w:after="0" w:line="129" w:lineRule="exact"/>
        <w:rPr>
          <w:sz w:val="20"/>
          <w:szCs w:val="20"/>
          <w:color w:val="auto"/>
        </w:rPr>
      </w:pPr>
    </w:p>
    <w:p>
      <w:pPr>
        <w:ind w:left="1080" w:right="100" w:hanging="424"/>
        <w:spacing w:after="0" w:line="284"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Upsell Opportunities: </w:t>
      </w:r>
      <w:r>
        <w:rPr>
          <w:rFonts w:ascii="Times New Roman" w:cs="Times New Roman" w:eastAsia="Times New Roman" w:hAnsi="Times New Roman"/>
          <w:sz w:val="18"/>
          <w:szCs w:val="18"/>
          <w:color w:val="auto"/>
        </w:rPr>
        <w:t>We will collaborate with our Channels to sign up merchants and share with them a portion of the revenue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those merchants. The Rezolve platform offers an additional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revenue stream for these Channels and the opportunity to extract incremental economics from their existing customer base. Our offering generates incremental revenue with minimal cannibalization of existing revenue for our Channels given limited comparable offerings among existing functionalities.</w:t>
      </w:r>
    </w:p>
    <w:p>
      <w:pPr>
        <w:spacing w:after="0" w:line="79" w:lineRule="exact"/>
        <w:rPr>
          <w:sz w:val="20"/>
          <w:szCs w:val="20"/>
          <w:color w:val="auto"/>
        </w:rPr>
      </w:pPr>
    </w:p>
    <w:p>
      <w:pPr>
        <w:ind w:left="1080" w:right="20" w:hanging="424"/>
        <w:spacing w:after="0" w:line="267"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Offerings: </w:t>
      </w:r>
      <w:r>
        <w:rPr>
          <w:rFonts w:ascii="Times New Roman" w:cs="Times New Roman" w:eastAsia="Times New Roman" w:hAnsi="Times New Roman"/>
          <w:sz w:val="18"/>
          <w:szCs w:val="18"/>
          <w:color w:val="auto"/>
        </w:rPr>
        <w:t>The Rezolve platform augments our Channels’ offerings and services to further retain and attract more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onto the platform. Our platform enables our Channels to provide a seamless digital solution for the merchants with minimum investment required. As our Channels expand their merchant network, they further fuel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5186045" cy="31203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8604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76"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We expect revenues to increase significantly in 2024. Revenues from Brain are also forecast to begin in Q4 2024, increasing significantly in 2025. We also expect to generate revenues in Q4 2024 in Europe, South America and the Middle East. North American revenues are forecast in Q1 2025. We have signed partner agreements with Adobe, ACI, Haendlerbund, Epages, JTL, Oxid and Chatwerk and others and are in discussions with significant new partners in markets around the world.</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will cease operations in China and are currently focused on growing our footprint in other geographic markets, but at a future date, we will consider re-engaging with the Chinese market.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0940"/>
          </w:cols>
          <w:pgMar w:left="320" w:top="455" w:right="6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 limited’s subsidiary, Rezolve Information Technology (Shanghai) Limited (“Rezolve Shanghai”) is a Wholly owned Foreign Entity (“WoFE”), which limits its influence locally in China. A 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80"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58"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5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31" w:lineRule="exact"/>
        <w:rPr>
          <w:sz w:val="20"/>
          <w:szCs w:val="20"/>
          <w:color w:val="auto"/>
        </w:rPr>
      </w:pPr>
    </w:p>
    <w:p>
      <w:pPr>
        <w:ind w:left="5480" w:right="3660" w:hanging="4824"/>
        <w:spacing w:after="0" w:line="454" w:lineRule="auto"/>
        <w:tabs>
          <w:tab w:leader="none" w:pos="107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consumers use the Internet to find a local business in 2022. (BrightLocal survey) 227</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29" w:lineRule="exact"/>
        <w:rPr>
          <w:sz w:val="20"/>
          <w:szCs w:val="20"/>
          <w:color w:val="auto"/>
        </w:rPr>
      </w:pPr>
    </w:p>
    <w:p>
      <w:pPr>
        <w:jc w:val="both"/>
        <w:ind w:left="1080" w:right="16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78" w:lineRule="exact"/>
        <w:rPr>
          <w:rFonts w:ascii="Times New Roman" w:cs="Times New Roman" w:eastAsia="Times New Roman" w:hAnsi="Times New Roman"/>
          <w:sz w:val="18"/>
          <w:szCs w:val="18"/>
          <w:color w:val="auto"/>
        </w:rPr>
      </w:pPr>
    </w:p>
    <w:p>
      <w:pPr>
        <w:jc w:val="both"/>
        <w:ind w:left="1080" w:right="8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will be able to replicate the success we are experiencing in our current markets. Opening new distribution channels will allow us to accelerate our growth.</w:t>
      </w:r>
    </w:p>
    <w:p>
      <w:pPr>
        <w:spacing w:after="0" w:line="78"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merchandizing.</w:t>
      </w:r>
    </w:p>
    <w:p>
      <w:pPr>
        <w:spacing w:after="0" w:line="7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63"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110" w:lineRule="exact"/>
        <w:rPr>
          <w:sz w:val="20"/>
          <w:szCs w:val="20"/>
          <w:color w:val="auto"/>
        </w:rPr>
      </w:pPr>
    </w:p>
    <w:p>
      <w:pPr>
        <w:ind w:left="1080" w:right="20" w:hanging="424"/>
        <w:spacing w:after="0" w:line="257"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 Brain allows customers, either online or instore, to ask, via voice or text and in any language,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60"/>
          </w:cols>
          <w:pgMar w:left="320" w:top="455" w:right="5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997450" cy="1817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9745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80" w:hanging="424"/>
        <w:spacing w:after="0" w:line="261"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85"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shopping preferences, which they can use to drive further consumer engagement. For brands that typically sell their products through third-party intermediaries, these insights are useful for building brand affinity and loyalty.</w:t>
      </w:r>
    </w:p>
    <w:p>
      <w:pPr>
        <w:spacing w:after="0" w:line="7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Mobile Vouchering. </w:t>
      </w:r>
      <w:r>
        <w:rPr>
          <w:rFonts w:ascii="Times New Roman" w:cs="Times New Roman" w:eastAsia="Times New Roman" w:hAnsi="Times New Roman"/>
          <w:sz w:val="18"/>
          <w:szCs w:val="18"/>
          <w:color w:val="auto"/>
        </w:rPr>
        <w:t>We expect to enable merchants to be more flexible in their offerings to consumers. With the Rezolve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into merchants’ apps, consumers are able to scan products and buy them through the app, eliminating the need to wait online in retail stores.</w:t>
      </w:r>
    </w:p>
    <w:p>
      <w:pPr>
        <w:spacing w:after="0" w:line="78" w:lineRule="exact"/>
        <w:rPr>
          <w:rFonts w:ascii="Times New Roman" w:cs="Times New Roman" w:eastAsia="Times New Roman" w:hAnsi="Times New Roman"/>
          <w:sz w:val="18"/>
          <w:szCs w:val="18"/>
          <w:color w:val="auto"/>
        </w:rPr>
      </w:pPr>
    </w:p>
    <w:p>
      <w:pPr>
        <w:ind w:left="1080" w:right="580" w:hanging="424"/>
        <w:spacing w:after="0" w:line="284"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shoppable campaigns and to track consumers’ shopping trends.</w:t>
      </w:r>
    </w:p>
    <w:p>
      <w:pPr>
        <w:spacing w:after="0" w:line="63" w:lineRule="exact"/>
        <w:rPr>
          <w:rFonts w:ascii="Times New Roman" w:cs="Times New Roman" w:eastAsia="Times New Roman" w:hAnsi="Times New Roman"/>
          <w:sz w:val="18"/>
          <w:szCs w:val="18"/>
          <w:color w:val="auto"/>
        </w:rPr>
      </w:pPr>
    </w:p>
    <w:p>
      <w:pPr>
        <w:ind w:left="1080" w:right="20" w:hanging="424"/>
        <w:spacing w:after="0" w:line="315" w:lineRule="auto"/>
        <w:tabs>
          <w:tab w:leader="none" w:pos="108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40" w:lineRule="exact"/>
        <w:rPr>
          <w:rFonts w:ascii="Times New Roman" w:cs="Times New Roman" w:eastAsia="Times New Roman" w:hAnsi="Times New Roman"/>
          <w:sz w:val="17"/>
          <w:szCs w:val="17"/>
          <w:color w:val="auto"/>
        </w:rPr>
      </w:pPr>
    </w:p>
    <w:p>
      <w:pPr>
        <w:ind w:left="1080" w:hanging="424"/>
        <w:spacing w:after="0" w:line="267"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29" w:lineRule="exact"/>
        <w:rPr>
          <w:sz w:val="20"/>
          <w:szCs w:val="20"/>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Rezolve Brain.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indoor and outdoor locations.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260" w:hanging="424"/>
        <w:spacing w:after="0" w:line="284"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Using the Rezolve dashboard, we expect that merchants can link a trigger from one of the above Channel opportunities with the following types of events or actions as examples of use cases:</w:t>
      </w:r>
    </w:p>
    <w:p>
      <w:pPr>
        <w:spacing w:after="0" w:line="65" w:lineRule="exact"/>
        <w:rPr>
          <w:sz w:val="20"/>
          <w:szCs w:val="20"/>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Fast Checkout: </w:t>
      </w:r>
      <w:r>
        <w:rPr>
          <w:rFonts w:ascii="Times New Roman" w:cs="Times New Roman" w:eastAsia="Times New Roman" w:hAnsi="Times New Roman"/>
          <w:sz w:val="18"/>
          <w:szCs w:val="18"/>
          <w:color w:val="auto"/>
        </w:rPr>
        <w:t>Consumers can scan products, bag and exit the store without waiting in line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Walls: </w:t>
      </w:r>
      <w:r>
        <w:rPr>
          <w:rFonts w:ascii="Times New Roman" w:cs="Times New Roman" w:eastAsia="Times New Roman" w:hAnsi="Times New Roman"/>
          <w:sz w:val="18"/>
          <w:szCs w:val="18"/>
          <w:color w:val="auto"/>
        </w:rPr>
        <w:t>Consumers can view a broader selection of products than available in a store (e.g., furniture and clothing) that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from a display wall</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Stay at Table or Reserve: </w:t>
      </w:r>
      <w:r>
        <w:rPr>
          <w:rFonts w:ascii="Times New Roman" w:cs="Times New Roman" w:eastAsia="Times New Roman" w:hAnsi="Times New Roman"/>
          <w:sz w:val="18"/>
          <w:szCs w:val="18"/>
          <w:color w:val="auto"/>
        </w:rPr>
        <w:t>Consumers can scan advertisement or menu, order items, pay and either pick up at counter or have delivered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 and Fly: </w:t>
      </w:r>
      <w:r>
        <w:rPr>
          <w:rFonts w:ascii="Times New Roman" w:cs="Times New Roman" w:eastAsia="Times New Roman" w:hAnsi="Times New Roman"/>
          <w:sz w:val="18"/>
          <w:szCs w:val="18"/>
          <w:color w:val="auto"/>
        </w:rPr>
        <w:t>Consumers can pick up items, scan, buy, bag, leave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e-Ticketing and Access Control: </w:t>
      </w:r>
      <w:r>
        <w:rPr>
          <w:rFonts w:ascii="Times New Roman" w:cs="Times New Roman" w:eastAsia="Times New Roman" w:hAnsi="Times New Roman"/>
          <w:sz w:val="18"/>
          <w:szCs w:val="18"/>
          <w:color w:val="auto"/>
        </w:rPr>
        <w:t>Tickets are electronically delivered to their handset to enable secure and streamlined access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Pre-Order Queue-Busting: </w:t>
      </w:r>
      <w:r>
        <w:rPr>
          <w:rFonts w:ascii="Times New Roman" w:cs="Times New Roman" w:eastAsia="Times New Roman" w:hAnsi="Times New Roman"/>
          <w:sz w:val="18"/>
          <w:szCs w:val="18"/>
          <w:color w:val="auto"/>
        </w:rPr>
        <w:t>Enable supporters to pre-order food, beverage and merchandise from their seat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sensitive: </w:t>
      </w:r>
      <w:r>
        <w:rPr>
          <w:rFonts w:ascii="Times New Roman" w:cs="Times New Roman" w:eastAsia="Times New Roman" w:hAnsi="Times New Roman"/>
          <w:sz w:val="18"/>
          <w:szCs w:val="18"/>
          <w:color w:val="auto"/>
        </w:rPr>
        <w:t>Offers and promotions nearby, navigate to the location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engagement: </w:t>
      </w:r>
      <w:r>
        <w:rPr>
          <w:rFonts w:ascii="Times New Roman" w:cs="Times New Roman" w:eastAsia="Times New Roman" w:hAnsi="Times New Roman"/>
          <w:sz w:val="18"/>
          <w:szCs w:val="18"/>
          <w:color w:val="auto"/>
        </w:rPr>
        <w:t>Buy or get more information directly from any form of advertising or directly from posters in shop windows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79" w:lineRule="exact"/>
        <w:rPr>
          <w:sz w:val="20"/>
          <w:szCs w:val="20"/>
          <w:color w:val="auto"/>
        </w:rPr>
      </w:pPr>
    </w:p>
    <w:p>
      <w:pPr>
        <w:ind w:left="1080" w:hanging="424"/>
        <w:spacing w:after="0" w:line="271" w:lineRule="auto"/>
        <w:tabs>
          <w:tab w:leader="none" w:pos="108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Artificial Intelligence. </w:t>
      </w:r>
      <w:r>
        <w:rPr>
          <w:rFonts w:ascii="Times New Roman" w:cs="Times New Roman" w:eastAsia="Times New Roman" w:hAnsi="Times New Roman"/>
          <w:sz w:val="17"/>
          <w:szCs w:val="17"/>
          <w:color w:val="auto"/>
        </w:rPr>
        <w:t>Our Large Language Model (“LLM”) uses proprietary AI to interrogate presales, sales and post-sales content as well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66" w:lineRule="auto"/>
        <w:rPr>
          <w:sz w:val="20"/>
          <w:szCs w:val="20"/>
          <w:color w:val="auto"/>
        </w:rPr>
      </w:pPr>
      <w:r>
        <w:rPr>
          <w:rFonts w:ascii="Times New Roman" w:cs="Times New Roman" w:eastAsia="Times New Roman" w:hAnsi="Times New Roman"/>
          <w:sz w:val="18"/>
          <w:szCs w:val="18"/>
          <w:color w:val="auto"/>
        </w:rPr>
        <w:t>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140335</wp:posOffset>
            </wp:positionV>
            <wp:extent cx="4320540" cy="254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right="340" w:hanging="424"/>
        <w:spacing w:after="0" w:line="284"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GDPR policies.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Rezolve’s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8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380" w:hanging="424"/>
        <w:spacing w:after="0" w:line="261"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85" w:lineRule="exact"/>
        <w:rPr>
          <w:rFonts w:ascii="Times New Roman" w:cs="Times New Roman" w:eastAsia="Times New Roman" w:hAnsi="Times New Roman"/>
          <w:sz w:val="18"/>
          <w:szCs w:val="18"/>
          <w:color w:val="auto"/>
        </w:rPr>
      </w:pPr>
    </w:p>
    <w:p>
      <w:pPr>
        <w:jc w:val="both"/>
        <w:ind w:left="1080" w:right="80" w:hanging="424"/>
        <w:spacing w:after="0" w:line="267"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7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63"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63" w:lineRule="exact"/>
        <w:rPr>
          <w:rFonts w:ascii="Times New Roman" w:cs="Times New Roman" w:eastAsia="Times New Roman" w:hAnsi="Times New Roman"/>
          <w:sz w:val="18"/>
          <w:szCs w:val="18"/>
          <w:color w:val="auto"/>
        </w:rPr>
      </w:pPr>
    </w:p>
    <w:p>
      <w:pPr>
        <w:jc w:val="both"/>
        <w:ind w:left="1080" w:right="600" w:hanging="424"/>
        <w:spacing w:after="0" w:line="267"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gateway as well as eCommerce platforms with minimum effort. Rezolve already supports a large number of payment providers and ramping up support for e-commerce platforms via its unique plugin architecture and webhooks.</w:t>
      </w:r>
    </w:p>
    <w:p>
      <w:pPr>
        <w:spacing w:after="0" w:line="7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78" w:lineRule="exact"/>
        <w:rPr>
          <w:rFonts w:ascii="Times New Roman" w:cs="Times New Roman" w:eastAsia="Times New Roman" w:hAnsi="Times New Roman"/>
          <w:sz w:val="18"/>
          <w:szCs w:val="18"/>
          <w:color w:val="auto"/>
        </w:rPr>
      </w:pPr>
    </w:p>
    <w:p>
      <w:pPr>
        <w:ind w:left="1080" w:right="180" w:hanging="424"/>
        <w:spacing w:after="0" w:line="267"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these triggers via Rezolve’s Experience Platform when combined with its SDK delivers a powerful tool to Merchants to deliver non spamming targeted engagements.</w:t>
      </w:r>
    </w:p>
    <w:p>
      <w:pPr>
        <w:spacing w:after="0" w:line="78"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67" w:lineRule="exact"/>
        <w:rPr>
          <w:sz w:val="20"/>
          <w:szCs w:val="20"/>
          <w:color w:val="auto"/>
        </w:rPr>
      </w:pPr>
    </w:p>
    <w:p>
      <w:pPr>
        <w:ind w:left="5480" w:right="4040" w:hanging="4824"/>
        <w:spacing w:after="0" w:line="454" w:lineRule="auto"/>
        <w:tabs>
          <w:tab w:leader="none" w:pos="107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 232</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in London, England, United Kingdom. We do not own any real property. All of our employees based in the United Kingdom work remotely.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REZOLVE’S MANAGEMENT’S DISCUSSION AND ANALYSIS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AI Limited and its subsidiaries prior to the consummation of the Business Combination and to Rezolve PLC and its subsidiaries following the consummation of the Business Combination.</w:t>
      </w:r>
    </w:p>
    <w:p>
      <w:pPr>
        <w:spacing w:after="0" w:line="15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“Business of Rezolve,” “Selected Historical Consolidated Financial Data of Rezolve,” “Unaudited Pro Forma Consolidated Financial Information” and the Rezolve Financial Statements and related notes thereto included elsewhere in this proxy statement/prospectus. In addition to historical information, this discussion contains forward-looking statements that involve risks, uncertainties and assumptions, such as statements regarding our plans, objectives, expectations and intentions, that could cause actual results to differ materially from management’s expectations. Factors that could cause such differences are discussed in “Forward-Looking Statements” and “Risk Factors.”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We expect revenues to increase significantly in 2024. Revenues from Brain are also forecast to begin in Q4 2024, increasing significantly in 2025. We also expect to generate revenues in Q4 2024 in Europe, South America and the Middle East. North American revenues are forecast in Q1 2025. We have signed partner agreements with Adobe, ACI, Haendlerbund, Epages, JTL, Oxid and Chatwerk and others and are in discussions with significant new partners in markets around the world.</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340" w:right="4180" w:hanging="224"/>
        <w:spacing w:after="0" w:line="218" w:lineRule="auto"/>
        <w:tabs>
          <w:tab w:leader="none" w:pos="340" w:val="left"/>
        </w:tabs>
        <w:numPr>
          <w:ilvl w:val="0"/>
          <w:numId w:val="2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Please see Rezolve Press Release dated July 25, 2023, available at </w:t>
      </w:r>
      <w:r>
        <w:rPr>
          <w:rFonts w:ascii="Times New Roman" w:cs="Times New Roman" w:eastAsia="Times New Roman" w:hAnsi="Times New Roman"/>
          <w:sz w:val="17"/>
          <w:szCs w:val="17"/>
          <w:u w:val="single" w:color="auto"/>
          <w:color w:val="auto"/>
        </w:rPr>
        <w:t>https://www.rezolve.com/investors/britainsbrain-heralds-new-era-of-commerce-enabled-ai/</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80"/>
          </w:cols>
          <w:pgMar w:left="320" w:top="455" w:right="4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AI Limited. Rezolve was re-registered as a public limited company on , 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27" w:lineRule="exact"/>
        <w:rPr>
          <w:sz w:val="20"/>
          <w:szCs w:val="20"/>
          <w:color w:val="auto"/>
        </w:rPr>
      </w:pPr>
    </w:p>
    <w:p>
      <w:pPr>
        <w:ind w:left="1080" w:right="220" w:hanging="424"/>
        <w:spacing w:after="0" w:line="286"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60"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84"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84"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likelihood of expanding their activity on our platform. Supporting merchants begins with enhancing both the shopper and the merchant experience. We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140"/>
        <w:spacing w:after="0" w:line="266" w:lineRule="auto"/>
        <w:rPr>
          <w:sz w:val="20"/>
          <w:szCs w:val="20"/>
          <w:color w:val="auto"/>
        </w:rPr>
      </w:pPr>
      <w:r>
        <w:rPr>
          <w:rFonts w:ascii="Times New Roman" w:cs="Times New Roman" w:eastAsia="Times New Roman" w:hAnsi="Times New Roman"/>
          <w:sz w:val="18"/>
          <w:szCs w:val="18"/>
          <w:color w:val="auto"/>
        </w:rPr>
        <w:t>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7" w:lineRule="exact"/>
        <w:rPr>
          <w:sz w:val="20"/>
          <w:szCs w:val="20"/>
          <w:color w:val="auto"/>
        </w:rPr>
      </w:pPr>
    </w:p>
    <w:p>
      <w:pPr>
        <w:jc w:val="both"/>
        <w:ind w:left="1080" w:right="420" w:hanging="424"/>
        <w:spacing w:after="0" w:line="291" w:lineRule="auto"/>
        <w:tabs>
          <w:tab w:leader="none" w:pos="10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Offering and service enhancement</w:t>
      </w:r>
      <w:r>
        <w:rPr>
          <w:rFonts w:ascii="Times New Roman" w:cs="Times New Roman" w:eastAsia="Times New Roman" w:hAnsi="Times New Roman"/>
          <w:sz w:val="17"/>
          <w:szCs w:val="17"/>
          <w:color w:val="auto"/>
        </w:rPr>
        <w:t>: We intend to continue investing in the capabilities of our offerings and services to deliver better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 for our users and merchants and address new market opportunities. Additionally, we will work to perfect our platform services, including Instant Act, Instant Checkout, SmartLinks, SmartCodes and the use of watermarking technology for anticounterfeiting.</w:t>
      </w:r>
    </w:p>
    <w:p>
      <w:pPr>
        <w:spacing w:after="0" w:line="58" w:lineRule="exact"/>
        <w:rPr>
          <w:rFonts w:ascii="Times New Roman" w:cs="Times New Roman" w:eastAsia="Times New Roman" w:hAnsi="Times New Roman"/>
          <w:sz w:val="17"/>
          <w:szCs w:val="17"/>
          <w:color w:val="auto"/>
        </w:rPr>
      </w:pPr>
    </w:p>
    <w:p>
      <w:pPr>
        <w:ind w:left="1080" w:right="120" w:hanging="424"/>
        <w:spacing w:after="0" w:line="268"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65" w:lineRule="exact"/>
        <w:rPr>
          <w:sz w:val="20"/>
          <w:szCs w:val="20"/>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63"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7"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depreciation of fixed tangible assets. We note that all software development expenditure up until the end of December 2022 has been expensed.</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years ended December 31, 2023.</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investment in ANY</w:t>
      </w:r>
      <w:r>
        <w:rPr>
          <w:rFonts w:ascii="Times New Roman" w:cs="Times New Roman" w:eastAsia="Times New Roman" w:hAnsi="Times New Roman"/>
          <w:sz w:val="18"/>
          <w:szCs w:val="18"/>
          <w:color w:val="auto"/>
        </w:rPr>
        <w:t>: Consists of the value of the investment in ANY which was impaired following the Company’s loss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rights and indicators of impairment.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2023.</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7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145,051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115,159</w:t>
            </w:r>
          </w:p>
        </w:tc>
      </w:tr>
      <w:tr>
        <w:trPr>
          <w:trHeight w:val="27"/>
        </w:trPr>
        <w:tc>
          <w:tcPr>
            <w:tcW w:w="3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115,159</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34,791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745,040</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6,731,254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4,338,557</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17,986,528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86,640,500</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1,156,316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334,952</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242,436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235,797</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14,822,022</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44,438</w:t>
            </w:r>
          </w:p>
        </w:tc>
      </w:tr>
      <w:tr>
        <w:trPr>
          <w:trHeight w:val="230"/>
        </w:trPr>
        <w:tc>
          <w:tcPr>
            <w:tcW w:w="3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w w:val="98"/>
              </w:rPr>
              <w:t>(26,006,274)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(107,046,147)</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(4,791,782)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256,659</w:t>
            </w:r>
          </w:p>
        </w:tc>
      </w:tr>
      <w:tr>
        <w:trPr>
          <w:trHeight w:val="27"/>
        </w:trPr>
        <w:tc>
          <w:tcPr>
            <w:tcW w:w="3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(4,666,416)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(3,628,036)</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(30,672,690</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(110,674,183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(63,408)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(30,736,098</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(110,712,948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72"/>
        </w:trPr>
        <w:tc>
          <w:tcPr>
            <w:tcW w:w="3760" w:type="dxa"/>
            <w:vAlign w:val="bottom"/>
          </w:tcPr>
          <w:p>
            <w:pPr>
              <w:spacing w:after="0"/>
              <w:rPr>
                <w:sz w:val="24"/>
                <w:szCs w:val="24"/>
                <w:color w:val="auto"/>
              </w:rPr>
            </w:pPr>
          </w:p>
        </w:tc>
        <w:tc>
          <w:tcPr>
            <w:tcW w:w="16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2023 and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2023, as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145,051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115,159</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29,892</w:t>
            </w:r>
          </w:p>
        </w:tc>
        <w:tc>
          <w:tcPr>
            <w:tcW w:w="46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Revenues increased from $0.11 million for the year ended December 31, 2022 as compared to $0.15 million for the year ended December 31, 2023 is attributable to increased ticketing revenue from Spain.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2023, as compared to the year ended December 31, 2022:</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745,040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710,259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6,731,254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4,338,557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2,392,697</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17,986,528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86,640,500</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(68,653,972)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1,156,316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334,952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821,364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235,797</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14,866,460—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(14,866,460)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26,151,325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107,161,306</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 (81,009,991)</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Cost of revenues have decreased by $0.7 million, for the year ended December 31, 2023, compared to the year ended December 31, 2022. This was due to the impairment of inventory of $0.7 million in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$2.4 million, for the year ended December 31, 2023, compared to the year ended December 31, 2022. This was primarily due to an increase in share-based payments of $3.3m from a grant made in September 2023, offset by a reduction of $0.5 million and $0.4 million in advertisement and salary costs, respectively due to reduced headcount.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 decreased by $68.6 million, for the year ended December 31, 2023,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2022. $14.6m of the reduction related to the impairment of investment in ANY in 2022. Share-based payments to employees increased by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$3.6 million due to a grant in September 2023. Share based payments to directors decreased by $36.5 million for payments to related parties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operating expenses increased by $0.8 million due to an impairment of a loan receivables to Swipeby and Moneymatic.</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$0.24 million, for the year ended December 31, 2023, compared to the year ended December 31,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for the year ended December 31, 2023, as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$4,791,782</w:t>
            </w:r>
          </w:p>
        </w:tc>
        <w:tc>
          <w:tcPr>
            <w:tcW w:w="4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$3,884,695</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907,087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3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(125,366)</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(256,659)</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(131,293)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4,666,416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3,626,036</w:t>
            </w: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1,038,380</w:t>
            </w:r>
          </w:p>
        </w:tc>
        <w:tc>
          <w:tcPr>
            <w:tcW w:w="5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$0.5m of interest costs related to the converrable loan note.</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losses decreased from $107.1 million for the year ended December 31, 2022 million to $26.0 million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This was due to a decrease in Operating expenses from $107.2 million for the year ended December 31, 2022 to $26.2 million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 December, 2023. The drivers of decreased Operating expenses are as detailed above.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340"/>
        <w:spacing w:after="0" w:line="267" w:lineRule="auto"/>
        <w:rPr>
          <w:sz w:val="20"/>
          <w:szCs w:val="20"/>
          <w:color w:val="auto"/>
        </w:rPr>
      </w:pPr>
      <w:r>
        <w:rPr>
          <w:rFonts w:ascii="Times New Roman" w:cs="Times New Roman" w:eastAsia="Times New Roman" w:hAnsi="Times New Roman"/>
          <w:sz w:val="18"/>
          <w:szCs w:val="18"/>
          <w:color w:val="auto"/>
        </w:rPr>
        <w:t>projections and make strategic decisions. We discuss revenues below under “—</w:t>
      </w:r>
      <w:r>
        <w:rPr>
          <w:rFonts w:ascii="Times New Roman" w:cs="Times New Roman" w:eastAsia="Times New Roman" w:hAnsi="Times New Roman"/>
          <w:sz w:val="18"/>
          <w:szCs w:val="18"/>
          <w:i w:val="1"/>
          <w:iCs w:val="1"/>
          <w:color w:val="auto"/>
        </w:rPr>
        <w:t>Components 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79" w:lineRule="exact"/>
        <w:rPr>
          <w:sz w:val="20"/>
          <w:szCs w:val="20"/>
          <w:color w:val="auto"/>
        </w:rPr>
      </w:pPr>
    </w:p>
    <w:p>
      <w:pPr>
        <w:ind w:left="1080" w:right="180" w:hanging="424"/>
        <w:spacing w:after="0" w:line="284"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16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believes that the presentation of key business metrics provide important supplemental information to management and investors of the business trends and drivers of the Company’s operations. Management uses these key business measures to track and evaluate operating performance, the metrics above provide additional useful measures of the Company’s operating performance and facilitate comparisons of the Company’s core operating performance against prior periods and its business model objectives.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3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Operational and Other Data: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3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Period-on-period revenues growth</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3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145,051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115,159</w:t>
            </w:r>
          </w:p>
        </w:tc>
      </w:tr>
      <w:tr>
        <w:trPr>
          <w:trHeight w:val="216"/>
        </w:trPr>
        <w:tc>
          <w:tcPr>
            <w:tcW w:w="4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Fee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115,159</w:t>
            </w:r>
          </w:p>
        </w:tc>
      </w:tr>
      <w:tr>
        <w:trPr>
          <w:trHeight w:val="229"/>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EBITDA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(25,638,472)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(106,553,691)</w:t>
            </w: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ticketing revenues transactions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54,510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37,142</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define period-on-period revenues growth as a percentage change for revenues derived from merchants between different periods.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85" w:lineRule="exact"/>
        <w:rPr>
          <w:sz w:val="20"/>
          <w:szCs w:val="20"/>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20"/>
          </w:cols>
          <w:pgMar w:left="320" w:top="455" w:right="5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09"/>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(30,736,098)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(110,712,948)</w:t>
            </w:r>
          </w:p>
        </w:tc>
        <w:tc>
          <w:tcPr>
            <w:tcW w:w="12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3,884,695</w:t>
            </w: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120" w:type="dxa"/>
            <w:vAlign w:val="bottom"/>
          </w:tcPr>
          <w:p>
            <w:pPr>
              <w:spacing w:after="0"/>
              <w:rPr>
                <w:sz w:val="18"/>
                <w:szCs w:val="18"/>
                <w:color w:val="auto"/>
              </w:rPr>
            </w:pPr>
          </w:p>
        </w:tc>
        <w:tc>
          <w:tcPr>
            <w:tcW w:w="142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63,408</w:t>
            </w:r>
          </w:p>
        </w:tc>
        <w:tc>
          <w:tcPr>
            <w:tcW w:w="1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38,765</w:t>
            </w: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235,797</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(25,638,472</w:t>
            </w:r>
          </w:p>
        </w:tc>
        <w:tc>
          <w:tcPr>
            <w:tcW w:w="500" w:type="dxa"/>
            <w:vAlign w:val="bottom"/>
          </w:tcPr>
          <w:p>
            <w:pPr>
              <w:jc w:val="right"/>
              <w:ind w:right="4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(106,553,691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81" w:lineRule="exact"/>
        <w:rPr>
          <w:sz w:val="20"/>
          <w:szCs w:val="20"/>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020"/>
          </w:cols>
          <w:pgMar w:left="320" w:top="455" w:right="5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7" w:lineRule="exact"/>
        <w:rPr>
          <w:sz w:val="20"/>
          <w:szCs w:val="20"/>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impairments of the Taiwan and German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to non-recurring capital raising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31" w:lineRule="exact"/>
        <w:rPr>
          <w:sz w:val="20"/>
          <w:szCs w:val="20"/>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35" w:lineRule="exact"/>
        <w:rPr>
          <w:sz w:val="20"/>
          <w:szCs w:val="20"/>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2022.</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issued to related parties represents for the year ended December 31, 2023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88"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for consultancy expenses relate to shares issued to consultants for advisory services. These fees were paid primarily in relation to capital raising activities in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these costs are recorded within General and Administrative expenses.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8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(30,736,098)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(110,712,948)</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4,791,782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3,884,698</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63,408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38,765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235,797</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(25,638,472)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(106,553,691)</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(375,298)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(714,914)</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in ANY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44,438</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14,822,022</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731,940</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loan and accounts receivable .</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1,156,316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334,952</w:t>
            </w:r>
          </w:p>
        </w:tc>
      </w:tr>
      <w:tr>
        <w:trPr>
          <w:trHeight w:val="22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777,161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7,136,168</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39,501,701</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485,080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18,417,816</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5,238,117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2,115,015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(15,355,075)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(24,164,553)</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2023 and December 31,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3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2023 </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40" w:type="dxa"/>
            <w:vAlign w:val="bottom"/>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10,441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Undrawn convertible notes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10,441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39,380</w:t>
            </w:r>
          </w:p>
        </w:tc>
      </w:tr>
      <w:tr>
        <w:trPr>
          <w:trHeight w:val="54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3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(13,001,875)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(26,788,906)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(1,781,524)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(36,854)</w:t>
            </w: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14,712,061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23,999,920</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42,399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177,287</w:t>
            </w:r>
          </w:p>
        </w:tc>
        <w:tc>
          <w:tcPr>
            <w:tcW w:w="40" w:type="dxa"/>
            <w:vAlign w:val="bottom"/>
          </w:tcPr>
          <w:p>
            <w:pPr>
              <w:spacing w:after="0"/>
              <w:rPr>
                <w:sz w:val="18"/>
                <w:szCs w:val="18"/>
                <w:color w:val="auto"/>
              </w:rPr>
            </w:pPr>
          </w:p>
        </w:tc>
      </w:tr>
      <w:tr>
        <w:trPr>
          <w:trHeight w:val="27"/>
        </w:trPr>
        <w:tc>
          <w:tcPr>
            <w:tcW w:w="13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(28,939)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(2,648,553)</w:t>
            </w:r>
          </w:p>
        </w:tc>
        <w:tc>
          <w:tcPr>
            <w:tcW w:w="4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(“DBLP”), which is wholly legally owned by Daniel Wagner and beneficially owned by John Wagner, in the amounts of $447,067. There are no formal loan documents in place and no interest is payable.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at year ended December 31, 2023 we had a secured convertible Loan Note Instrument in respect of $39,625,000 in aggregate principal amount of loan notes of $1.00 each in the capital of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“Carve-out Consolidated Financial Statements”). The Carve-out Consolidated Financial Statements have been prepared using the United States Dollar as the reporting currency.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(“Rezolve China”) and Rezolve China’s subsidiary Nine Stone (Shanghai) Ltd (“Nine Stone”) (collectively, the “China Business”).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All of our revenue is denominated in the Euro (“EUR”)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2023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February 23, 2023, Rezolve Limited executed a $250 million standby equity purchase agreement providing a capital commitment facility from YA II PN, LTD ( “YA”), a Cayman Islands exempt limited company, in the form of a share subscription facility, and which was amended and restated on February 2, 2024 to provide for, inter alia, Rezolve AI Limited joining as a party to the agreement and the subscription by YA of a promissory convertible note (“YA Agreement”). With effect from the completion of the Pre-Closing Demerger, the rights and obligations of Rezolve Limited under the YA Agreement shall be novated to Rezolve AI Limited.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YA Agreement, YA subscribed for a convertible promissory note with a total principal amount of $2.5 million (the “YA Note”)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an advance by YA to Rezolve Limited of an amount equal to 80% of the total principal amount. The YA Note was issued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2, 2024 pursuant to the terms of a convertible promissory note instrument entered into by Rezolve Limited and Rezolve AI Limited (“YA Note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Instrument”). With effect from the completion of the Pre-Closing Demerger, the rights and obligations of Rezolve Limited under the YA Note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Instrument be novated to Rezolve AI Limited. Pursuant to the YA Note Instrument, the YA Note will mature on the date falling 6 months from the date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issue (or as extended at the option of the noteholder) unless an event of default occurs that triggers an acceleration of the repayment obligation,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bears interest of 10% per annum (save where an event of default has occurred and is continuing, an 18% interest rate will apply). The YA Note is freely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transferrable in whole or in part, subject to the terms of the YA Note Instrument.</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YA Note is convertible into ordinary shares in Rezolve AI Limited upon the public listing of the ordinary shares of Rezolve AI Limited, or if either an event of default occurs or the YA Note reaches maturity. The noteholder may elect to convert all or part of the YA Note into ordinary shares in Rezolve AI Limited at the “Conversion Price” (being the lower of (i) $10 per share (the “Fixed Price”) or (ii) 90% of the lowest daily VWAP during the ten (10) consecutive trading days immediately preceding the conversion date or other later date of determination (the “Variable Price”) but which the Variable Price shall not be lower than the “Floor Price” (being $2.00 per share unless reduced by Rezolve) then in effect), however subject to the conversion limitations whereby (i) the noteholder shall not be able to convert any portion of the YA Note to the extent that after conversion the noteholder (together with any affiliates) would beneficially own in excess of 4.99% of the number of outstanding ordinary shares in Rezolve AI Limited (such prohibition on conversion being capable of waiver by the noteholder), and/or (ii) the issue of ordinary shares upon conversion would (together with 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other issuances in accordance with the terms of the YA Agreement or any other related transactions) exceed the number of ordinary shares that Rezolve AI Limited may issue in a transaction in compliance with its obligations under rules or regulations of Nasdaq (the “Exchange Cap”) (unless Rezolve AI Limited shareholders have approved such issuances, or if Rezolve AI Limited is permitted to follow (and has elected to do so) its home country practices instead of the stockholder approval requirements of Nasdaq Rule 5635).</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YA Note upon 10 trading days prior written notice (“Redemption Notice”), provided that on the date of the Redemption Notice the VWAP of the ordinary shares in Rezolve AI Limited is less than the Fixed Price. The YA Note may also be redeemed early by Rezolve prior to the completion of the Business Combination. Upon such early redemption of the YA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YA Note.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“Trigger Event” occurs (being where (i) the daily VWAP is less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 the Floor Price for five (5) trading days during a period of seven (7) consecutive trading days (the “Floor Price Trigger”), or (ii) Rezolve AI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Limited has issued in excess of 99% of the ordinary shares available under the Exchange Cap unless Rezolve AI Limited shareholders have approved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issuances, or if Rezolve AI Limited is permitted to follow (and has elected to do so) its home country practices instead of the stockholder approval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of Nasdaq Rule 5635) (the “Exchange Cap Trigger”)), then Rezolve AI Limited shall make monthly payments equal to the sum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$625,000 per month (or, if lesser, the then-outstanding principal of the YA Note) plus a payment premium of 10% of the principal amount being paid,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any accrued and unpaid interest as of each payment date, with such monthly payment obligation to cease if any time after the date of a Trigger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(i) in the event of a Floor Price Trigger, the daily VWAP is greater than 110% of the Floor Price for any 5 of 7 consecutive trading days,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Rezolve AI Limited reduces the Floor Price (in accordance with its rights to do so under the YA Note Instrument), or (ii) in the event of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Cap Trigger, the date Rezolve AI Limited has obtained stockholder approval to increase the number of ordinary shares under the Exchange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 (or if the Exchange Cap no longer applies), unless a subsequent Trigger Event occurs.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YA Note has certain rights and obligations under an Intercreditor Agreement entered into between Rezolve Limited, Rezolve AI Limited, YA, Apeiron Investment Group Ltd, and GLAS Trust Corporation Limited as security trustee for Apeiron Investment Group Ltd (“Intercreditor Agreement”),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YA Agreement, the YA Note and all other ancillary instruments and agreements.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YA Agreement, YA will also provide Rezolve with up to $250 million in equity capital for a 36-month term following a public listing of the Company’s Ordinary Shares. Rezolve will not be obligated to draw the full $250 million but can do so in part or in whole at its discretion, provided that (i) no balance is outstanding under the YA Note, or if there is any balance outstanding, 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hold in excess of 19.9% of the outstanding Ordinary Shares at the date of the equity purchase agreement subject to certain exceptions. Where there are outstanding amounts owing under the YA Note and a Trigger Event has occurred (and Rezolve’s obligation to make monthly payments under the YA Note as a result of the Trigger Event has not ceased), Rezolve may submit an advance notice to YA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before delivery of an advance notice by Rezolve to YA. The Company will pay a commitment fee in an amount equal to 1.25 % of the $250 million Commitment Amount (the “Commitment Fee”), which the Company shall pay in cash by wire transfer to YA on or before the 12 month anniversary of the closing of the Business Combination. YA shall reduce by half any amount due to Rezolve under an advance notice by offsetting such amount against the outstanding amount of the Commitment Fee .</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Under the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During the period commencing the Effective Date (the sixth trading day following the closing of the Business Combination) and ending on the termination of the YA Agreement (which unless terminated earlier the YA Agreement shall terminate no later than 36 months after the Effective Date or if YA Note remain outstanding, the date that the YA Note has been repaid), the proceeds from YA under the YA Agreement (including YA’s subscription for the YA Note) shall be used by Rezolve AI Limited in the manner as set forth in a registration statement (and any post-effective amendments) for the registration and resale by YA of Ordinary Shares acquired under the YA Agreement and any prospectus (including any prospectus supplement) used by Rezolve AI Limited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further amended on 18 December 2023 and 29 December 2023 and further amended and restated on 26 January 2024 (the “Loan Note Instrument”) and currently is in respect of an aggregate amount of $49,892,080 loan notes of $1.00 each in the capital of Rezolve Limited (the “Convertible Notes”) of which $41,392,080 are in issue and a further $18,767,080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the lesser of (i) a 30% discount to the equity value of such ordinary shares (or after the Pre-Closing Demerger, Rezolve Ordinary Shares) in connection with the consummation of the Business Combination; or any of quarterly VWAPs for the four immediately preceding quarterly reset dates (if any) as selected by the relevant noteholder.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above the prevailing interest that applies at such time).</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are redeemable by the noteholders in certain events, including, without limitation, the failure of Rezolve Limited (or after the Pre-Closing Demerger, Rezolve) to pay any amount due thereunder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when due. Furthermore, if Closing has not occurred by 30 June 2024, at any time and from time to time, in each case with the prior written consent of holders of a majority (more than 50%) of the aggregate principal amount of the notes then outstanding, any noteholder may cause Rezolve Limited to redeem such noteholder’s notes, in whole or in part, at their aggregate principal amount plus accrued and unpaid interest (provided that interest shall be deemed to have accrued at a rate of seven and a half percent (7.50%) per annum from 11 January 2024).</w:t>
      </w:r>
    </w:p>
    <w:p>
      <w:pPr>
        <w:spacing w:after="0" w:line="180"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Rezolve Limited (and after the Pre-Closing Demerger, 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80"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pari passu or senior to the Convertible Notes without the prior consent of holders of more than two-thirds of the aggregate principal amount of the Convertible Notes outstanding from time to time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person unless such person is wholly owned by Rezolve Limited (or after the Pre-Closing Demerger, Rezolve) or, in the case of a natural person,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employee or director of Rezolve Limited (or after the Pre-Closing Demerger, Rezolve) and such loan or advance is made in the ordinary course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under the terms of an employee stock or option plan that has been notified to the noteholders; (b) guaranteeing, directly or indirectly,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permitting any subsidiary to guarantee, directly or indirectly, any indebtedness except for trade accounts of Rezolve Limited or any of its subsidiaries (or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the Pre-Closing Demerger, Rezolve or any of its subsidiaries) arising in the ordinary course of business; (c) changing the principal business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Limited (or after the Pre-Closing Demerger, Rezolve), entering new lines of business, or exiting the current line of business; (d) selling,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assigning, licensing, charging, pledging, or encumbering material technology or intellectual property, other than licenses granted in the ordinary course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business; (e) entering into any corporate strategic relationship, joint venture, cooperation or other similar agreement, other than in the ordinary course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business; (f) (i) prior to the date of Closing, acquiring or disposing of assets (including shares) where the consideration paid or received exceeds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$1,000,000; or (ii) following the date of Closing, acquiring or disposing of assets (including shares) (x) where the consideration paid or received exceeds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twenty per cent. (20.00%) of the 90-Day average market cap of the Company (calculated by reference to the 90-Day VWAP of the Company’s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multiplied by the number of issued and outstanding shares at the relevant time ;or (y) other than (A) on arm’s length terms; ; (g) amending the articles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association of Rezolve Limited (or after the Pre-Closing Demerger, Rezolve) in a manner that is adverse to the noteholders; (h) effecting any 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reorganization, scheme of arrangement, restructuring plan or other similar transaction except for any merger, combination or scheme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arrangement undertaken solely to implement the acquisition or disposition of assets which would not constitute an Extraordinary Transaction (as defined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Loan Note Instrument) under (f); and (i) liquidating, dissolving or winding up the affairs of Rezolve Limited (or after the Pre-Closing Demerger,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will not be repaid at the Closing of the Business Combination and will either convert into Rezolve Ordinary Shares or remain outstanding. The Convertible Notes will not be registered under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Securities Act and have been issued in reliance on the exemption from registration requirements thereof provided by Regulation S promulgated thereunder as a transaction solely to non-US persons (as defined in Regulation 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w:t>
      </w:r>
    </w:p>
    <w:p>
      <w:pPr>
        <w:spacing w:after="0" w:line="18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loan bears a borrowing fee of $660,000 and €660,000, respectively, which has been recorded in interest expense in the year ended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The loans were due to mature on July 31, 2023 or at the option of the investor, can be converted into ordinary shares of the Company including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accrued borrowing fees at a conversion rate of 0.50 to the Company’s share price at listing after completing any reorganization. The loans were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repaid by the maturity date at which until further terms and conditions are negotiated such as extended repayment terms or conversion into ordinary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the Company, the Company was in default of the two unsecured convertible loans and the loans remained repayable on demand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On January 26, 2024, the two unsecured convertible loans were added to the Company’s senior secured convertible notes. The loan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and accrued borrowing fees were rounded to a sum of $8,000,000. The key terms of the loan amendment include that of the senior secured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convertible notes, as noted below:</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seventy per cent of the lesser of 1) the price per share implied in connection with an IPO or Business Combination with a publicly listed company and 2) the annual volume-weighted average share price of the Company on the last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calendar day of each calendar year ending after the date of an IPO or Business Combination with a publicly listed company and prior to the maturity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7"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75"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jc w:val="both"/>
        <w:ind w:left="560" w:right="18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7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0"/>
        </w:trPr>
        <w:tc>
          <w:tcPr>
            <w:tcW w:w="7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Share-based payment liability . . . . . . . . . . . . . . . . . . .</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$1,177,617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$ 1,311,028</w:t>
            </w:r>
          </w:p>
        </w:tc>
      </w:tr>
    </w:tbl>
    <w:p>
      <w:pPr>
        <w:spacing w:after="0" w:line="206" w:lineRule="exact"/>
        <w:rPr>
          <w:sz w:val="20"/>
          <w:szCs w:val="20"/>
          <w:color w:val="auto"/>
        </w:rPr>
      </w:pPr>
    </w:p>
    <w:p>
      <w:pPr>
        <w:ind w:left="540" w:hanging="424"/>
        <w:spacing w:after="0"/>
        <w:tabs>
          <w:tab w:leader="none" w:pos="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117" w:lineRule="exact"/>
        <w:rPr>
          <w:rFonts w:ascii="Times New Roman" w:cs="Times New Roman" w:eastAsia="Times New Roman" w:hAnsi="Times New Roman"/>
          <w:sz w:val="18"/>
          <w:szCs w:val="18"/>
          <w:color w:val="auto"/>
        </w:rPr>
      </w:pPr>
    </w:p>
    <w:p>
      <w:pPr>
        <w:ind w:left="56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(all on substantially the same terms) with Rezolve Limited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Rezolve AI Limited (“Subscription Agreements”) to subscribe for convertible promissory notes with a total principal amount of $2,849,906 (the “Promissory Notes”) in consideration for an advance by each subscriber to Rezolve Limited of an amount equal to 80% of the principal amount subscribed (such amount being the “Net Investment Amount”).</w:t>
      </w:r>
    </w:p>
    <w:p>
      <w:pPr>
        <w:spacing w:after="0" w:line="176"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Promissory Notes were issued during the course of February 23, 2024 pursuant to the terms of convertible promissory note instruments entered into by Rezolve Limited and Rezolve AI Limited (all on substantially the same terms) in favour of the subscribers (“Promissory Note Instruments”).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shall be novated to Rezolve AI Limited.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upon the public listing of the ordinary shares in Rezolve AI Limited, or if either an event of default occurs or the Promissory Notes reaches maturity. The noteholders may elect to convert all or part of the amount outstanding under their Promissory Note into ordinary shares at the “Conversion Price” (being the lower of (i) $10 per share (the “Fixed Price”) or (ii) 90% of the lowest daily VWAP during the ten (10) consecutive trading days immediately preceding the conversion date or other date of determination (the “Variable Price”) but which the Variable Price shall not be lower than the “Floor Price” (being $2.00 per share unless reduced by Rezolve) then in effect), however subject to the conversion limitation whereby the issue of ordinary shares upon conversion would exceed the number of ordinary shares that Rezolve AI Limited may issue in a transaction in compliance with its obligations under rules or regulations of Nasdaq (the “Exchange Cap”) (unless Rezolve AI Limited shareholders have approved such issuances, or if Rezolve AI Limited is permitted to follow (and has elected to do so) its home country practices instead of the stockholder approval requirements of Nasdaq Rule 5635).</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Promissory Notes upon 10 trading days prior written notice (“Redemption Notice”), provided that on the date of the Redemption Notice the VWAP of the ordinary shares in Rezolve AI Limited is less than the Fixed Price. The Promissory Notes may also be redeemed early by Rezolve prior to the completion of the Business Combination.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“Trigger Event” occurs (being where (i) the daily VWAP is less than the Floor Price for five (5) trading days during a period of seven (7) consecutive trading days (the “Floor Price Trigger”),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“Exchange Cap Trigger”)),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Trigger Event, (i) in the event of a Floor Price Trigger, the daily VWAP is greater than 110% of the Floor Price for any 5 of 7 consecutive trading days, or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Trigger Event occurs.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Subscription Agreements, each subscriber shall also be granted freely transferrable warrants by Rezolve AI Limited upon completion of the Business Combination, with the warrant subscription value for each subscriber to be two (2) times the Net Investment Amount. The warrants shall confer the right to each warrantholder to subscribe for ordinary shares in Rezolve AI Limited at the exercise price of $8.00 per share (which may be adjusted upon an alteration of Rezolve AI Limited’s share capital), and which may be exercised until 31 January 2027 (“Expiry Date”). If before the Expiry Date it comes to the attention of Rezolve AI Limited of an “Exercise Event” (being a takeover offer for Rezolve AI Limited, or an offer made to all ordinary shareholders by Rezolve AI Limited to purchase its own shares) it shall give notice to each warrantholder to allow such holder to exercise their warrants (on condition that such notified Exercise Event does occur within 14 days of the notice), and if such Exercise Event does occur then any unexercised warrants shall lapse.</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Rezolve AI Limited may (and shall on the written request by warrantholders holding at least one-fifth of the warrants then outstanding) convene a meeting of warrantholders, and such meeting shall have power to sanction any modification or compromise in respect of rights of the warrantholders including any provisions of the warrant instrument, and to appoint any person as agent to represent the interests of warrantholders.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MANAGEMENT AND COMPENSATION OF REZOLVE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Rezolve Following the Business Combination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contemplated by the Business Combination Agreement, Rezolve’s board of directors following the Business Combination will be comprised of eight directors (provided that Daniel Wagner shall have the right to appoint an additional director to the Board from time to time).</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concerning the persons who are expected to serve as Rezolve’s directors and executive officers following the consummation of the Business Combination, including their ages, as of May 31,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0"/>
              </w:rPr>
              <w:t>Daniel</w:t>
            </w:r>
          </w:p>
        </w:tc>
        <w:tc>
          <w:tcPr>
            <w:tcW w:w="5140" w:type="dxa"/>
            <w:vAlign w:val="bottom"/>
          </w:tcPr>
          <w:p>
            <w:pPr>
              <w:ind w:left="160"/>
              <w:spacing w:after="0" w:line="185" w:lineRule="exact"/>
              <w:rPr>
                <w:sz w:val="20"/>
                <w:szCs w:val="20"/>
                <w:color w:val="auto"/>
              </w:rPr>
            </w:pPr>
            <w:r>
              <w:rPr>
                <w:rFonts w:ascii="Times New Roman" w:cs="Times New Roman" w:eastAsia="Times New Roman" w:hAnsi="Times New Roman"/>
                <w:sz w:val="18"/>
                <w:szCs w:val="18"/>
                <w:color w:val="auto"/>
              </w:rPr>
              <w:t>Wagner</w:t>
            </w:r>
          </w:p>
        </w:tc>
        <w:tc>
          <w:tcPr>
            <w:tcW w:w="24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6"/>
                <w:szCs w:val="16"/>
                <w:color w:val="auto"/>
              </w:rPr>
            </w:pPr>
          </w:p>
        </w:tc>
        <w:tc>
          <w:tcPr>
            <w:tcW w:w="50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CEO, and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Wagner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Lurio</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Commercial Officer and General Manager (EMEA)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CEO Products, Technology, and Digital Services</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Technology Officer</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Biographical information concerning the directors and executive officers listed above is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Daniel Wagner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w:t>
      </w:r>
    </w:p>
    <w:p>
      <w:pPr>
        <w:spacing w:after="0" w:line="27"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Douglas Lurio.</w:t>
      </w:r>
    </w:p>
    <w:p>
      <w:pPr>
        <w:spacing w:after="0" w:line="11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Mr. Lurio is expected to serve as a director on the board of directors of Rezolve. Mr. Lurio has served as President and a Director of Armada since its inception in November 2020. He was the outside general counsel of USA Technologies, Inc. (which changed its name to Cantaloupe, Inc. on April 15, 2021, Nasdaq: CTLP), a publicly traded FinTech company (“USAT”) for 29 years from its founding in 1991 until April 2020. He also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served as a Director of USAT from 1999 to 2012 and as corporate Secretary from 2012 to April 2020. Since 1991, Mr. Lurio has been the founder and President of Lurio &amp; Associates, P.C., a law firm based in Philadelphia, Pennsylvania, which focuses on corporate and securities law. From 1984 to 1991, he was an attorney with the law firm of Dilworth Paxson, first as an associate and then as a partner in the securities and corporate group in 1990. He attended Franklin &amp; Marshall College (B.A., Government), Villanova Law School (Juris Doctor) and Temple Law School (LLM, Taxation). Rezolve believes Mr. Lurio is qualified to serve on the board because of his significant experience in public company mergers, acquisitions and capital raising, his longstanding service as outside general counsel to USAT, his significant knowledge of and experience with the financial technology and payments business, and his public company board experience with Armada.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w:t>
      </w:r>
    </w:p>
    <w:p>
      <w:pPr>
        <w:spacing w:after="0" w:line="2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100"/>
          </w:cols>
          <w:pgMar w:left="320" w:top="455" w:right="4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81" w:lineRule="exact"/>
        <w:rPr>
          <w:sz w:val="20"/>
          <w:szCs w:val="20"/>
          <w:color w:val="auto"/>
        </w:rPr>
      </w:pPr>
    </w:p>
    <w:p>
      <w:pPr>
        <w:ind w:left="1080" w:right="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w:t>
      </w:r>
    </w:p>
    <w:p>
      <w:pPr>
        <w:spacing w:after="0" w:line="27" w:lineRule="exact"/>
        <w:rPr>
          <w:rFonts w:ascii="Times New Roman" w:cs="Times New Roman" w:eastAsia="Times New Roman" w:hAnsi="Times New Roman"/>
          <w:sz w:val="18"/>
          <w:szCs w:val="18"/>
          <w:color w:val="auto"/>
        </w:rPr>
      </w:pPr>
    </w:p>
    <w:p>
      <w:pPr>
        <w:ind w:left="1080" w:righ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intend to structure our corporate governance in a manner that we and Armada believe will closely align our interests with those of our shareholders following the Business Combination. Notable features of this corporate governance include that:</w:t>
      </w:r>
    </w:p>
    <w:p>
      <w:pPr>
        <w:spacing w:after="0" w:line="67" w:lineRule="exact"/>
        <w:rPr>
          <w:sz w:val="20"/>
          <w:szCs w:val="20"/>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will qualify as an “audit committee financial expert” as defined by the SEC;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implement a range of other corporate governance practices.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upon consummation of the Business Combination, six members of our board will be independent directors and our board will have audit, remuneration and nominating and corporate governance committees. We expect we will adopt standard practices of the United Kingdom with respect to the independence of directors serving on the remuneration and nominating and corporate governance committees.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expect our board of directors following the Business Combination to be comprised of eight directors (provided that Daniel Wagner shall have the right to appoint an additional director to the Board from time to time), six of whom will qualify as independent directors as defined in the Nasdaq listing requirements. Daniel Wagner will serve as the Chairman of the board of directors and Anthony Sharp will serve as deputy Chairman.</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Our board will be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Messrs. Douglas Lurio and Stephen Herbert will be Class I directors and will serve until our annual meeting in</w:t>
      </w:r>
    </w:p>
    <w:p>
      <w:pPr>
        <w:spacing w:after="0" w:line="3" w:lineRule="exact"/>
        <w:rPr>
          <w:sz w:val="20"/>
          <w:szCs w:val="20"/>
          <w:color w:val="auto"/>
        </w:rPr>
      </w:pPr>
    </w:p>
    <w:p>
      <w:pPr>
        <w:ind w:left="120" w:right="560"/>
        <w:spacing w:after="0" w:line="260" w:lineRule="auto"/>
        <w:rPr>
          <w:sz w:val="20"/>
          <w:szCs w:val="20"/>
          <w:color w:val="auto"/>
        </w:rPr>
      </w:pPr>
      <w:r>
        <w:rPr>
          <w:rFonts w:ascii="Times New Roman" w:cs="Times New Roman" w:eastAsia="Times New Roman" w:hAnsi="Times New Roman"/>
          <w:sz w:val="18"/>
          <w:szCs w:val="18"/>
          <w:color w:val="auto"/>
        </w:rPr>
        <w:t>      . Messrs.      ,       and       are Class II directors and will serve until our annual meeting in       . Messrs.      ,       and       are Class III directors and will serve until our annual meeting in       .</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Business Combination, the board of directors has determined that Anthony Sharp, Sir David Wright, Stephen Perry, Derek Smith, Douglas Lurio and Peter Vesco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one of the key functions of our board of directors will be informed oversight of our risk management process. Our board of directors does not anticipate having a standing risk management committee but expects that our board of directors will oversee risk management, and we also expect that the various standing committees of the board of directors will address risks inherent in their respective areas of oversight. In particular, the board of directors will be responsible for monitoring and assessing strategic risk exposure, and our audit committee will have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our board of directors will establish a separately standing audit committee, remuneration committee and nominating and corporate governance committee. In addition, from time to time, special committees may be established under the direction of our board of directors when necessary to address specific issues.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will be responsible for, among other things:</w:t>
      </w:r>
    </w:p>
    <w:p>
      <w:pPr>
        <w:spacing w:after="0" w:line="131" w:lineRule="exact"/>
        <w:rPr>
          <w:sz w:val="20"/>
          <w:szCs w:val="20"/>
          <w:color w:val="auto"/>
        </w:rPr>
      </w:pPr>
    </w:p>
    <w:p>
      <w:pPr>
        <w:ind w:left="1080" w:right="52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66"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Rezolve’s audit committee will initially consist of Anthony Sharp, Derek Smith and Steve Perry, with Steve Perry serving as the chair of the committee. Each of the directors who will serve on the audit committee will qualify as independent directors according to the applicable rules and regulations of the SEC and Nasdaq with respect to audit committee membership. In addition, all of the audit committee members will meet the requirements for financial literacy under applicable SEC and Nasdaq rules and at least one of the audit committee members will qualify as an “audit committee financial expert,” as such term is defined in Item 407(d) of Regulation S-K. Our board of directors will adopt written terms of reference for the audit committee, which will be available on our website after adoption.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remuneration committee will be responsible for, among other things:</w:t>
      </w:r>
    </w:p>
    <w:p>
      <w:pPr>
        <w:spacing w:after="0" w:line="131" w:lineRule="exact"/>
        <w:rPr>
          <w:sz w:val="20"/>
          <w:szCs w:val="20"/>
          <w:color w:val="auto"/>
        </w:rPr>
      </w:pPr>
    </w:p>
    <w:p>
      <w:pPr>
        <w:ind w:left="1080" w:right="280" w:hanging="424"/>
        <w:spacing w:after="0" w:line="266"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remuneration committee will initially consist of Anthony Sharp, Derek Smith and Steve Perry, with Steve Perry serving as the chair of the committee. Our board of directors will adopt a written terms of reference for the remuneration committee, which will be available on our website after adoption.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initially consist of Anthony Sharp, Derek Wright and Derek Smith, with Derek Smith serving as the chair of the committee. Our board of directors will adopt a written terms of reference for the nominating and corporate governance committee, which will be available on our website after adoption.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Code of Ethics applicable to our directors, executive officers and team members that complies with the rules and regulations of the SEC and Nasdaq. The Code of Ethics will be available on our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The amended and restated memorandum and articles of association of Rezolve that will be adopted upon completion of the Proposed Transactions provide for indemnification of Rezolve’s officers and directors to the maximum extent permitted by law, including for any liability incurred in their capacities as such, except through their own actual fraud, willful default or willful neglect. In addition, Rezolve intends to enter into indemnification agreements with each of its executive officers and directors. The indemnification agreements will provide the indemnitees with contractual rights to indemnification, and expense advancement and reimbursement, to the fullest extent permitted under English law, subject to certain exceptions contained in those agreements. 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Rezolve’s officers or directors for breach of their fiduciary duty. These provisions also may have the effect of reducing the likelihood of derivative litigation against Rezolve’s officers and directors, even though such an action, if successful, might otherwise benefit Rezolve and its shareholders. Furthermore, a shareholder’s investment may be adversely affected to the extent Rezolve pays the costs of settlement and damage awards against its officers and directors pursuant to these indemnification provisions.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Rezolve believes that these provisions, the insurance and the indemnity agreements are necessary to attract and retain talented and experienced officers and directors.</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the articles of association of Rezolve, see the section entitled “</w:t>
      </w:r>
      <w:r>
        <w:rPr>
          <w:rFonts w:ascii="Times New Roman" w:cs="Times New Roman" w:eastAsia="Times New Roman" w:hAnsi="Times New Roman"/>
          <w:sz w:val="18"/>
          <w:szCs w:val="18"/>
          <w:i w:val="1"/>
          <w:iCs w:val="1"/>
          <w:color w:val="auto"/>
        </w:rPr>
        <w:t>Description of Rezolve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 and Articles of Association</w:t>
      </w:r>
      <w:r>
        <w:rPr>
          <w:rFonts w:ascii="Times New Roman" w:cs="Times New Roman" w:eastAsia="Times New Roman" w:hAnsi="Times New Roman"/>
          <w:sz w:val="18"/>
          <w:szCs w:val="18"/>
          <w:color w:val="auto"/>
        </w:rPr>
        <w:t>” of this proxy statement/prospectus, and for a summary of the indemnification agreement, see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“Indemnification Agreements with Officers and Directors”.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who are expected to serve as executive officers and directors of Rezolve following the completion of the Business Combination for the year ended December 31, 2022 was $2,213,626.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Following Completion of the Proposed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following completion of the Business Combination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00"/>
          </w:cols>
          <w:pgMar w:left="320" w:top="455" w:right="4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Douglas Lurio and Stephen Herbert)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(Douglas Lurio and Stephen Herbert)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Rezolve will enter into letters of appointment with the above named non-executive directors on the same terms as set out above with the exception of the term of appointment, which will be for a period of one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 Long Term Incentive Plan</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Upon completion of the Business Combination, Rezolve’s board of directors, subject to shareholder approval, will adopt the Rezolve Incentive Equity Plan in order to facilitate the grant of cash and equity incentives to its directors, employees (including executive officers) and consultants and its affiliates and to enable it and certain of its affiliates to obtain and retain services of these individuals, which is essential to Rezolve’s long-term success.</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purpose of the Rezolve Incentive Equity Plan is to enhance Rezolve’s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shareholders by giving directors, employees and consultants the perspective of an owner with an equity or equity-linked stake in the company and providing a means of recognizing their contributions to our success. Rezolve’s board of directors believes that equity awards are necessary to remain competitive in its industry and are essential to recruiting and retaining the highly qualified employees who help us meet our goals.</w:t>
      </w:r>
    </w:p>
    <w:p>
      <w:pPr>
        <w:spacing w:after="0" w:line="18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aggregate number of Rezolve Ordinary Shares that will be available for issuance under the Rezolve Incentive Equity Plan will initially be equal to 10% of the fully diluted and issued equity securities post-Closing less any amount issued or reserved for issuance pursuant to any Other Arrangements. Separately, the Rezolve Options will represent approximately         Rezolve Ordinary Shares that will be issued subject to the completion of the Business Combination.</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Business Combination, the remuneration committee may make grants of awards under the Rezolve Incentive Equity Plan to key employees, in forms and amounts to be determined by the remuneration committee. In 2023, the right to grant and determine who shall be granted one half of the awards has been delegated to Daniel Wagner for the whole of 2023. No final decisions have been made with respect to grants of equity awards under the Rezolve Incentive Equity Plan.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more information, please see “ </w:t>
      </w:r>
      <w:r>
        <w:rPr>
          <w:rFonts w:ascii="Times New Roman" w:cs="Times New Roman" w:eastAsia="Times New Roman" w:hAnsi="Times New Roman"/>
          <w:sz w:val="18"/>
          <w:szCs w:val="18"/>
          <w:i w:val="1"/>
          <w:iCs w:val="1"/>
          <w:color w:val="auto"/>
        </w:rPr>
        <w:t>Proposal No. 3—The Incentive Equity Plan Proposal</w:t>
      </w:r>
      <w:r>
        <w:rPr>
          <w:rFonts w:ascii="Times New Roman" w:cs="Times New Roman" w:eastAsia="Times New Roman" w:hAnsi="Times New Roman"/>
          <w:sz w:val="18"/>
          <w:szCs w:val="18"/>
          <w:color w:val="auto"/>
        </w:rPr>
        <w:t>” elsewhere in this proxy statement/prospectus.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Compensation of Armada Prior to the Business Combination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Armada. Commencing on the date of its initial public offering through the acquisition of a target business or Armada’s liquidation of the Trust Account, Armada will pay its sponsor $10,000 per month for providing Armada with office space and certain office and secretarial services. However, this arrangement is solely for Armada’s benefit and is not intended to provide Armada’s officers or directors compensation in lieu of a salary. 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than the $10,000 per month administrative fee, the payment of consulting, success or finder fees to its sponsor, officers, directors, or their affiliates in connection with the consummation of its initial business combination and the repayment of the up to $2,433,034 in loans made by its sponsor to Armada, no compensation or fees of any kind will be paid to Armada’s sponsor, members of its management team or their respective affiliates, for services rendered prior to or in connection with the consummation of its initial business combination (regardless of the type of transaction that it is). However, they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Armada unless it consummates an initial business combination.</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After its initial business combination, members of Armada’s management team who provide services to Rezolve may be paid consulting, management or other fees from the Combined Company with any and all amounts being fully disclosed to stockholders, to the extent then known, in the proxy solicitation materials furnished to Armada’s stockholders. However, the amount of such compensation may not be known at the time of the Special Meeting held to consider an initial business combination, as it will be up to the directors of the post-combination business to determine executive and director compensation. In this event, such compensation will be publicly disclosed, as required by the SEC.</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080"/>
          </w:cols>
          <w:pgMar w:left="320" w:top="455" w:right="4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Armada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common stock of Armada as of June 11, 2024, by:</w:t>
      </w:r>
    </w:p>
    <w:p>
      <w:pPr>
        <w:spacing w:after="0" w:line="131" w:lineRule="exact"/>
        <w:rPr>
          <w:sz w:val="20"/>
          <w:szCs w:val="20"/>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outstanding shares of Armada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Armada’s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Armada’s executive officers and directors as a group.</w:t>
      </w:r>
    </w:p>
    <w:p>
      <w:pPr>
        <w:spacing w:after="0" w:line="225"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74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840" w:type="dxa"/>
            <w:vAlign w:val="bottom"/>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c>
          <w:tcPr>
            <w:tcW w:w="220" w:type="dxa"/>
            <w:vAlign w:val="bottom"/>
          </w:tcPr>
          <w:p>
            <w:pPr>
              <w:spacing w:after="0"/>
              <w:rPr>
                <w:sz w:val="17"/>
                <w:szCs w:val="17"/>
                <w:color w:val="auto"/>
              </w:rPr>
            </w:pPr>
          </w:p>
        </w:tc>
      </w:tr>
      <w:tr>
        <w:trPr>
          <w:trHeight w:val="226"/>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7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840" w:type="dxa"/>
            <w:vAlign w:val="bottom"/>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220" w:type="dxa"/>
            <w:vAlign w:val="bottom"/>
          </w:tcPr>
          <w:p>
            <w:pPr>
              <w:spacing w:after="0"/>
              <w:rPr>
                <w:sz w:val="19"/>
                <w:szCs w:val="19"/>
                <w:color w:val="auto"/>
              </w:rPr>
            </w:pPr>
          </w:p>
        </w:tc>
      </w:tr>
      <w:tr>
        <w:trPr>
          <w:trHeight w:val="22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P. Herbert</w:t>
            </w:r>
          </w:p>
        </w:tc>
        <w:tc>
          <w:tcPr>
            <w:tcW w:w="2740" w:type="dxa"/>
            <w:vAlign w:val="bottom"/>
            <w:shd w:val="clear" w:color="auto" w:fill="CCEEFF"/>
          </w:tcPr>
          <w:p>
            <w:pPr>
              <w:jc w:val="right"/>
              <w:ind w:right="414"/>
              <w:spacing w:after="0" w:line="222" w:lineRule="exact"/>
              <w:rPr>
                <w:sz w:val="20"/>
                <w:szCs w:val="20"/>
                <w:color w:val="auto"/>
              </w:rPr>
            </w:pPr>
            <w:r>
              <w:rPr>
                <w:rFonts w:ascii="Times New Roman" w:cs="Times New Roman" w:eastAsia="Times New Roman" w:hAnsi="Times New Roman"/>
                <w:sz w:val="17"/>
                <w:szCs w:val="17"/>
                <w:color w:val="auto"/>
              </w:rPr>
              <w:t>5,392,000</w:t>
            </w:r>
            <w:r>
              <w:rPr>
                <w:rFonts w:ascii="Times New Roman" w:cs="Times New Roman" w:eastAsia="Times New Roman" w:hAnsi="Times New Roman"/>
                <w:sz w:val="25"/>
                <w:szCs w:val="25"/>
                <w:color w:val="auto"/>
                <w:vertAlign w:val="superscript"/>
              </w:rPr>
              <w:t>(1)</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Douglas M. Lurio</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5,392,000</w:t>
            </w:r>
            <w:r>
              <w:rPr>
                <w:rFonts w:ascii="Times New Roman" w:cs="Times New Roman" w:eastAsia="Times New Roman" w:hAnsi="Times New Roman"/>
                <w:sz w:val="25"/>
                <w:szCs w:val="25"/>
                <w:color w:val="auto"/>
                <w:vertAlign w:val="superscript"/>
              </w:rPr>
              <w:t>(2)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Mohammad A. Khan</w:t>
            </w:r>
          </w:p>
        </w:tc>
        <w:tc>
          <w:tcPr>
            <w:tcW w:w="2740" w:type="dxa"/>
            <w:vAlign w:val="bottom"/>
            <w:shd w:val="clear" w:color="auto" w:fill="CCEEFF"/>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Thomas A. Decker</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Celso L. White</w:t>
            </w:r>
          </w:p>
        </w:tc>
        <w:tc>
          <w:tcPr>
            <w:tcW w:w="2740" w:type="dxa"/>
            <w:vAlign w:val="bottom"/>
            <w:shd w:val="clear" w:color="auto" w:fill="CCEEFF"/>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Armada Sponsor LLC</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5,342,000</w:t>
            </w:r>
            <w:r>
              <w:rPr>
                <w:rFonts w:ascii="Times New Roman" w:cs="Times New Roman" w:eastAsia="Times New Roman" w:hAnsi="Times New Roman"/>
                <w:sz w:val="25"/>
                <w:szCs w:val="25"/>
                <w:color w:val="auto"/>
                <w:vertAlign w:val="superscript"/>
              </w:rPr>
              <w:t>(4)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(five</w:t>
            </w:r>
          </w:p>
        </w:tc>
        <w:tc>
          <w:tcPr>
            <w:tcW w:w="27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individuals)</w:t>
            </w:r>
          </w:p>
        </w:tc>
        <w:tc>
          <w:tcPr>
            <w:tcW w:w="2740" w:type="dxa"/>
            <w:vAlign w:val="bottom"/>
            <w:shd w:val="clear" w:color="auto" w:fill="CCEEFF"/>
          </w:tcPr>
          <w:p>
            <w:pPr>
              <w:jc w:val="right"/>
              <w:ind w:right="414"/>
              <w:spacing w:after="0" w:line="235" w:lineRule="exact"/>
              <w:rPr>
                <w:sz w:val="20"/>
                <w:szCs w:val="20"/>
                <w:color w:val="auto"/>
              </w:rPr>
            </w:pPr>
            <w:r>
              <w:rPr>
                <w:rFonts w:ascii="Times New Roman" w:cs="Times New Roman" w:eastAsia="Times New Roman" w:hAnsi="Times New Roman"/>
                <w:sz w:val="18"/>
                <w:szCs w:val="18"/>
                <w:color w:val="auto"/>
              </w:rPr>
              <w:t>5,547,000</w:t>
            </w:r>
            <w:r>
              <w:rPr>
                <w:rFonts w:ascii="Times New Roman" w:cs="Times New Roman" w:eastAsia="Times New Roman" w:hAnsi="Times New Roman"/>
                <w:sz w:val="26"/>
                <w:szCs w:val="26"/>
                <w:color w:val="auto"/>
                <w:vertAlign w:val="superscript"/>
              </w:rPr>
              <w:t>(5)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jc w:val="both"/>
        <w:ind w:left="540" w:right="80" w:hanging="424"/>
        <w:spacing w:after="0" w:line="214" w:lineRule="auto"/>
        <w:tabs>
          <w:tab w:leader="none" w:pos="540" w:val="left"/>
        </w:tabs>
        <w:numPr>
          <w:ilvl w:val="0"/>
          <w:numId w:val="2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50,000 shares of common stock held by Stephen P. Herbert directly and 5,342,000 shares held by Armada Sponsor LLC, our sponsor, of which Mr. Herbert and Douglas M. Lurio are managing members. Accordingly, all securities held by our sponsor may ultimately be deemed to be beneficially held by Mr. Herbert and Mr. Lurio.</w:t>
      </w:r>
    </w:p>
    <w:p>
      <w:pPr>
        <w:spacing w:after="0" w:line="2" w:lineRule="exact"/>
        <w:rPr>
          <w:rFonts w:ascii="Times New Roman" w:cs="Times New Roman" w:eastAsia="Times New Roman" w:hAnsi="Times New Roman"/>
          <w:sz w:val="27"/>
          <w:szCs w:val="27"/>
          <w:color w:val="auto"/>
          <w:vertAlign w:val="superscript"/>
        </w:rPr>
      </w:pPr>
    </w:p>
    <w:p>
      <w:pPr>
        <w:jc w:val="both"/>
        <w:ind w:left="540" w:right="160" w:hanging="424"/>
        <w:spacing w:after="0" w:line="214" w:lineRule="auto"/>
        <w:tabs>
          <w:tab w:leader="none" w:pos="540" w:val="left"/>
        </w:tabs>
        <w:numPr>
          <w:ilvl w:val="0"/>
          <w:numId w:val="2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50,000 shares of common stock held by Douglas M. Lurio directly and 5,342,000 shares held by Armada Sponsor LLC, our sponsor, of which Mr. Lurio and Stephen P. Herbert are managing members. Accordingly, all securities held by our sponsor may ultimately be deemed to be beneficially held by Mr. Herbert and Mr. Lurio.</w:t>
      </w:r>
    </w:p>
    <w:p>
      <w:pPr>
        <w:spacing w:after="0" w:line="2" w:lineRule="exact"/>
        <w:rPr>
          <w:rFonts w:ascii="Times New Roman" w:cs="Times New Roman" w:eastAsia="Times New Roman" w:hAnsi="Times New Roman"/>
          <w:sz w:val="27"/>
          <w:szCs w:val="27"/>
          <w:color w:val="auto"/>
          <w:vertAlign w:val="superscript"/>
        </w:rPr>
      </w:pPr>
    </w:p>
    <w:p>
      <w:pPr>
        <w:ind w:left="540" w:right="100" w:hanging="424"/>
        <w:spacing w:after="0" w:line="222" w:lineRule="auto"/>
        <w:tabs>
          <w:tab w:leader="none" w:pos="540" w:val="left"/>
        </w:tabs>
        <w:numPr>
          <w:ilvl w:val="0"/>
          <w:numId w:val="2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35,000 shares held directly by each of them and 30,000 shares owned of record by the sponsor which are beneficially owned by each of them. Does not include (i) 30,000 shares beneficially owned by each of them which vest on the earlier of December 1, 2023 or the closing of the initial Business Combination or (ii) 30,000 shares beneficially owned by each of them which vest on the earlier of June 1, 2024 or the closing of the initial Business Combination.</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237" w:lineRule="auto"/>
        <w:tabs>
          <w:tab w:leader="none" w:pos="540" w:val="left"/>
        </w:tabs>
        <w:numPr>
          <w:ilvl w:val="0"/>
          <w:numId w:val="2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 459,500 Private Placement Shares, (ii) 4,882,500 Founder Shares, and (iii) 205,000 shares held by Armada’s directors and officers.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The Polar Subscription Agreement, which was entered into effective as of December 12, 2023, provides that Polar will make certain Investor Capital Contributions from time to time, at the request of the Sponsor, subject to the</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00"/>
          </w:cols>
          <w:pgMar w:left="320" w:top="455" w:right="4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70" w:lineRule="auto"/>
        <w:rPr>
          <w:sz w:val="20"/>
          <w:szCs w:val="20"/>
          <w:color w:val="auto"/>
        </w:rPr>
      </w:pPr>
      <w:r>
        <w:rPr>
          <w:rFonts w:ascii="Times New Roman" w:cs="Times New Roman" w:eastAsia="Times New Roman" w:hAnsi="Times New Roman"/>
          <w:sz w:val="17"/>
          <w:szCs w:val="17"/>
          <w:color w:val="auto"/>
        </w:rPr>
        <w:t>terms and conditions of the Polar Subscription Agreement, to the Sponsor to meet the Sponsor’s commitment to fund the Company’s working capital needs. In exchange for the commitment of Polar to provide certain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3" w:lineRule="exact"/>
        <w:rPr>
          <w:sz w:val="20"/>
          <w:szCs w:val="20"/>
          <w:color w:val="auto"/>
        </w:rPr>
      </w:pPr>
    </w:p>
    <w:p>
      <w:pPr>
        <w:ind w:left="540" w:right="160" w:hanging="424"/>
        <w:spacing w:after="0" w:line="200" w:lineRule="auto"/>
        <w:tabs>
          <w:tab w:leader="none" w:pos="540" w:val="left"/>
        </w:tabs>
        <w:numPr>
          <w:ilvl w:val="0"/>
          <w:numId w:val="2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 459,500 Private Placement Shares held of record by the sponsor, (ii) 4,882,500 Founder Shares held of record by the sponsor, and (iii) 205,000 shares held of record by Armada’s directors and officers.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Rezolve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Rezolve Ordinary Shares as of the Record Date and immediately following consummation of the Business Combination by:</w:t>
      </w:r>
    </w:p>
    <w:p>
      <w:pPr>
        <w:spacing w:after="0" w:line="67" w:lineRule="exact"/>
        <w:rPr>
          <w:sz w:val="20"/>
          <w:szCs w:val="20"/>
          <w:color w:val="auto"/>
        </w:rPr>
      </w:pPr>
    </w:p>
    <w:p>
      <w:pPr>
        <w:ind w:left="1080" w:right="640" w:hanging="424"/>
        <w:spacing w:after="0" w:line="282" w:lineRule="auto"/>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 the beneficial owner of more than 5% of the outstanding Rezolve Ordinary Shares immediately following the Closing;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become a named executive officer or director of Rezolve following the Closing;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Rezolve following the Closing, as a group.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expected beneficial ownership of Rezolve’s Ordinary Shares post-combination assumes two scenarios:</w:t>
      </w:r>
    </w:p>
    <w:p>
      <w:pPr>
        <w:spacing w:after="0" w:line="131" w:lineRule="exact"/>
        <w:rPr>
          <w:sz w:val="20"/>
          <w:szCs w:val="20"/>
          <w:color w:val="auto"/>
        </w:rPr>
      </w:pPr>
    </w:p>
    <w:p>
      <w:pPr>
        <w:ind w:left="1080" w:right="420" w:hanging="424"/>
        <w:spacing w:after="0" w:line="282" w:lineRule="auto"/>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Minimum Redemptions: This presentation assumes that no public shareholders of Armada exercise redemption rights with respect to their public shares for a pro rata share of cash in the Trust Account.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 Redemptions: This presentation assumes that all shares of Armada common stock are redeemed for their pro rata share of the cash in the Trust Account in connection with the Armada Share Redemptions. This scenario gives effect to Armada Share Redemptions of 1,417,687 shares of Armada common stock for aggregate redemption payments of $15,554,172 million at a redemption price of approximately $10.97 per share based on the investments held in the Trust Account as of         .</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Based on the foregoing assumptions, we estimate that there would be 216,282,249 Rezolve Ordinary Shares issued and outstanding immediately following the Closing in the “minimum redemption” scenario, and 214,864,562 Rezolve Ordinary Shares issued and outstanding immediately following the Closing in the “maximum redemption” scenario. If the facts are different from the foregoing assumptions, ownership figures in the Combined Company will be different. In either a “minimum redemption” scenario or a “maximum redemption” scenario, each Rezolve shareholder that will control 10% or more of the issued securities of Rezolve following the Closing was also a shareholder of the Company that controlled 10% or more of the issued securities of the Company prior to the consummation of the Business Combination.</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presented in the table below is as of June 11, 2024. Unless otherwise indicated, Rezolve believes that all persons named in the table below have sole voting and investment power with respect to the securities beneficially owned by them.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00"/>
          </w:cols>
          <w:pgMar w:left="320" w:top="455" w:right="4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Pre-Business</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Post-Business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(1)(7)</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4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(1)(7)</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20" w:type="dxa"/>
            <w:vAlign w:val="bottom"/>
            <w:tcBorders>
              <w:top w:val="single" w:sz="8" w:color="auto"/>
            </w:tcBorders>
            <w:gridSpan w:val="4"/>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Assuming Minimum</w:t>
            </w:r>
          </w:p>
        </w:tc>
        <w:tc>
          <w:tcPr>
            <w:tcW w:w="154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Assuming Max</w:t>
            </w: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Shareholder</w:t>
            </w:r>
          </w:p>
        </w:tc>
        <w:tc>
          <w:tcPr>
            <w:tcW w:w="1020" w:type="dxa"/>
            <w:vAlign w:val="bottom"/>
            <w:gridSpan w:val="2"/>
            <w:vMerge w:val="continue"/>
          </w:tcPr>
          <w:p>
            <w:pPr>
              <w:spacing w:after="0"/>
              <w:rPr>
                <w:sz w:val="10"/>
                <w:szCs w:val="10"/>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0"/>
                <w:szCs w:val="10"/>
                <w:color w:val="auto"/>
              </w:rPr>
            </w:pPr>
          </w:p>
        </w:tc>
        <w:tc>
          <w:tcPr>
            <w:tcW w:w="152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54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900" w:type="dxa"/>
            <w:vAlign w:val="bottom"/>
            <w:gridSpan w:val="2"/>
            <w:vMerge w:val="continue"/>
          </w:tcPr>
          <w:p>
            <w:pPr>
              <w:spacing w:after="0"/>
              <w:rPr>
                <w:sz w:val="15"/>
                <w:szCs w:val="15"/>
                <w:color w:val="auto"/>
              </w:rPr>
            </w:pPr>
          </w:p>
        </w:tc>
        <w:tc>
          <w:tcPr>
            <w:tcW w:w="10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5% Holders</w:t>
            </w:r>
          </w:p>
        </w:tc>
        <w:tc>
          <w:tcPr>
            <w:tcW w:w="36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DBLP Sea Cow Limited</w:t>
            </w:r>
            <w:r>
              <w:rPr>
                <w:rFonts w:ascii="Times New Roman" w:cs="Times New Roman" w:eastAsia="Times New Roman" w:hAnsi="Times New Roman"/>
                <w:sz w:val="23"/>
                <w:szCs w:val="23"/>
                <w:color w:val="auto"/>
                <w:vertAlign w:val="superscript"/>
              </w:rPr>
              <w:t>(2)</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51,381,683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23.76</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51,381,683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23.91</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Igor Lychagov</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34,771,000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16.08</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34,771,000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Brooks Newmark</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15,262,825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7.06</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15,262,825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7.10</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Apeiron Investment Group Limited</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11,421,286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5.28</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11,421,286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Armada Sponsor LLC</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5,342,000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74.95%</w:t>
            </w:r>
          </w:p>
        </w:tc>
        <w:tc>
          <w:tcPr>
            <w:tcW w:w="152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23"/>
                <w:szCs w:val="23"/>
                <w:color w:val="auto"/>
                <w:vertAlign w:val="subscript"/>
              </w:rPr>
              <w:t>3,715,943</w:t>
            </w:r>
            <w:r>
              <w:rPr>
                <w:rFonts w:ascii="Times New Roman" w:cs="Times New Roman" w:eastAsia="Times New Roman" w:hAnsi="Times New Roman"/>
                <w:sz w:val="10"/>
                <w:szCs w:val="10"/>
                <w:color w:val="auto"/>
              </w:rPr>
              <w:t>(3)(4)(5)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1.72</w:t>
            </w:r>
          </w:p>
        </w:tc>
        <w:tc>
          <w:tcPr>
            <w:tcW w:w="154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23"/>
                <w:szCs w:val="23"/>
                <w:color w:val="auto"/>
                <w:vertAlign w:val="subscript"/>
              </w:rPr>
              <w:t>3,715,943</w:t>
            </w:r>
            <w:r>
              <w:rPr>
                <w:rFonts w:ascii="Times New Roman" w:cs="Times New Roman" w:eastAsia="Times New Roman" w:hAnsi="Times New Roman"/>
                <w:sz w:val="10"/>
                <w:szCs w:val="10"/>
                <w:color w:val="auto"/>
              </w:rPr>
              <w:t>(3)(4)(5)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177"/>
        </w:trPr>
        <w:tc>
          <w:tcPr>
            <w:tcW w:w="4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Directors and Executive Officers of Rezolve Post-Proposed</w:t>
            </w: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Transactions</w:t>
            </w: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Daniel Wagner</w:t>
            </w:r>
            <w:r>
              <w:rPr>
                <w:rFonts w:ascii="Times New Roman" w:cs="Times New Roman" w:eastAsia="Times New Roman" w:hAnsi="Times New Roman"/>
                <w:sz w:val="23"/>
                <w:szCs w:val="23"/>
                <w:color w:val="auto"/>
                <w:vertAlign w:val="superscript"/>
              </w:rPr>
              <w:t>(8)</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John Wagner</w:t>
            </w:r>
            <w:r>
              <w:rPr>
                <w:rFonts w:ascii="Times New Roman" w:cs="Times New Roman" w:eastAsia="Times New Roman" w:hAnsi="Times New Roman"/>
                <w:sz w:val="23"/>
                <w:szCs w:val="23"/>
                <w:color w:val="auto"/>
                <w:vertAlign w:val="superscript"/>
              </w:rPr>
              <w:t>(2)</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4,698,504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2.17</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4,698,504</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Anthony Sharp</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815,989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815,989</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Sir David Wright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1,879,352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1,879,352</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Stephen Perry</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489,593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489,593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Derek Smith</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554,872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554,872</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Lurio</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5,392,000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75.65%</w:t>
            </w:r>
          </w:p>
        </w:tc>
        <w:tc>
          <w:tcPr>
            <w:tcW w:w="1520" w:type="dxa"/>
            <w:vAlign w:val="bottom"/>
            <w:gridSpan w:val="2"/>
          </w:tcPr>
          <w:p>
            <w:pPr>
              <w:jc w:val="right"/>
              <w:ind w:right="40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(3)(6)</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42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(3)(6)</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Herbert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5,392,000</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75.65%</w:t>
            </w:r>
          </w:p>
        </w:tc>
        <w:tc>
          <w:tcPr>
            <w:tcW w:w="152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(3)(7)</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2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(3)(7)</w:t>
            </w: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Vesco</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1,142,384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1,142,384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Burchill</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Sauvik Banerjjee</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 (individuals)</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13,396,637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6.19</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13,396,637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20" w:hanging="424"/>
        <w:spacing w:after="0" w:line="25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note that the Pre-Business Combination figures assume that the Pre-Closing Demerger and the Company Reorganization has not occurred, the Convertible Notes have not converted into shares and the numbers relate to shareholdings in Rezolve Limited. The Post-Business Combination figures assume that the Pre-Closing Demerger and the Company Reorganization has occurred, the Convertible Notes have not converted into shares and the numbers relate to shareholdings in Rezolve AI Limited.</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Limited is wholly legally owned by Daniel Wagner and is wholly beneficially owned by John Wagner. Accordingly, all the shares in the name of DBLP Sea Cow Limited are included as beneficially owned by John Wagner.</w:t>
      </w:r>
    </w:p>
    <w:p>
      <w:pPr>
        <w:ind w:left="540" w:hanging="424"/>
        <w:spacing w:after="0"/>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713,057 Founder Shares are allocated to the Non-Redeeming Stockholders by the Sponsor pursuant to the Non-Redemption Agreements.</w:t>
      </w:r>
    </w:p>
    <w:p>
      <w:pPr>
        <w:spacing w:after="0" w:line="9"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459,500 Private Placement Shares, (ii) 4,169, 500 Founder Shares, and (iii) 205,000 shares of Armada Common Stock held by Armada’s directors and officers.</w:t>
      </w:r>
    </w:p>
    <w:p>
      <w:pPr>
        <w:ind w:left="540" w:right="100" w:hanging="424"/>
        <w:spacing w:after="0" w:line="25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880,000 Founder Shares are allocated to Polar by the Sponsor pursuant to the Polar Subscription Agreement and 33,000 Founder Shares are allocated pursuant to a subscription agreement with an entity related to the Sponsor.</w:t>
      </w:r>
    </w:p>
    <w:p>
      <w:pPr>
        <w:jc w:val="both"/>
        <w:ind w:left="540" w:right="120" w:hanging="424"/>
        <w:spacing w:after="0" w:line="25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shares of Armada Common Stock held by Douglas Lurio directly and 3,715,943 shares of Armada Common Stock held by the Sponsor, of which Douglas Lurio and Stephen Herbert are managing members. Accordingly, all securities held by the Sponsor may ultimately be deemed to be beneficially held by Stephen Herbert and Douglas Lurio.</w:t>
      </w:r>
    </w:p>
    <w:p>
      <w:pPr>
        <w:spacing w:after="0" w:line="1"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shares of Armada Common Stock held by Stephen Herbert directly and 3,715,943 shares of Armada Common Stock held by the Sponsor, of which Stephen Herbert and Douglas Lurio are managing</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60"/>
        <w:spacing w:after="0" w:line="261" w:lineRule="auto"/>
        <w:rPr>
          <w:sz w:val="20"/>
          <w:szCs w:val="20"/>
          <w:color w:val="auto"/>
        </w:rPr>
      </w:pPr>
      <w:r>
        <w:rPr>
          <w:rFonts w:ascii="Times New Roman" w:cs="Times New Roman" w:eastAsia="Times New Roman" w:hAnsi="Times New Roman"/>
          <w:sz w:val="18"/>
          <w:szCs w:val="18"/>
          <w:color w:val="auto"/>
        </w:rPr>
        <w:t>members. Accordingly, all securities held by the Sponsor may ultimately be deemed to be beneficially held by Stephen Herbert and Douglas Lurio.</w:t>
      </w:r>
    </w:p>
    <w:p>
      <w:pPr>
        <w:ind w:left="540" w:hanging="424"/>
        <w:spacing w:after="0" w:line="250" w:lineRule="auto"/>
        <w:tabs>
          <w:tab w:leader="none" w:pos="5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beneficial ownership of Rezolve Ordinary Shares post-Business Combination is expected to be completed subsequent to the date of this proxy statement/prospectus, as the estimated number of Resolve Ordinary Shares issued and outstanding immediately following the Closing is not available as of the date of this proxy statement/prospectus.</w:t>
      </w:r>
    </w:p>
    <w:p>
      <w:pPr>
        <w:spacing w:after="0" w:line="1"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estimated number of Resolve Ordinary Shares issued and outstanding immediately following the Closing is not available as of the date of this proxy statement/prospectus, Daniel Wagner is expected to have the right to vote at least 75% of the outstanding shares.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00"/>
          </w:cols>
          <w:pgMar w:left="320" w:top="455" w:right="47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0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100" w:type="dxa"/>
            <w:vAlign w:val="bottom"/>
            <w:gridSpan w:val="5"/>
          </w:tcPr>
          <w:p>
            <w:pPr>
              <w:ind w:left="258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tc>
        <w:tc>
          <w:tcPr>
            <w:tcW w:w="3580" w:type="dxa"/>
            <w:vAlign w:val="bottom"/>
          </w:tcPr>
          <w:p>
            <w:pPr>
              <w:spacing w:after="0"/>
              <w:rPr>
                <w:sz w:val="24"/>
                <w:szCs w:val="24"/>
                <w:color w:val="auto"/>
              </w:rPr>
            </w:pPr>
          </w:p>
        </w:tc>
      </w:tr>
      <w:tr>
        <w:trPr>
          <w:trHeight w:val="414"/>
        </w:trPr>
        <w:tc>
          <w:tcPr>
            <w:tcW w:w="7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Upon the Closing, Rezolve will have             Rezolve Ordinary Shares, nominal value of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each, authorized and, based on the</w:t>
            </w:r>
          </w:p>
        </w:tc>
      </w:tr>
      <w:tr>
        <w:trPr>
          <w:trHeight w:val="216"/>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assumptions set out elsewhere in this proxy statement/prospectus, up to  </w:t>
            </w:r>
          </w:p>
        </w:tc>
        <w:tc>
          <w:tcPr>
            <w:tcW w:w="56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Rezolve Ordinary Shares issued and outstanding, assuming no shares</w:t>
            </w:r>
          </w:p>
        </w:tc>
      </w:tr>
      <w:tr>
        <w:trPr>
          <w:trHeight w:val="216"/>
        </w:trPr>
        <w:tc>
          <w:tcPr>
            <w:tcW w:w="6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of Armada Common Stock are redeemed in connection with the Business Combination and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held by the Armada Initial Shareholders</w:t>
            </w:r>
          </w:p>
        </w:tc>
      </w:tr>
      <w:tr>
        <w:trPr>
          <w:trHeight w:val="216"/>
        </w:trPr>
        <w:tc>
          <w:tcPr>
            <w:tcW w:w="6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that will be subject to certain lock-up arrangements. In addition, Rezolve is expected to have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Rezolve Warrants issued and outstanding, each</w:t>
            </w:r>
          </w:p>
        </w:tc>
      </w:tr>
      <w:tr>
        <w:trPr>
          <w:trHeight w:val="234"/>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Rezolve Warrant exercisable for one Rezolve Ordinary Share at           </w:t>
            </w:r>
          </w:p>
        </w:tc>
        <w:tc>
          <w:tcPr>
            <w:tcW w:w="5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 share. All of the Rezolve Ordinary Shares issued to the Armada</w:t>
            </w:r>
          </w:p>
        </w:tc>
      </w:tr>
    </w:tbl>
    <w:p>
      <w:pPr>
        <w:ind w:left="120" w:right="46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in connection with the Business Combination will be freely transferable by persons other than by Rezolve’s “affiliates” or Armada’s “affiliates” without restriction or further registration under the Securities Act.</w:t>
      </w:r>
    </w:p>
    <w:p>
      <w:pPr>
        <w:spacing w:after="0" w:line="18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Sales of substantial amounts of the Rezolve Ordinary Shares in the public market could adversely affect prevailing market prices of the Rezolve Ordinary Shares. Prior to the Business Combination, there has been no public market for Rezolve Ordinary Shares. Rezolve intends to apply for listing of the Rezolve Ordinary Shares and Rezolve Warrants on Nasdaq, but Rezolve cannot assure you that a regular trading market will develop in the Rezolve Ordinary Shares and Rezolve Warrants.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040"/>
          </w:cols>
          <w:pgMar w:left="320" w:top="446" w:right="5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Related Person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88"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Armada’s sponsor purchased an aggregate of 459,500 private shares at a price of $10.00 per share for an aggregate purchase price of $4,595,000. The initial purchasers have agreed not to transfer, assign or sell any of the private shares (except in connection with the same limited exceptions that the founder shares may be transferred as described above) until after the completion of Armada’s initial business combination. In the event of a liquidation prior to Armada’s initial business combination, the private shares will likely be worthless.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order to meet Armada’s working capital needs following the consummation of its initial public offering, Armada’s sponsor, officers and directors or their affiliates may, but are not obligated to, loan Armada funds, from time to time or at any time, in whatever amount they deem reasonable in their sole discretion. Each loan would be non-interest bearing and be evidenced by a promissory note. The notes would either be paid upon consummation of Armada’s initial business combination, without interest, or, at holder’s discretion, up to $1,500,000 of the notes may be converted into shares of common stock at a price of $10.00 per share. The shares would be identical to the private shares. In the event that the initial business combination does not close, Armada may use a portion of the working capital held outside the Trust Account to repay such loaned amounts, but no proceeds from our Trust Account would be used for such repayment.</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holders of Armada’s founder shares as well as the holders of the private shares and any shares of common stock issued to Armada’s sponsor, officers, directors or their affiliates that may be issued in payment of working capital loans made to Armada (and all underlying securities), will be entitled to certain registration rights. The holders of a majority of these securities are entitled to make up to two demands that Armada register such securities. The holders of the majority of the founder shares and private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Armada will bear the expenses incurred in connection with the filing of any such registration statements. In connection with the closing of the Business Combination transaction, the registration rights agreement, dated August 12, 2021, by and between Armada and the Sponsor will be terminated and Rezolve, the Sponsor and certain stockholders of Rezolve will enter into an Investor Rights Agreement. For additional information, please see the section entitled “</w:t>
      </w:r>
      <w:r>
        <w:rPr>
          <w:rFonts w:ascii="Times New Roman" w:cs="Times New Roman" w:eastAsia="Times New Roman" w:hAnsi="Times New Roman"/>
          <w:sz w:val="18"/>
          <w:szCs w:val="18"/>
          <w:i w:val="1"/>
          <w:iCs w:val="1"/>
          <w:color w:val="auto"/>
        </w:rPr>
        <w:t>The Business Combination Proposal — Ancillary Agreements — Investor Rights Agreement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Armada’s liquidity needs up to the IPO of August 17, 2021 had been satisfied through a promissory note from related parties to cover certain offering costs of $230,352. The amounts borrowed under the note were fully repaid as of August 17, 2021. Armada’s sponsor has agreed that, commencing on the effective date of the IPO through the earlier of Armada’s consummation of its initial business combination or the liquidation of the Trust Account, it will make available to Armada certain general and administrative services, including office space, utilities and administrative support, as Armada may require from time to time. Armada has agreed to pay $10,000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per month for these services. Armada believes, based on rents and fees for similar services, that these fees are at least as favorable as it could have obtained from an unaffiliated person.</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May 9, 2022, the Armada’s sponsor loaned Armada the aggregate amount of $483,034 in order to assist Armada to fund its working capital needs. The loan is evidenced by two promissory notes in the aggregate principal amount of $483,034 from Armada, as maker, to Armada’s sponsor, as payee.</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November 10, 2022, Armada’s sponsor loaned Armada $1,500,000 in order to cover the additional contribution to the Trust Account in connection with its automatic extension and $450,000 to fund its working capital needs. The promissory notes are non-interest bearing and due on the earlier of: (i) the liquidation or release of all of the monies held in the Trust Account or (ii) the date on which Armada consummates an acquisition, merger or other business combination transaction involving Armada or its affiliates. The principal balance may be prepaid at any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July 2022, Armada fully repaid one of the promissory notes in the amount of $187,034 which represented monies loaned to Armada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payment of Delaware franchise taxes. Armada utilized the interest earned on the trust account to repay the promissory note. Armada also paid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$44,246 on behalf of Armada’s sponsor for tax services in August and September 2022. The aggregate balance outstanding under all promissory notes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$2,201,754 and $251,754 as of March 31, 2023 and September 30, 2022, respectively.</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Armada’s second amended and restated certificate of incorporation, Armada may extend the period of time to consummate a business combination up to a total of 24 months to complete a business combination. In order to effectuate such extension, Armada’s sponsor or its affiliates or designees, upon ten days advance notice prior to the applicable deadline, must deposit into the Trust Account $1,500,000, or $0.10 per share. Any such payments would be made in the form of a loan made no later than three business days prior to the 15-month anniversary of the IPO. Any such loans will be non-interest bearing and payable upon the consummation of Armada’s initial business combination. If Armada completes its initial business combination, Armada would repay such loaned amounts out of the proceeds of the Trust Account released to it. Armada’s sponsor and its affiliates or designees are not obligated to fund the Trust Account to extend the time for Armada to complete our initial business combination. If Armada does not complete a business combination, such loans will not be repaid.</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Armada has entered into agreements with our officers and directors to provide contractual indemnification in addition to the indemnification provided for in its amended and restated certificate of incorporation.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76"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Other than the payments to CCM, the $10,000 per month administrative fee, the payment of consulting, success or finder fees to its sponsor, officers, directors, or their affiliates in connection with the consummation of Armada’s initial business combination and repayment of the up to $300,000 loan, no compensation or fees of any kind will be paid to Armada’s sponsor, members of Armada’s management team or their respective affiliates, for services rendered prior to or in connection with the consummation of Armada’s initial business combination (regardless of the type of transaction that it is). However, such individuals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us unless Armada consummates an initial business combination.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Policy Regarding Transactions with Related Persons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Armada’s Code of Ethics requires it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Armada or any of its subsidiaries is a participant, and (3) any (a) executive officer, director or nominee for election as a director, (b) greater than 5% beneficial owner of Armada’s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9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Armada’s audit committee, pursuant to its written charter, is responsible for reviewing and approving related-party transactions to the extent Armada enters into such transactions. The audit committee considers all relevant factors when determining whether to approve a related party transaction, including whether the related party transaction is on terms no less favorable to Armada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Armada also requires each of its directors and executive officers to complete a directors’ and officers’ questionnaire that elicits information about related party transactions.</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62"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To further minimize conflicts of interest, Armada has agreed not to consummate an initial business combination with an entity that is affiliated with any of its sponsor, officers or directors unless it has obtained an opinion from an independent investment banking firm, or another independent entity that commonly renders valuation opinions, that the business combination is fair to its unaffiliated stockholders from a financial point of view. Armada will also need to obtain approval of a majority of its disinterested independent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Related Person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description of related-party transactions that Rezolve has entered into since January 1, 2019.</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(“DBLP”),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or before Closing, Rezolve shall enter into indemnification agreements with each of its directors and officers. The agreements will provide the indemnitees with contractual rights to indemnification and expense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060"/>
          </w:cols>
          <w:pgMar w:left="320" w:top="455" w:right="5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Closing, the Rezolve board of directors will adopt a written related person transaction policy that will set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85" w:lineRule="exact"/>
        <w:rPr>
          <w:sz w:val="20"/>
          <w:szCs w:val="20"/>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Rezolve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Related to the Business Combination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parties entered into a number of agreements, including the Transaction Support Agreements, the Convertible Loan Subscription Agreement, and the Investors’ Rights Agreement. For further information, see “Business Combination Proposal.”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REZOLVE ORDINARY SHARES, ARTICLES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as will be in force with effect from Closing (the “Articles”), and (iii) a summary of relevant provisions of the UK Companies Act 2006 (as amended) (the “UK Companies Act”)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proxy statement/prospectus forms a part.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Description of Rezolve Ordinary Shares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Rezolve Ordinary Shares to be issued in connection with the Merger will comprise a single class of ordinary shares with a nominal value of £0.001 each.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information is a summary of Rezolve Shares:</w:t>
      </w:r>
    </w:p>
    <w:p>
      <w:pPr>
        <w:spacing w:after="0" w:line="131" w:lineRule="exact"/>
        <w:rPr>
          <w:sz w:val="20"/>
          <w:szCs w:val="20"/>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Shares carry the right to receive dividends and distributions paid by Rezolve,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Rezolve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85"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Rezolve Shares.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Rezolve may convert Rezolve Shares into deferred shares of £0.001 each in the capital of Rezolve (the “Deferred Shares”) in certain limited circumstances.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080"/>
          </w:cols>
          <w:pgMar w:left="320" w:top="455" w:right="4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Rezolve or any subsidiary), then unless the board of directors of Rezolve resolves otherwise with the written consent of the Rezolve Founder, all the Rezolve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31" w:lineRule="exact"/>
        <w:rPr>
          <w:sz w:val="20"/>
          <w:szCs w:val="20"/>
          <w:color w:val="auto"/>
        </w:rPr>
      </w:pPr>
    </w:p>
    <w:p>
      <w:pPr>
        <w:ind w:left="1080" w:hanging="424"/>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Armada has in issue a number of Armada Units consisting of one share of Armada Common Stock and one-half of one redeemable Armada Warrant (which trades on Nasdaq under the symbol “AACIW”). Each whole Armada Warrant entitles the holder to purchase one share of Armada Common Stock at a price of $11.50 per share, subject to adjustment. Pursuant to the Business Combination Agreement, upon the consummation of the Business Combination, each issued and outstanding Armada Warrant immediately prior to the Merger Effective Time will be exchanged for        </w:t>
      </w:r>
    </w:p>
    <w:p>
      <w:pPr>
        <w:spacing w:after="0" w:line="3"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Rezolve Warrant. The Rezolve Warrants will be on terms substantially the same as the terms of the existing Armada Warrants (other than terms in the latter that refer to the Business Combination and other than where incompatible with English law), and which are summarized below.</w:t>
      </w:r>
    </w:p>
    <w:p>
      <w:pPr>
        <w:spacing w:after="0" w:line="1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whole Rezolve Warrant will entitle the holder to purchase one Rezolve Ordinary Share at a price of $11.50 per share subject to adjustment as discussed below. The Rezolve Warrants will become exercisable 30 days after the completion of the Business Combination and terminating at 5:00pm New York City time on the earlier to occur of (i)         years from the consummation of the Business Combination, (ii) the date on which the warrants are redeemed, and (iii) the liquidation of Rezolve, provided in each case that Rezolve has an effective registration statement under the Securities Act covering the Rezolve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will not be obligated to deliver any Rezolve Ordinary Shares pursuant to the exercise of a warrant and will have no obligation to settle such warrant exercise unless a registration statement under the Securities Act with respect to the Rezolve Ordinary Shares underlying the warrants is then effective and a prospectus relating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77" w:lineRule="auto"/>
        <w:rPr>
          <w:sz w:val="20"/>
          <w:szCs w:val="20"/>
          <w:color w:val="auto"/>
        </w:rPr>
      </w:pPr>
      <w:r>
        <w:rPr>
          <w:rFonts w:ascii="Times New Roman" w:cs="Times New Roman" w:eastAsia="Times New Roman" w:hAnsi="Times New Roman"/>
          <w:sz w:val="17"/>
          <w:szCs w:val="17"/>
          <w:color w:val="auto"/>
        </w:rPr>
        <w:t>thereto is current, subject to our satisfying our obligations described below with respect to registration. No warrant will be exercisable and we will not be obligated to issue a Rezolve Ordinary Share upon exercise of a warrant unless the Rezolve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6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Rezolve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Rezolve Warrant Agreement which will then apply to the Rezolve Warrants.</w:t>
      </w:r>
    </w:p>
    <w:p>
      <w:pPr>
        <w:spacing w:after="0" w:line="181"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Rezolve Warrants when the price per Rezolve Ordinary Share equals or exceeds $18.00. </w:t>
      </w:r>
      <w:r>
        <w:rPr>
          <w:rFonts w:ascii="Times New Roman" w:cs="Times New Roman" w:eastAsia="Times New Roman" w:hAnsi="Times New Roman"/>
          <w:sz w:val="18"/>
          <w:szCs w:val="18"/>
          <w:color w:val="auto"/>
        </w:rPr>
        <w:t>Once the warrants become exercisable,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 (subject to any restrictions under the UK Companies Act):</w:t>
      </w:r>
    </w:p>
    <w:p>
      <w:pPr>
        <w:spacing w:after="0" w:line="66" w:lineRule="exact"/>
        <w:rPr>
          <w:sz w:val="20"/>
          <w:szCs w:val="20"/>
          <w:color w:val="auto"/>
        </w:rPr>
      </w:pPr>
    </w:p>
    <w:p>
      <w:pPr>
        <w:ind w:left="1080" w:hanging="424"/>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Rezolve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Rezolve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Rezolve calls the warrants for redemption as described above, Rezolve’s management will have the discretion to require all holders that wish to exercise Rezolve Warrants to do so on a “cashless basis” but only if permitted under English law. In such event, each holder would pay the exercise price by surrendering the Rezolve Warrants for that number of Rezolve Ordinary Shares equal to the quotient obtained by dividing (x) the product of the number of Rezolve Ordinary Shares underlying the Rezolve Warrants, multiplied by the difference between the exercise price of the Rezolve Warrants and the “fair market value” (defined below) by (y) the fair market value. The “fair market value” for this purpose shall mean the average reported last sale price of the Rezolve Ordinary Shares for the five trading days ending on the third trading day prior to the date on which the notice of redemption is sent to the holders of Rezolve Warrants. The ability for warrants to be exercised on such a “cashless basis” will be in the sole discretion of Rezolve and subject to any restrictions under the UK Companies Act.</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 fractional Rezolve Ordinary Shares will be issued upon exercise. If, upon exercise, a holder would be entitled to receive a fractional interest in a share, we will round down to the nearest whole number of Rezolve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00"/>
          </w:cols>
          <w:pgMar w:left="320" w:top="455" w:right="4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Ordinary Shares to be issued to the holder. If, at the time of redemption, the warrants are exercisable for a security other than the Rezolve Ordinary Shares pursuant to the applicable Warrant Agreement, the warrants may be exercised for such security. At such time as the warrants become exercisable for a security other than the Rezolve Ordinary Shares, Rezolve (or surviving company) will use its commercially reasonable efforts to register under the Securities Act the security issuable upon the exercise of the warrants</w:t>
      </w:r>
    </w:p>
    <w:p>
      <w:pPr>
        <w:spacing w:after="0" w:line="178"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Rezolve Ordinary Shares outstanding immediately after giving effect to such exercise.</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Rezolve Ordinary Shares is increased by a stock dividend payable in Rezolve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by a split up of common stock or other similar event, then, on the effective date of such share capitalization, sub-division or similar event, the number of Rezolve Ordinary Shares issuable on exercise of each warrant will be increased in proportion to such increase in the outstanding shares of common stock. A rights offering made to all or substantially all holders of common stock entitling holders to purchase Rezolve Ordinary Shares at a price less than the fair market value will be deemed a share capitalization of a number of Rezolve Ordinary Shares equal to the product of (i) the number of Rezolve Ordinary Shares actually sold in such rights offering (or issuable under any other equity securities sold in such rights offering that are convertible into or exercisable for Rezolve Ordinary Shares) and (ii) one minus the quotient of (x) the price per Rezolve Ordinary Share paid in such rights offering and (y) the fair market value. For these purposes (i) if the rights offering is for securities convertible into or exercisable for Rezolve Ordinary Shares, in determining the price payable for Rezolve Ordinary Shares, there will be taken into account any consideration received for such rights, as well as any additional amount payable upon exercise or conversion and (ii) fair market value means the volume weighted average price of Rezolve Ordinary Shares as reported during the ten (10) trading day period ending on the trading day prior to the first date on which the Rezolve Ordinary Shares trade on the applicable exchange or in the applicable market, regular way, without the right to receive such rights.</w:t>
      </w:r>
    </w:p>
    <w:p>
      <w:pPr>
        <w:spacing w:after="0" w:line="19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Rezolve Ordinary Shares is decreased by a consolidation, combination, reverse stock split or reclassification of Rezolve Ordinary Shares or other similar event, then, on the effective date of such consolidation, combination, reverse share sub-division, reclassification or similar event, the number of Rezolve Ordinary Shares issuable on exercise of each warrant will be decreased in proportion to such decrease in outstanding Rezolve Ordinary Shares.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Whenever the number of Rezolve Ordinary Shares purchasable upon the exercise of the warrants is adjusted, as described above, the warrant exercise price will be adjusted by multiplying the warrant exercise price immediately prior to such adjustment by a fraction (x) the numerator of which will be the number of Rezolve Ordinary Shares purchasable upon the exercise of the warrants immediately prior to such adjustment, and (y) the denominator of which will be the number of Rezolve Ordinary Shares so purchasable immediately thereafter.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Rezolve Ordinary Shares (other than those described above or that solely affects the par value of such Rezolve Ordinary Shares), or in the case of any merger or consolidation of us with or into another corporation (other than a consolidation or merger in which we are the continuing corporation and that does not result in any reclassification or reorganization of our issued and outstanding Rezolve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Rezolve Ordinary Shares immediately theretofore purchasable and receivable upon the exercise of the rights represented thereby, the kind and amount of Rezolve Ordinary Shares or other securities or property (including cash) receivable upon such reclassification,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reorganization, merger or consolidation, or upon a dissolution following any such sale or transfer, that the holder of the warrants would have received if such holder had exercised their warrants immediately prior to such event.</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Rezolve Ordinary Shares and any voting rights until they exercise their warrants and receive Rezolve Ordinary Shares. After the issuance of Rezolve Ordinary Shares upon exercise of the warrants, each holder will be entitled to one vote for each share held of record on all matters to be voted on by shareholders.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Armada Warrant Agreement will be brought and enforced in the courts of the State of New York or the United States District Court for the Southern District of New York, and we irrevocably submit to such jurisdiction, which jurisdiction will be the exclusive forums for any such action, proceeding or claim. See “</w:t>
      </w:r>
      <w:r>
        <w:rPr>
          <w:rFonts w:ascii="Times New Roman" w:cs="Times New Roman" w:eastAsia="Times New Roman" w:hAnsi="Times New Roman"/>
          <w:sz w:val="18"/>
          <w:szCs w:val="18"/>
          <w:i w:val="1"/>
          <w:iCs w:val="1"/>
          <w:color w:val="auto"/>
        </w:rPr>
        <w:t>Risk Factors—The Armada Warrant Agreement designates the courts of the State of New York or the United States District Court for the Southern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District of New York as the sole and exclusive forums for certain types of actions and proceedings that may be initiated by holders of Rezolve Warrants, which could limit the ability of warrant holders to obtain a favorable judicial forum for disputes with Rezolve.</w:t>
      </w:r>
      <w:r>
        <w:rPr>
          <w:rFonts w:ascii="Times New Roman" w:cs="Times New Roman" w:eastAsia="Times New Roman" w:hAnsi="Times New Roman"/>
          <w:sz w:val="18"/>
          <w:szCs w:val="18"/>
          <w:color w:val="auto"/>
        </w:rPr>
        <w:t>” This provision applies to claims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but does not apply to claims under the Exchange Act or any claim for which the federal district courts of the United States of America are the sole and exclusive forum.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Rezolve Shares as specified in the Articles. The following summary does not purport to be complete and is qualified in its entirety by reference to the Articles.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line="67" w:lineRule="exact"/>
        <w:rPr>
          <w:sz w:val="20"/>
          <w:szCs w:val="20"/>
          <w:color w:val="auto"/>
        </w:rPr>
      </w:pPr>
    </w:p>
    <w:p>
      <w:pPr>
        <w:ind w:left="1080" w:hanging="532"/>
        <w:spacing w:after="0"/>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00"/>
          </w:cols>
          <w:pgMar w:left="320" w:top="455"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50% majority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 the second class being eligible for re-election at the annual general meeting of the Rezolve held in         and the third class being eligible for re-election at the annual general meeting of the Rezolve held in         .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Rezolve’s board will be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31" w:lineRule="exact"/>
        <w:rPr>
          <w:sz w:val="20"/>
          <w:szCs w:val="20"/>
          <w:color w:val="auto"/>
        </w:rPr>
      </w:pPr>
    </w:p>
    <w:p>
      <w:pPr>
        <w:ind w:left="1080" w:right="120" w:hanging="424"/>
        <w:spacing w:after="0" w:line="282"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8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7" w:lineRule="exact"/>
        <w:rPr>
          <w:sz w:val="20"/>
          <w:szCs w:val="20"/>
          <w:color w:val="auto"/>
        </w:rPr>
      </w:pPr>
    </w:p>
    <w:p>
      <w:pPr>
        <w:ind w:left="1080" w:right="160" w:hanging="424"/>
        <w:spacing w:after="0" w:line="28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93" w:lineRule="exact"/>
        <w:rPr>
          <w:sz w:val="20"/>
          <w:szCs w:val="20"/>
          <w:color w:val="auto"/>
        </w:rPr>
      </w:pPr>
    </w:p>
    <w:p>
      <w:pPr>
        <w:ind w:left="1080" w:hanging="424"/>
        <w:spacing w:after="0"/>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00"/>
          </w:cols>
          <w:pgMar w:left="320" w:top="455" w:right="4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81" w:lineRule="exact"/>
        <w:rPr>
          <w:sz w:val="20"/>
          <w:szCs w:val="20"/>
          <w:color w:val="auto"/>
        </w:rPr>
      </w:pPr>
    </w:p>
    <w:p>
      <w:pPr>
        <w:ind w:left="1080" w:right="100" w:hanging="424"/>
        <w:spacing w:after="0" w:line="282" w:lineRule="auto"/>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(“UK GDPR”) based on internationally accepted principles of data privacy.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(“personal data”). In the following discussion, the “Company” refers to Rezolve and its affiliates and/or delegates, except where the context requires otherwise.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40"/>
          </w:cols>
          <w:pgMar w:left="320" w:top="455" w:right="4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1" w:lineRule="exact"/>
        <w:rPr>
          <w:sz w:val="20"/>
          <w:szCs w:val="20"/>
          <w:color w:val="auto"/>
        </w:rPr>
      </w:pPr>
    </w:p>
    <w:p>
      <w:pPr>
        <w:ind w:left="1080" w:hanging="424"/>
        <w:spacing w:after="0"/>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100"/>
          </w:cols>
          <w:pgMar w:left="320" w:top="455" w:right="47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020"/>
          </w:cols>
          <w:pgMar w:left="320" w:top="455" w:right="5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COMPARISON OF RIGHTS OF ARMADA STOCKHOLDERS AND REZOLVE SHAREHOLDERS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holders of Armada Common Stock will become shareholders of Rezolve and their rights will be governed by English law and the Articles. Currently, the rights of Armada stockholders are governed by the laws of the State of Delaware and the Armada Charter.</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differences between the rights of Armada stockholders and the proposed rights of Rezolve’s shareholders. This summary is not complete and does not cover all of the differences between the laws of England and Wales and the laws of Delaware affecting corporations and their shareholders or all the differences between Armada’s and Rezolve’s organizational documents. The summary is therefore subject to the complete text of the relevant provisions of the English laws and Delaware laws and Armada’s and Rezolve’s organizational documents. For information on the Armada Charter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proxy statement/prospectus. For a summary of the Articles, see the section entitled “</w:t>
      </w:r>
      <w:r>
        <w:rPr>
          <w:rFonts w:ascii="Times New Roman" w:cs="Times New Roman" w:eastAsia="Times New Roman" w:hAnsi="Times New Roman"/>
          <w:sz w:val="18"/>
          <w:szCs w:val="18"/>
          <w:i w:val="1"/>
          <w:iCs w:val="1"/>
          <w:color w:val="auto"/>
        </w:rPr>
        <w:t>Description of Rezolve’s Securities</w:t>
      </w:r>
      <w:r>
        <w:rPr>
          <w:rFonts w:ascii="Times New Roman" w:cs="Times New Roman" w:eastAsia="Times New Roman" w:hAnsi="Times New Roman"/>
          <w:sz w:val="18"/>
          <w:szCs w:val="18"/>
          <w:color w:val="auto"/>
        </w:rPr>
        <w:t>” in this proxy statement/prospectus.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“shareholder” or “shareholders” means the person(s) whose name(s) appear on a company’s register of members and who are the legal owners of the shares concerned.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10"/>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Shareholder Meetings</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 Held at such time or place as designated in the articles of association, or</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 Held at such time or place as designated in the certificate of</w:t>
            </w:r>
          </w:p>
        </w:tc>
      </w:tr>
      <w:tr>
        <w:trPr>
          <w:trHeight w:val="216"/>
        </w:trPr>
        <w:tc>
          <w:tcPr>
            <w:tcW w:w="26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if not so designated, as determined by the board of directors, or if</w:t>
            </w:r>
          </w:p>
        </w:tc>
        <w:tc>
          <w:tcPr>
            <w:tcW w:w="320" w:type="dxa"/>
            <w:vAlign w:val="bottom"/>
          </w:tcPr>
          <w:p>
            <w:pPr>
              <w:spacing w:after="0"/>
              <w:rPr>
                <w:sz w:val="18"/>
                <w:szCs w:val="18"/>
                <w:color w:val="auto"/>
              </w:rPr>
            </w:pPr>
          </w:p>
        </w:tc>
        <w:tc>
          <w:tcPr>
            <w:tcW w:w="4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incorporation or the by-laws, or if not so designated, as</w:t>
            </w:r>
          </w:p>
        </w:tc>
      </w:tr>
      <w:tr>
        <w:trPr>
          <w:trHeight w:val="234"/>
        </w:trPr>
        <w:tc>
          <w:tcPr>
            <w:tcW w:w="26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necessary, by the chair of the meeting</w:t>
            </w:r>
          </w:p>
        </w:tc>
        <w:tc>
          <w:tcPr>
            <w:tcW w:w="320" w:type="dxa"/>
            <w:vAlign w:val="bottom"/>
          </w:tcPr>
          <w:p>
            <w:pPr>
              <w:spacing w:after="0"/>
              <w:rPr>
                <w:sz w:val="20"/>
                <w:szCs w:val="20"/>
                <w:color w:val="auto"/>
              </w:rPr>
            </w:pPr>
          </w:p>
        </w:tc>
        <w:tc>
          <w:tcPr>
            <w:tcW w:w="4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determined by the board of directors</w:t>
            </w: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 May be held within or without England</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 May be held within or without Delaware</w:t>
            </w: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tc>
      </w:tr>
      <w:tr>
        <w:trPr>
          <w:trHeight w:val="306"/>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 Whenever shareholders are required to take any action at a meeting,</w:t>
            </w:r>
          </w:p>
        </w:tc>
        <w:tc>
          <w:tcPr>
            <w:tcW w:w="32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 Whenever shareholders are required to take any action at a</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written notice of the meeting shall be given which shall state the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a written notice of the meeting shall be given which</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place, if any, date and hour of the meeting and the general nature of</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state the place, if any, date and hour of the meeting, and</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business to be conducted at the general meeting.</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means of remote communication, if any.</w:t>
            </w:r>
          </w:p>
        </w:tc>
      </w:tr>
      <w:tr>
        <w:trPr>
          <w:trHeight w:val="306"/>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 Not less than 21 clear days’ notice shall be given of any annual</w:t>
            </w:r>
          </w:p>
        </w:tc>
        <w:tc>
          <w:tcPr>
            <w:tcW w:w="32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 Written notice shall be given not less than 10 nor more than</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and the case of all other general meetings, not less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 days before the meeting.</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than 14 clear days’ notice shall be given.</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 General meetings may be called upon shorter notice with the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of (i) in the case of an annual general meeting, all the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who are permitted to attend and vote, or (ii) in the case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any other general meeting, a majority of the shareholders holding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 least 95% by nominal value of the shares giving the right to</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attend and vote at the meeting.</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 “Clear days’ notice” means calendar days and excludes (i) the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deemed date of receipt of the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2"/>
          </w:tcPr>
          <w:p>
            <w:pPr>
              <w:ind w:left="4740"/>
              <w:spacing w:after="0"/>
              <w:rPr>
                <w:sz w:val="20"/>
                <w:szCs w:val="20"/>
                <w:color w:val="auto"/>
              </w:rPr>
            </w:pPr>
            <w:r>
              <w:rPr>
                <w:rFonts w:ascii="Times New Roman" w:cs="Times New Roman" w:eastAsia="Times New Roman" w:hAnsi="Times New Roman"/>
                <w:sz w:val="18"/>
                <w:szCs w:val="18"/>
                <w:color w:val="auto"/>
              </w:rPr>
              <w:t>292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notice, and (ii) the date of the meeting itself. Rezolve’s articles of association provide that documents sent by first class post are deemed received the day after mailing and, if sent by airmail, on the third day after mailing, and in each other case, two days after mailing.</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 Any action required to be taken by meeting of shareholders must be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taken at a meeting. Written shareholder resolutions are not possible for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UK public limited company.</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 Any person authorized to vote may authorize another person or persons</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act for him by proxy.</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 quorum required for a general meeting of members consists of at</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least two (2) members, present in person or by proxy or if a corporation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 other non-natural person by its duly authorized representative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proxy, and entitled to vote, provided that for so long as the Rezolve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Founder is the holder, directly or indirectly or beneficially interested in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Ordinary Shares and is entitled to exercise not less than 10% of the votes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attaching to all shares of Rezolve, he must be present for the general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meeting to be quorate.</w:t>
      </w:r>
    </w:p>
    <w:p>
      <w:pPr>
        <w:spacing w:after="0" w:line="112" w:lineRule="exact"/>
        <w:rPr>
          <w:sz w:val="20"/>
          <w:szCs w:val="20"/>
          <w:color w:val="auto"/>
        </w:rPr>
      </w:pPr>
    </w:p>
    <w:p>
      <w:pPr>
        <w:ind w:left="480" w:right="60" w:hanging="269"/>
        <w:spacing w:after="0" w:line="255" w:lineRule="auto"/>
        <w:rPr>
          <w:sz w:val="20"/>
          <w:szCs w:val="20"/>
          <w:color w:val="auto"/>
        </w:rPr>
      </w:pPr>
      <w:r>
        <w:rPr>
          <w:rFonts w:ascii="Times New Roman" w:cs="Times New Roman" w:eastAsia="Times New Roman" w:hAnsi="Times New Roman"/>
          <w:sz w:val="18"/>
          <w:szCs w:val="18"/>
          <w:color w:val="auto"/>
        </w:rPr>
        <w:t>•   Under English law an ordinary resolution means a resolution that is passed by a simple majority (i.e. more than 50%) of those shareholders present at a general meeting in person or by proxy. A resolution passed on a poll taken at a meeting is passed by a simple majority if it is passed by members representing a simple majority of the total voting rights of members who (being entitled to do so) vote in person or by proxy on the resolution.</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 Under English law a special resolution means a resolution passed by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majority of not less than 75% of those shareholders present at a general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meeting in person or by proxy. A resolution passed on a poll taken at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meeting is passed by a majority of not less than 75% if it is passed by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members representing not less than 75% of the total voting rights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members who (being entitled to do so) vote in person or by proxy on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resolution.</w:t>
      </w:r>
    </w:p>
    <w:p>
      <w:pPr>
        <w:spacing w:after="0" w:line="112" w:lineRule="exact"/>
        <w:rPr>
          <w:sz w:val="20"/>
          <w:szCs w:val="20"/>
          <w:color w:val="auto"/>
        </w:rPr>
      </w:pPr>
    </w:p>
    <w:p>
      <w:pPr>
        <w:ind w:left="480" w:right="380" w:hanging="269"/>
        <w:spacing w:after="0" w:line="266" w:lineRule="auto"/>
        <w:rPr>
          <w:sz w:val="20"/>
          <w:szCs w:val="20"/>
          <w:color w:val="auto"/>
        </w:rPr>
      </w:pPr>
      <w:r>
        <w:rPr>
          <w:rFonts w:ascii="Times New Roman" w:cs="Times New Roman" w:eastAsia="Times New Roman" w:hAnsi="Times New Roman"/>
          <w:sz w:val="18"/>
          <w:szCs w:val="18"/>
          <w:color w:val="auto"/>
        </w:rPr>
        <w:t>•   The aggregate number of votes attaching to all the shares in Rezolve held by Daniel Wagner as the Rezolve Founder or in which he is interested shall be equal to the higher of:</w:t>
      </w:r>
    </w:p>
    <w:p>
      <w:pPr>
        <w:spacing w:after="0" w:line="81" w:lineRule="exact"/>
        <w:rPr>
          <w:sz w:val="20"/>
          <w:szCs w:val="20"/>
          <w:color w:val="auto"/>
        </w:rPr>
      </w:pPr>
    </w:p>
    <w:p>
      <w:pPr>
        <w:ind w:left="480" w:right="20" w:hanging="4"/>
        <w:spacing w:after="0" w:line="282" w:lineRule="auto"/>
        <w:tabs>
          <w:tab w:leader="none" w:pos="69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16510</wp:posOffset>
            </wp:positionV>
            <wp:extent cx="32829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action required to be taken by meeting of shareholders may</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 taken without meeting if consent is in writing and is signed by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all the shareholders entitled to vote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person authorized to vote may authorize another person or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persons to act for him by proxy.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 For stock corporations, certificate of incorporation or by-laws may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specify the number to constitute a quorum but in no event shall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a quorum consist of less than one-third of shares entitled to vote at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meeting. In the absence of such specifications, a majority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entitled to vote shall constitute a quorum.</w:t>
      </w:r>
    </w:p>
    <w:p>
      <w:pPr>
        <w:sectPr>
          <w:pgSz w:w="11900" w:h="16838" w:orient="portrait"/>
          <w:cols w:equalWidth="0" w:num="2">
            <w:col w:w="5760" w:space="300"/>
            <w:col w:w="5040"/>
          </w:cols>
          <w:pgMar w:left="320" w:top="455" w:right="47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0"/>
          <w:szCs w:val="20"/>
          <w:color w:val="auto"/>
        </w:rPr>
      </w:pPr>
    </w:p>
    <w:p>
      <w:pPr>
        <w:ind w:left="480" w:right="5300" w:hanging="4"/>
        <w:spacing w:after="0" w:line="282" w:lineRule="auto"/>
        <w:tabs>
          <w:tab w:leader="none" w:pos="74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resolution is not a special resolution unless the notice of the meeting</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included the text of the resolution and specified the intention to propose</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resolution as a special resolution, and if the notice of the meeting so</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specified, the resolution may only be passed as a special resolution.</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 “Special resolutions” generally involve proposals to change the name of</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alter its capital structure, change or amend the rights of</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permit the company to issue new shares for cash without</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applying the shareholders’ pre-emptive rights, amend the company’s</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articles of association, or carry out other matters where either the</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company’s articles of association or the UK Companies Act prescribe</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that a “special resolution” is required.</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 Other proposals relating to the ordinary course of the company’s</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business, such as the election of directors, would generally be proposed</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an ordinary resolution.</w:t>
            </w:r>
          </w:p>
        </w:tc>
      </w:tr>
      <w:tr>
        <w:trPr>
          <w:trHeight w:val="337"/>
        </w:trPr>
        <w:tc>
          <w:tcPr>
            <w:tcW w:w="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Directors</w:t>
            </w:r>
          </w:p>
        </w:tc>
      </w:tr>
    </w:tbl>
    <w:p>
      <w:pPr>
        <w:spacing w:after="0" w:line="90" w:lineRule="exact"/>
        <w:rPr>
          <w:sz w:val="20"/>
          <w:szCs w:val="20"/>
          <w:color w:val="auto"/>
        </w:rPr>
      </w:pPr>
    </w:p>
    <w:p>
      <w:pPr>
        <w:sectPr>
          <w:pgSz w:w="11900" w:h="16838" w:orient="portrait"/>
          <w:cols w:equalWidth="0" w:num="1">
            <w:col w:w="10900"/>
          </w:cols>
          <w:pgMar w:left="320" w:top="455" w:right="679" w:bottom="1440" w:gutter="0" w:footer="0" w:header="0"/>
        </w:sectPr>
      </w:pPr>
    </w:p>
    <w:p>
      <w:pPr>
        <w:jc w:val="both"/>
        <w:ind w:left="480" w:hanging="269"/>
        <w:spacing w:after="0" w:line="266" w:lineRule="auto"/>
        <w:rPr>
          <w:sz w:val="20"/>
          <w:szCs w:val="20"/>
          <w:color w:val="auto"/>
        </w:rPr>
      </w:pPr>
      <w:r>
        <w:rPr>
          <w:rFonts w:ascii="Times New Roman" w:cs="Times New Roman" w:eastAsia="Times New Roman" w:hAnsi="Times New Roman"/>
          <w:sz w:val="18"/>
          <w:szCs w:val="18"/>
          <w:color w:val="auto"/>
        </w:rPr>
        <w:t>•   The directors shall not, unless otherwise determined by an ordinary resolution of Rezolve, be less than three but shall not be subject to a maximum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board must consist of at least one member.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 Number of board members shall be fixed by the by-laws, unless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certificate of incorporation fixes the number of directors, in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which case a change in the number shall be made only by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amendment of the certificate of incorporation.</w:t>
      </w:r>
    </w:p>
    <w:p>
      <w:pPr>
        <w:spacing w:after="0" w:line="95" w:lineRule="exact"/>
        <w:rPr>
          <w:sz w:val="20"/>
          <w:szCs w:val="20"/>
          <w:color w:val="auto"/>
        </w:rPr>
      </w:pPr>
    </w:p>
    <w:p>
      <w:pPr>
        <w:sectPr>
          <w:pgSz w:w="11900" w:h="16838" w:orient="portrait"/>
          <w:cols w:equalWidth="0" w:num="2">
            <w:col w:w="5380" w:space="680"/>
            <w:col w:w="4840"/>
          </w:cols>
          <w:pgMar w:left="320" w:top="455" w:right="679" w:bottom="1440" w:gutter="0" w:footer="0" w:header="0"/>
          <w:type w:val="continuous"/>
        </w:sect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tc>
      </w:tr>
      <w:tr>
        <w:trPr>
          <w:trHeight w:val="20"/>
        </w:trPr>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9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the UK Companies Act, a company may remove a director</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•    A director of a corporation may be removed for cause with the</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without cause by ordinary resolution, irrespective of anything in any</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approval of a majority of the issued and outstanding shares</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between the director and the company, provided that 28 clear</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entitled to vote, unless the certificate of incorporation provides</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days’ notice of the proposed resolution to remove the director is given to</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otherwise.</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and certain other procedural requirements under the UK</w:t>
            </w:r>
          </w:p>
        </w:tc>
        <w:tc>
          <w:tcPr>
            <w:tcW w:w="54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Companies Act are followed.</w:t>
            </w:r>
          </w:p>
        </w:tc>
        <w:tc>
          <w:tcPr>
            <w:tcW w:w="5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 Rezolve’s articles of association provide that in addition to any power of</w:t>
            </w: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removal conferred by the</w:t>
            </w:r>
          </w:p>
        </w:tc>
        <w:tc>
          <w:tcPr>
            <w:tcW w:w="5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552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294</w:t>
            </w: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ectPr>
          <w:pgSz w:w="11900" w:h="16838" w:orient="portrait"/>
          <w:cols w:equalWidth="0" w:num="1">
            <w:col w:w="10900"/>
          </w:cols>
          <w:pgMar w:left="320" w:top="455" w:right="679" w:bottom="1440" w:gutter="0" w:footer="0" w:header="0"/>
          <w:type w:val="continuous"/>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UK Companies Act, the company may by ordinary resolution remove any</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before the expiration of his period of office.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nominations of Directors and other Proposals</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ind w:left="480" w:hanging="269"/>
        <w:spacing w:after="0" w:line="253" w:lineRule="auto"/>
        <w:rPr>
          <w:sz w:val="20"/>
          <w:szCs w:val="20"/>
          <w:color w:val="auto"/>
        </w:rPr>
      </w:pPr>
      <w:r>
        <w:rPr>
          <w:rFonts w:ascii="Times New Roman" w:cs="Times New Roman" w:eastAsia="Times New Roman" w:hAnsi="Times New Roman"/>
          <w:sz w:val="18"/>
          <w:szCs w:val="18"/>
          <w:color w:val="auto"/>
        </w:rPr>
        <w:t>•   Under English law, shareholders may require the directors to call a general meeting of shareholders of the company if the request is made by shareholders holding at least 5% of the total voting rights and may specify the text of a resolution be voted on at that meeting. The shareholders of a public company may require the company to give to members of the company notice of a resolution to be moved at an annual general meeting if the request is made by either: (i) shareholders holding at least 5% of the total voting rights, or (ii) by at least 100 shareholders who have a relevant right to vote and hold shares in the company on which there has been paid up an average sum, per shareholder, of at least £100.</w:t>
      </w:r>
    </w:p>
    <w:p>
      <w:pPr>
        <w:spacing w:after="0" w:line="97" w:lineRule="exact"/>
        <w:rPr>
          <w:sz w:val="20"/>
          <w:szCs w:val="20"/>
          <w:color w:val="auto"/>
        </w:rPr>
      </w:pPr>
    </w:p>
    <w:p>
      <w:pPr>
        <w:ind w:left="480" w:right="60" w:hanging="269"/>
        <w:spacing w:after="0" w:line="255" w:lineRule="auto"/>
        <w:rPr>
          <w:sz w:val="20"/>
          <w:szCs w:val="20"/>
          <w:color w:val="auto"/>
        </w:rPr>
      </w:pPr>
      <w:r>
        <w:rPr>
          <w:rFonts w:ascii="Times New Roman" w:cs="Times New Roman" w:eastAsia="Times New Roman" w:hAnsi="Times New Roman"/>
          <w:sz w:val="18"/>
          <w:szCs w:val="18"/>
          <w:color w:val="auto"/>
        </w:rPr>
        <w:t>•   Shareholders may also require the company to circulate to members of the company entitled to receive notice of a general meeting, a statement of not more than 1,000 words with respect to (i) a matter referred to in a proposed resolution to be dealt with at that meeting, or (ii) other business to be dealt with at that meeting. A company is required to circulate such a statement once it has received requests from shareholders (in line with the thresholds outlined above).</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 Resolutions to appoint directors to a public company such as Rezolve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must be put to shareholders on the basis of one resolution for each</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nominated director. A single resolution to appoint two or more directors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must not be proposed to be voted upon at a general meeting unless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resolution that it should be so made has first been agreed to by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general meeting without any vote being given against it.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 Armada’s bylaws provide that stockholders seeking to bring</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before its annual meeting of stockholders, or to nominate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candidates for election as directors at its annual meeting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stockholders must provide timely notice of their intent in writing.</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be timely, a stockholder’s notice will need to be delivered to</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Armada’s principal executive offices not later than the close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on the 60th day nor earlier than the close of business on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90th day prior to the scheduled date of the annual meeting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stockholders. In the event that less than 70 days’ notice or prior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public disclosure of the date of the annual meeting of stockholders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is given, a stockholder’s notice shall be timely if delivered to our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principal executive offices not later than the 10th day following</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day on which public announcement of the date of Armada’s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annual meeting of stockholders is first made or sent by us.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Armada’s bylaws also specify certain requirements as to the form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and content of a stockholders’ meeting. These provisions may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preclude Armada’s stockholders from bringing matters before its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annual meeting of stockholders or from making nominations for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directors at its annual meeting of stockholders.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the Delaware General Corporation Law (“DGCL”), a</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corporation’s certificate of incorporation or bylaws can specify the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number of shares that constitute the quorum required to conduct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at a meeting, provided that in no event shall a quorum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consist of less than one-third of the shares entitled to vote at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meeting.</w:t>
      </w:r>
    </w:p>
    <w:p>
      <w:pPr>
        <w:spacing w:after="0" w:line="108" w:lineRule="exact"/>
        <w:rPr>
          <w:sz w:val="20"/>
          <w:szCs w:val="20"/>
          <w:color w:val="auto"/>
        </w:rPr>
      </w:pPr>
    </w:p>
    <w:p>
      <w:pPr>
        <w:sectPr>
          <w:pgSz w:w="11900" w:h="16838" w:orient="portrait"/>
          <w:cols w:equalWidth="0" w:num="2">
            <w:col w:w="5720" w:space="340"/>
            <w:col w:w="50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Fiduciary Duties and Conflicts</w:t>
      </w:r>
    </w:p>
    <w:p>
      <w:pPr>
        <w:sectPr>
          <w:pgSz w:w="11900" w:h="16838" w:orient="portrait"/>
          <w:cols w:equalWidth="0" w:num="1">
            <w:col w:w="11120"/>
          </w:cols>
          <w:pgMar w:left="320" w:top="455" w:right="459" w:bottom="1440" w:gutter="0" w:footer="0" w:header="0"/>
          <w:type w:val="continuous"/>
        </w:sectPr>
      </w:pPr>
    </w:p>
    <w:p>
      <w:pPr>
        <w:spacing w:after="0" w:line="135" w:lineRule="exact"/>
        <w:rPr>
          <w:sz w:val="20"/>
          <w:szCs w:val="20"/>
          <w:color w:val="auto"/>
        </w:rPr>
      </w:pPr>
    </w:p>
    <w:p>
      <w:pPr>
        <w:ind w:left="480" w:right="100" w:hanging="269"/>
        <w:spacing w:after="0" w:line="282" w:lineRule="auto"/>
        <w:rPr>
          <w:sz w:val="20"/>
          <w:szCs w:val="20"/>
          <w:color w:val="auto"/>
        </w:rPr>
      </w:pPr>
      <w:r>
        <w:rPr>
          <w:rFonts w:ascii="Times New Roman" w:cs="Times New Roman" w:eastAsia="Times New Roman" w:hAnsi="Times New Roman"/>
          <w:sz w:val="18"/>
          <w:szCs w:val="18"/>
          <w:color w:val="auto"/>
        </w:rPr>
        <w:t>•   Directors and officers must act in good faith and in the best interest of the company for the benefit of its members as a whole.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right="300" w:hanging="269"/>
        <w:spacing w:after="0" w:line="266" w:lineRule="auto"/>
        <w:rPr>
          <w:sz w:val="20"/>
          <w:szCs w:val="20"/>
          <w:color w:val="auto"/>
        </w:rPr>
      </w:pPr>
      <w:r>
        <w:rPr>
          <w:rFonts w:ascii="Times New Roman" w:cs="Times New Roman" w:eastAsia="Times New Roman" w:hAnsi="Times New Roman"/>
          <w:sz w:val="18"/>
          <w:szCs w:val="18"/>
          <w:color w:val="auto"/>
        </w:rPr>
        <w:t>•   Directors and officers must act in good faith, with the care of a prudent person, and in the best interest of the corporation as a whole.</w:t>
      </w:r>
    </w:p>
    <w:p>
      <w:pPr>
        <w:spacing w:after="0" w:line="68" w:lineRule="exact"/>
        <w:rPr>
          <w:sz w:val="20"/>
          <w:szCs w:val="20"/>
          <w:color w:val="auto"/>
        </w:rPr>
      </w:pPr>
    </w:p>
    <w:p>
      <w:pPr>
        <w:sectPr>
          <w:pgSz w:w="11900" w:h="16838" w:orient="portrait"/>
          <w:cols w:equalWidth="0" w:num="2">
            <w:col w:w="5600" w:space="720"/>
            <w:col w:w="4800"/>
          </w:cols>
          <w:pgMar w:left="320" w:top="455" w:right="459" w:bottom="1440" w:gutter="0" w:footer="0" w:header="0"/>
          <w:type w:val="continuous"/>
        </w:sectPr>
      </w:pPr>
    </w:p>
    <w:p>
      <w:pPr>
        <w:ind w:left="200"/>
        <w:spacing w:after="0"/>
        <w:tabs>
          <w:tab w:leader="none" w:pos="6040" w:val="left"/>
        </w:tabs>
        <w:rPr>
          <w:sz w:val="20"/>
          <w:szCs w:val="20"/>
          <w:color w:val="auto"/>
        </w:rPr>
      </w:pPr>
      <w:r>
        <w:rPr>
          <w:rFonts w:ascii="Times New Roman" w:cs="Times New Roman" w:eastAsia="Times New Roman" w:hAnsi="Times New Roman"/>
          <w:sz w:val="18"/>
          <w:szCs w:val="18"/>
          <w:color w:val="auto"/>
        </w:rPr>
        <w:t>•    Directors and officers must refrain from self-dealing, usurping corporate</w:t>
      </w:r>
      <w:r>
        <w:rPr>
          <w:sz w:val="20"/>
          <w:szCs w:val="20"/>
          <w:color w:val="auto"/>
        </w:rPr>
        <w:tab/>
      </w:r>
      <w:r>
        <w:rPr>
          <w:rFonts w:ascii="Times New Roman" w:cs="Times New Roman" w:eastAsia="Times New Roman" w:hAnsi="Times New Roman"/>
          <w:sz w:val="17"/>
          <w:szCs w:val="17"/>
          <w:color w:val="auto"/>
        </w:rPr>
        <w:t>•    Directors and officers must refrain from self-dealing, usurping</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opportunities and receiving improper personal benefits.</w:t>
      </w:r>
      <w:r>
        <w:rPr>
          <w:sz w:val="20"/>
          <w:szCs w:val="20"/>
          <w:color w:val="auto"/>
        </w:rPr>
        <w:tab/>
      </w:r>
      <w:r>
        <w:rPr>
          <w:rFonts w:ascii="Times New Roman" w:cs="Times New Roman" w:eastAsia="Times New Roman" w:hAnsi="Times New Roman"/>
          <w:sz w:val="18"/>
          <w:szCs w:val="18"/>
          <w:color w:val="auto"/>
        </w:rPr>
        <w:t>corporate opportunities and receiving improper personal benefits.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20"/>
          </w:cols>
          <w:pgMar w:left="320" w:top="455" w:right="459" w:bottom="1440" w:gutter="0" w:footer="0" w:header="0"/>
          <w:type w:val="continuous"/>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0" w:type="dxa"/>
            <w:vAlign w:val="bottom"/>
          </w:tcPr>
          <w:p>
            <w:pPr>
              <w:spacing w:after="0"/>
              <w:rPr>
                <w:sz w:val="1"/>
                <w:szCs w:val="1"/>
                <w:color w:val="auto"/>
              </w:rPr>
            </w:pP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UK Companies Act codified the general</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 Decisions made by directors and officers on an informed basis, in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equitable duties of directors. In summary, these are (i) to act within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 faith and in the honest belief that the action was taken in the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powers; (ii) to promote the success of the company; (iii) to exercise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best interest of the corporation will be protected by the “business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independent judgment; (iv) to exercise reasonable care, skill and</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judgment rule.”</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diligence; (v) to avoid conflicts of interest; (vi) not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 accept benefits from third parties; and (vii) to declare any interest in a</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proposed transaction or arrangement with the company.</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 There are other uncodified duties of directors; including that a director</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must in certain circumstances consider or act in the interests of the</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company’s creditors.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 Rezolve’s articles of association provide that the Rezolve board of</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directors may in specified circumstances authorize any matter that would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otherwise involve a director breaching his duty under the UK Companies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Act to avoid a conflict of interest.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articles of association also provide that, subject to authorization of</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such conflict, a director may retain any benefit derived by reason of that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Liability of Directors and Officers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the UK Companies Act, any provision (whether contained in a</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 Armada’s certificate of incorporation provides: “The Corporation,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company’s articles of association or any contract or otherwise) that</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the full extent permitted by Section 145 of the DGCL, as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purports to exempt a director of a company (to any extent) from any</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from time to time, shall indemnify all persons whom it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liability that would otherwise attach to him in connection with any</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indemnify pursuant thereto. Expenses (including attorneys’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negligence, default, breach of duty or breach of trust in relation to the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fees) incurred by an officer or director in defending any civil,</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is void.</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criminal, administrative, or investigative action, suit or proceeding</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 Any provision by which a company directly or indirectly provides an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 which such officer or director may be entitled to</w:t>
            </w:r>
          </w:p>
        </w:tc>
        <w:tc>
          <w:tcPr>
            <w:tcW w:w="0" w:type="dxa"/>
            <w:vAlign w:val="bottom"/>
          </w:tcPr>
          <w:p>
            <w:pPr>
              <w:spacing w:after="0"/>
              <w:rPr>
                <w:sz w:val="1"/>
                <w:szCs w:val="1"/>
                <w:color w:val="auto"/>
              </w:rPr>
            </w:pPr>
          </w:p>
        </w:tc>
      </w:tr>
      <w:tr>
        <w:trPr>
          <w:trHeight w:val="122"/>
        </w:trPr>
        <w:tc>
          <w:tcPr>
            <w:tcW w:w="260" w:type="dxa"/>
            <w:vAlign w:val="bottom"/>
            <w:vMerge w:val="continue"/>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indemnification hereunder shall be paid by the Corporation in</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indemnity (to any extent) for a director of the company or of an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advance of the final disposition of such action, suit or proceeding</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associated company against any liability attaching to him in connection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upon receipt of an undertaking by or on behalf of such director or</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with any negligence, default, breach of duty or breach of trust in relation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officer to repay such amount if it shall ultimately be determined</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to the company of which he is a director, is also void except as permitted</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that he is not entitled to be indemnified by the Corporation as</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by the UK Companies Act, which provides exceptions for a company to</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authorized hereby.”</w:t>
            </w:r>
          </w:p>
        </w:tc>
        <w:tc>
          <w:tcPr>
            <w:tcW w:w="0" w:type="dxa"/>
            <w:vAlign w:val="bottom"/>
          </w:tcPr>
          <w:p>
            <w:pPr>
              <w:spacing w:after="0"/>
              <w:rPr>
                <w:sz w:val="1"/>
                <w:szCs w:val="1"/>
                <w:color w:val="auto"/>
              </w:rPr>
            </w:pPr>
          </w:p>
        </w:tc>
      </w:tr>
      <w:tr>
        <w:trPr>
          <w:trHeight w:val="113"/>
        </w:trPr>
        <w:tc>
          <w:tcPr>
            <w:tcW w:w="260" w:type="dxa"/>
            <w:vAlign w:val="bottom"/>
          </w:tcPr>
          <w:p>
            <w:pPr>
              <w:spacing w:after="0"/>
              <w:rPr>
                <w:sz w:val="9"/>
                <w:szCs w:val="9"/>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 purchase and maintain insurance against such liability; (ii) provide a</w:t>
            </w:r>
          </w:p>
        </w:tc>
        <w:tc>
          <w:tcPr>
            <w:tcW w:w="260" w:type="dxa"/>
            <w:vAlign w:val="bottom"/>
          </w:tcPr>
          <w:p>
            <w:pPr>
              <w:spacing w:after="0"/>
              <w:rPr>
                <w:sz w:val="9"/>
                <w:szCs w:val="9"/>
                <w:color w:val="auto"/>
              </w:rPr>
            </w:pPr>
          </w:p>
        </w:tc>
        <w:tc>
          <w:tcPr>
            <w:tcW w:w="4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55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“qualifying third party indemnity” (being an indemnity against liability</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 Armada entered into indemnification agreements with each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incurred by the director to a person other than the company or an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Armada’s officers and directors. These agreements require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associated company as long as he or she is successful in defending the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Armada to indemnify these individuals to the fullest extent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claim or criminal proceedings); and (iii) provide a “qualifying pension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permitted under Delaware law against liabilities that may arise by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scheme indemnity” (being an indemnity against liability incurred in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reason of their service to Armada, and to advance expenses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connection with the company’s activities as trustee of an occupational</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incurred as a result of any proceeding against them as to which</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pension plan).</w:t>
            </w:r>
          </w:p>
        </w:tc>
        <w:tc>
          <w:tcPr>
            <w:tcW w:w="26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they could be indemnified.</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5580" w:type="dxa"/>
            <w:vAlign w:val="bottom"/>
            <w:gridSpan w:val="3"/>
          </w:tcPr>
          <w:p>
            <w:pPr>
              <w:ind w:left="5100"/>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UK Companies Act permits companies to purchase and maintain</w:t>
            </w: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insurance for directors against any liability arising from negligence,</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default, breach of duty or breach of trust in relation to the company.</w:t>
            </w: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Rezolve maintains directors’ and officers’ liability insurance.</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24"/>
        </w:trPr>
        <w:tc>
          <w:tcPr>
            <w:tcW w:w="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Pre-emptive Rights</w:t>
            </w:r>
          </w:p>
        </w:tc>
      </w:tr>
      <w:tr>
        <w:trPr>
          <w:trHeight w:val="20"/>
        </w:trPr>
        <w:tc>
          <w:tcPr>
            <w:tcW w:w="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English law, the issuance for cash of (i) equity securities, being</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 Armada’s shareholders do not have pre-emptive rights.</w:t>
            </w: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those shares in a company which, with respect to dividends or capital,</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carry a right to participate beyond a specified amount in a distribution,</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 (ii) rights to subscribe for or convert into equity securities, must be</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offered first to the existing equity shareholders in proportion to the</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respective nominal values of their holdings, unless a special resolution to</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contrary has been passed by shareholders in a general meeting.</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pacing w:after="0" w:line="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Shareholders’ Derivative Actions</w:t>
      </w:r>
    </w:p>
    <w:p>
      <w:pPr>
        <w:sectPr>
          <w:pgSz w:w="11900" w:h="16838" w:orient="portrait"/>
          <w:cols w:equalWidth="0" w:num="1">
            <w:col w:w="11140"/>
          </w:cols>
          <w:pgMar w:left="320" w:top="455" w:right="439" w:bottom="1440" w:gutter="0" w:footer="0" w:header="0"/>
        </w:sectPr>
      </w:pP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hanging="26"/>
        <w:spacing w:after="0" w:line="254" w:lineRule="auto"/>
        <w:rPr>
          <w:sz w:val="20"/>
          <w:szCs w:val="20"/>
          <w:color w:val="auto"/>
        </w:rPr>
      </w:pPr>
      <w:r>
        <w:rPr>
          <w:rFonts w:ascii="Times New Roman" w:cs="Times New Roman" w:eastAsia="Times New Roman" w:hAnsi="Times New Roman"/>
          <w:sz w:val="18"/>
          <w:szCs w:val="18"/>
          <w:color w:val="auto"/>
        </w:rPr>
        <w:t> Derivative actions can be pursued in the courts of England and Wales pursuant to common law or statute. Under common law, the company will be the proper plaintiff in any claim based on a breach of duty owed to it, and a claim against (for example) its officers or directors usually may not be brought by a shareholder directly. However, more commonly claims are brought by a shareholder directly under statute against the directors of the company. Regardless of the route, the court has discretion as to whether to give permission for a derivative claim to be continued.</w:t>
      </w:r>
    </w:p>
    <w:p>
      <w:pPr>
        <w:spacing w:after="0" w:line="94" w:lineRule="exact"/>
        <w:rPr>
          <w:sz w:val="20"/>
          <w:szCs w:val="20"/>
          <w:color w:val="auto"/>
        </w:rPr>
      </w:pPr>
    </w:p>
    <w:p>
      <w:pPr>
        <w:ind w:right="120" w:hanging="26"/>
        <w:spacing w:after="0" w:line="261" w:lineRule="auto"/>
        <w:rPr>
          <w:sz w:val="20"/>
          <w:szCs w:val="20"/>
          <w:color w:val="auto"/>
        </w:rPr>
      </w:pPr>
      <w:r>
        <w:rPr>
          <w:rFonts w:ascii="Times New Roman" w:cs="Times New Roman" w:eastAsia="Times New Roman" w:hAnsi="Times New Roman"/>
          <w:sz w:val="18"/>
          <w:szCs w:val="18"/>
          <w:color w:val="auto"/>
        </w:rPr>
        <w:t> Derivative claims under statute are limited to actual or proposed acts or omissions involving negligence, default, breach of duty or breach of trust by those controlling the company (directors, or shadow directors, current or former).</w:t>
      </w:r>
    </w:p>
    <w:p>
      <w:pPr>
        <w:spacing w:after="0" w:line="85" w:lineRule="exact"/>
        <w:rPr>
          <w:sz w:val="20"/>
          <w:szCs w:val="20"/>
          <w:color w:val="auto"/>
        </w:rPr>
      </w:pPr>
    </w:p>
    <w:p>
      <w:pPr>
        <w:ind w:hanging="26"/>
        <w:spacing w:after="0" w:line="282" w:lineRule="auto"/>
        <w:rPr>
          <w:sz w:val="20"/>
          <w:szCs w:val="20"/>
          <w:color w:val="auto"/>
        </w:rPr>
      </w:pPr>
      <w:r>
        <w:rPr>
          <w:rFonts w:ascii="Times New Roman" w:cs="Times New Roman" w:eastAsia="Times New Roman" w:hAnsi="Times New Roman"/>
          <w:sz w:val="18"/>
          <w:szCs w:val="18"/>
          <w:color w:val="auto"/>
        </w:rPr>
        <w:t> Subject to certain exceptions, the act complained of can have taken place before or after the shareholder became a member of the company.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any derivative suit instituted by a shareholder of a corporation,</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it shall be averred in the complaint that the plaintiff was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shareholder of the corporation at the time of the transaction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which he complains or that such shareholder’s stock thereafter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devolved upon such shareholder by operation of law.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 Complaint shall set forth with particularity the efforts of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plaintiff to obtain the action by the board or the reasons for not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making such effort.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 Such action shall not be dismissed or compromised without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approval of the Chancery Court.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 Shareholders of a Delaware corporation that redeemed their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or whose shares were canceled in connection with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dissolution, would not be able to bring a derivative action against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corporation after the shares have been redeemed or canceled.</w:t>
      </w:r>
    </w:p>
    <w:p>
      <w:pPr>
        <w:spacing w:after="0" w:line="202" w:lineRule="exact"/>
        <w:rPr>
          <w:sz w:val="20"/>
          <w:szCs w:val="20"/>
          <w:color w:val="auto"/>
        </w:rPr>
      </w:pPr>
    </w:p>
    <w:p>
      <w:pPr>
        <w:sectPr>
          <w:pgSz w:w="11900" w:h="16838" w:orient="portrait"/>
          <w:cols w:equalWidth="0" w:num="3">
            <w:col w:w="320" w:space="160"/>
            <w:col w:w="5240" w:space="340"/>
            <w:col w:w="5080"/>
          </w:cols>
          <w:pgMar w:left="320" w:top="455" w:right="439" w:bottom="1440" w:gutter="0" w:footer="0" w:header="0"/>
          <w:type w:val="continuous"/>
        </w:sectPr>
      </w:pPr>
    </w:p>
    <w:p>
      <w:pPr>
        <w:spacing w:after="0" w:line="3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Votes on Certain Transactions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 The UK Companies Act only permits mergers in specified limited</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 Generally, under the DGCL, completion of a merger,</w:t>
            </w:r>
          </w:p>
        </w:tc>
        <w:tc>
          <w:tcPr>
            <w:tcW w:w="0" w:type="dxa"/>
            <w:vAlign w:val="bottom"/>
          </w:tcPr>
          <w:p>
            <w:pPr>
              <w:spacing w:after="0"/>
              <w:rPr>
                <w:sz w:val="1"/>
                <w:szCs w:val="1"/>
                <w:color w:val="auto"/>
              </w:rPr>
            </w:pPr>
          </w:p>
        </w:tc>
      </w:tr>
      <w:tr>
        <w:trPr>
          <w:trHeight w:val="216"/>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circumstances.</w:t>
            </w:r>
          </w:p>
        </w:tc>
        <w:tc>
          <w:tcPr>
            <w:tcW w:w="5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consolidation, dissolution, or the sale, lease, or exchange of</w:t>
            </w:r>
          </w:p>
        </w:tc>
        <w:tc>
          <w:tcPr>
            <w:tcW w:w="0" w:type="dxa"/>
            <w:vAlign w:val="bottom"/>
          </w:tcPr>
          <w:p>
            <w:pPr>
              <w:spacing w:after="0"/>
              <w:rPr>
                <w:sz w:val="1"/>
                <w:szCs w:val="1"/>
                <w:color w:val="auto"/>
              </w:rPr>
            </w:pPr>
          </w:p>
        </w:tc>
      </w:tr>
      <w:tr>
        <w:trPr>
          <w:trHeight w:val="216"/>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 However, the UK Companies Act provides for schemes of arrangement</w:t>
            </w:r>
          </w:p>
        </w:tc>
        <w:tc>
          <w:tcPr>
            <w:tcW w:w="51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substantially all of a corporation’s assets requires approval by the</w:t>
            </w:r>
          </w:p>
        </w:tc>
        <w:tc>
          <w:tcPr>
            <w:tcW w:w="0" w:type="dxa"/>
            <w:vAlign w:val="bottom"/>
          </w:tcPr>
          <w:p>
            <w:pPr>
              <w:spacing w:after="0"/>
              <w:rPr>
                <w:sz w:val="1"/>
                <w:szCs w:val="1"/>
                <w:color w:val="auto"/>
              </w:rPr>
            </w:pPr>
          </w:p>
        </w:tc>
      </w:tr>
      <w:tr>
        <w:trPr>
          <w:trHeight w:val="121"/>
        </w:trPr>
        <w:tc>
          <w:tcPr>
            <w:tcW w:w="5460" w:type="dxa"/>
            <w:vAlign w:val="bottom"/>
            <w:vMerge w:val="continue"/>
          </w:tcPr>
          <w:p>
            <w:pPr>
              <w:spacing w:after="0"/>
              <w:rPr>
                <w:sz w:val="10"/>
                <w:szCs w:val="10"/>
                <w:color w:val="auto"/>
              </w:rPr>
            </w:pPr>
          </w:p>
        </w:tc>
        <w:tc>
          <w:tcPr>
            <w:tcW w:w="51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board of directors and by a majority (unless the certificate of</w:t>
            </w:r>
          </w:p>
        </w:tc>
        <w:tc>
          <w:tcPr>
            <w:tcW w:w="0" w:type="dxa"/>
            <w:vAlign w:val="bottom"/>
          </w:tcPr>
          <w:p>
            <w:pPr>
              <w:spacing w:after="0"/>
              <w:rPr>
                <w:sz w:val="1"/>
                <w:szCs w:val="1"/>
                <w:color w:val="auto"/>
              </w:rPr>
            </w:pPr>
          </w:p>
        </w:tc>
      </w:tr>
      <w:tr>
        <w:trPr>
          <w:trHeight w:val="95"/>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which are arrangements or compromises between a company and any</w:t>
            </w:r>
          </w:p>
        </w:tc>
        <w:tc>
          <w:tcPr>
            <w:tcW w:w="5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51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incorporation requires a higher</w:t>
            </w:r>
          </w:p>
        </w:tc>
        <w:tc>
          <w:tcPr>
            <w:tcW w:w="0" w:type="dxa"/>
            <w:vAlign w:val="bottom"/>
          </w:tcPr>
          <w:p>
            <w:pPr>
              <w:spacing w:after="0"/>
              <w:rPr>
                <w:sz w:val="1"/>
                <w:szCs w:val="1"/>
                <w:color w:val="auto"/>
              </w:rPr>
            </w:pPr>
          </w:p>
        </w:tc>
      </w:tr>
      <w:tr>
        <w:trPr>
          <w:trHeight w:val="113"/>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class of shareholders or creditors. Schemes of arrangement</w:t>
            </w: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546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297</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20" w:space="120"/>
            <w:col w:w="10700"/>
          </w:cols>
          <w:pgMar w:left="320" w:top="455" w:right="439" w:bottom="1440" w:gutter="0" w:footer="0" w:header="0"/>
          <w:type w:val="continuous"/>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9" w:lineRule="exact"/>
        <w:rPr>
          <w:sz w:val="20"/>
          <w:szCs w:val="20"/>
          <w:color w:val="auto"/>
        </w:rPr>
      </w:pPr>
    </w:p>
    <w:p>
      <w:pPr>
        <w:ind w:left="120" w:right="900"/>
        <w:spacing w:after="0" w:line="272" w:lineRule="auto"/>
        <w:rPr>
          <w:sz w:val="20"/>
          <w:szCs w:val="20"/>
          <w:color w:val="auto"/>
        </w:rPr>
      </w:pPr>
      <w:r>
        <w:rPr>
          <w:rFonts w:ascii="Times New Roman" w:cs="Times New Roman" w:eastAsia="Times New Roman" w:hAnsi="Times New Roman"/>
          <w:sz w:val="18"/>
          <w:szCs w:val="18"/>
          <w:color w:val="auto"/>
        </w:rPr>
        <w:t>are used in certain types of restructurings, amalgamations, capital reorganizations and takeovers.</w:t>
      </w: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 These arrangements require: (i) the approval at a shareholders’ or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creditors’ meeting convened by order of the court, of a majority in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number of shareholders or creditors representing 75% in value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capital held by, or debt owed to, the class of shareholders or creditors,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class thereof present and voting, either in person or by proxy; and (ii)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approval of the court.</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 Certain other types of extraordinary transactions such as certain capital</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reorganizations also require approval by shareholders (either by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majority or at least 75% of the votes cast in person or by proxy,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depending on the type of transaction), while other types of transactions,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including asset sales and tender offers, often do not require shareholder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approval.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percentage) of outstanding stock of the corporation entitled to vote. The DGCL also requires a special vote of shareholders in connection with a business combination with an “interested shareholder” as defined in section 203 of the DGCL.</w:t>
      </w:r>
    </w:p>
    <w:p>
      <w:pPr>
        <w:spacing w:after="0" w:line="2799"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with Interested Shareholders</w:t>
      </w:r>
    </w:p>
    <w:p>
      <w:pPr>
        <w:spacing w:after="0" w:line="135"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8"/>
          <w:szCs w:val="18"/>
          <w:color w:val="auto"/>
        </w:rPr>
        <w:t>•    English law does not regulate transactions between a company and its</w:t>
      </w:r>
      <w:r>
        <w:rPr>
          <w:sz w:val="20"/>
          <w:szCs w:val="20"/>
          <w:color w:val="auto"/>
        </w:rPr>
        <w:tab/>
      </w:r>
      <w:r>
        <w:rPr>
          <w:rFonts w:ascii="Times New Roman" w:cs="Times New Roman" w:eastAsia="Times New Roman" w:hAnsi="Times New Roman"/>
          <w:sz w:val="17"/>
          <w:szCs w:val="17"/>
          <w:color w:val="auto"/>
        </w:rPr>
        <w:t>•    The business combination statute applicable to Delaware</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shareholders, although such transactions must be entered into bona fide</w:t>
      </w:r>
      <w:r>
        <w:rPr>
          <w:sz w:val="20"/>
          <w:szCs w:val="20"/>
          <w:color w:val="auto"/>
        </w:rPr>
        <w:tab/>
      </w:r>
      <w:r>
        <w:rPr>
          <w:rFonts w:ascii="Times New Roman" w:cs="Times New Roman" w:eastAsia="Times New Roman" w:hAnsi="Times New Roman"/>
          <w:sz w:val="18"/>
          <w:szCs w:val="18"/>
          <w:color w:val="auto"/>
        </w:rPr>
        <w:t>corporations provides that, unless the corporation has specifically</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in the best interests of the company and for a proper corporate purpose</w:t>
      </w:r>
      <w:r>
        <w:rPr>
          <w:sz w:val="20"/>
          <w:szCs w:val="20"/>
          <w:color w:val="auto"/>
        </w:rPr>
        <w:tab/>
      </w:r>
      <w:r>
        <w:rPr>
          <w:rFonts w:ascii="Times New Roman" w:cs="Times New Roman" w:eastAsia="Times New Roman" w:hAnsi="Times New Roman"/>
          <w:sz w:val="17"/>
          <w:szCs w:val="17"/>
          <w:color w:val="auto"/>
        </w:rPr>
        <w:t>elected not to be governed by such statute under its certificate of</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and not with the effect of constituting a fraud on the minority</w:t>
      </w:r>
      <w:r>
        <w:rPr>
          <w:sz w:val="20"/>
          <w:szCs w:val="20"/>
          <w:color w:val="auto"/>
        </w:rPr>
        <w:tab/>
      </w:r>
      <w:r>
        <w:rPr>
          <w:rFonts w:ascii="Times New Roman" w:cs="Times New Roman" w:eastAsia="Times New Roman" w:hAnsi="Times New Roman"/>
          <w:sz w:val="17"/>
          <w:szCs w:val="17"/>
          <w:color w:val="auto"/>
        </w:rPr>
        <w:t>incorporation, it is prohibited from engaging in certain business</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shareholders.</w:t>
      </w:r>
      <w:r>
        <w:rPr>
          <w:sz w:val="20"/>
          <w:szCs w:val="20"/>
          <w:color w:val="auto"/>
        </w:rPr>
        <w:tab/>
      </w:r>
      <w:r>
        <w:rPr>
          <w:rFonts w:ascii="Times New Roman" w:cs="Times New Roman" w:eastAsia="Times New Roman" w:hAnsi="Times New Roman"/>
          <w:sz w:val="18"/>
          <w:szCs w:val="18"/>
          <w:color w:val="auto"/>
        </w:rPr>
        <w:t>combinations with an “interested shareholder” for three years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following the date that such person becomes an interested</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shareholder. An interested shareholder generally is a person or a</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group who or which owns or owned 15% or more of the target’s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outstanding voting stock within the past three years. This has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effect of limiting the ability of a potential acquirer to make a</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two-tiered bid for the target in which all shareholders would not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be treated equally. The statute does not apply if, among other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things, prior to the date on which such shareholder becomes an</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interested shareholder, the board of directors approves either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proposed transactions or the transaction which resulted in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person becoming an interested shareholder. This encourages any</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potential acquirer of a Delaware corporation to negotiate the terms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of any acquisition transaction with the target’s board of directors.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20"/>
          </w:cols>
          <w:pgMar w:left="320" w:top="455" w:right="459" w:bottom="1440" w:gutter="0" w:footer="0" w:header="0"/>
          <w:type w:val="continuous"/>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Sources and Payment of Dividends</w:t>
      </w:r>
    </w:p>
    <w:p>
      <w:pPr>
        <w:sectPr>
          <w:pgSz w:w="11900" w:h="16838" w:orient="portrait"/>
          <w:cols w:equalWidth="0" w:num="1">
            <w:col w:w="11120"/>
          </w:cols>
          <w:pgMar w:left="320" w:top="455" w:right="459" w:bottom="1440" w:gutter="0" w:footer="0" w:header="0"/>
        </w:sectPr>
      </w:pP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 Generally speaking, and subject to the prior rights of holders of any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preferred shares, under English law, a company may pay dividends on its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Ordinary Shares only out of its distributable profits (defined 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realized profits not previously utilized by distribution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capitalization, less accumulated, realized losses so far as not previously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written off in a reduction or reorganization) and not out of share capital,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which includes share premiums (paid-in surplus).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 Amounts credited to the share premium account (representing the excess</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of the consideration for the issue of shares over the aggregate nominal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 of such shares) may not be used to pay out cash dividends but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be used, among other things, to pay up unissued shares that may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then be distributed to shareholders in proportion to their holdings 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fully paid bonus shares.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 In addition, under English law, Rezolve will not be permitted to make a</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distribution if, at the time, the amount of its net assets is less than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aggregate of its issued and paid-up share capital and undistributable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reserves.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 If recommended by the Rezolve board of directors, Rezolve shareholders</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by ordinary resolution, declare final dividends, but no dividend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be declared in excess of the amount recommended by the Rezolve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 Rezolve board of directors has the power under its articles of</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association to pay interim dividends (being dividends which are not final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dividends for a year) without the approval of shareholders to the extent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financial position of Rezolve justifies a dividend in the opinion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Rezolve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299</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00" w:hanging="269"/>
        <w:spacing w:after="0" w:line="261" w:lineRule="auto"/>
        <w:rPr>
          <w:sz w:val="20"/>
          <w:szCs w:val="20"/>
          <w:color w:val="auto"/>
        </w:rPr>
      </w:pPr>
      <w:r>
        <w:rPr>
          <w:rFonts w:ascii="Times New Roman" w:cs="Times New Roman" w:eastAsia="Times New Roman" w:hAnsi="Times New Roman"/>
          <w:sz w:val="18"/>
          <w:szCs w:val="18"/>
          <w:color w:val="auto"/>
        </w:rPr>
        <w:t>•   Armada has not paid any cash dividends on its common stock to date and does not intend to pay cash dividends prior to the completion of an initial business combination. The payment of cash dividends in the future will be dependent</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Armada’s revenues and earnings, if any, capital requirements and general financial condition subsequent to completion of a business combination. The payment of any dividends subsequent to a business combination will be within the discretion of our board of directors at such time.</w:t>
      </w:r>
    </w:p>
    <w:p>
      <w:pPr>
        <w:spacing w:after="0" w:line="89" w:lineRule="exact"/>
        <w:rPr>
          <w:sz w:val="20"/>
          <w:szCs w:val="20"/>
          <w:color w:val="auto"/>
        </w:rPr>
      </w:pPr>
    </w:p>
    <w:p>
      <w:pPr>
        <w:ind w:hanging="269"/>
        <w:spacing w:after="0" w:line="266" w:lineRule="auto"/>
        <w:rPr>
          <w:sz w:val="20"/>
          <w:szCs w:val="20"/>
          <w:color w:val="auto"/>
        </w:rPr>
      </w:pPr>
      <w:r>
        <w:rPr>
          <w:rFonts w:ascii="Times New Roman" w:cs="Times New Roman" w:eastAsia="Times New Roman" w:hAnsi="Times New Roman"/>
          <w:sz w:val="18"/>
          <w:szCs w:val="18"/>
          <w:color w:val="auto"/>
        </w:rPr>
        <w:t>•   Under the DGCL, the board of directors, subject to any restrictions in the corporation’s certificate of incorporation, may declare and pay dividends out of:</w:t>
      </w:r>
    </w:p>
    <w:p>
      <w:pPr>
        <w:spacing w:after="0" w:line="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 surplus of the corporation, which is defined as net assets less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statutory capital; or</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 if no surplus exists, out of the net profits of the corporation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year in which the dividend is declared and/or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preceding year.</w:t>
      </w:r>
    </w:p>
    <w:p>
      <w:pPr>
        <w:spacing w:after="0" w:line="11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however, the capital of the corporation has been diminished by depreciation in the value of its property, or by losses, or otherwise, to an amount less than the aggregate amount of capital represented by the issued and outstanding stock of all classes having a preference upon the distribution of assets, the board of directors shall not declare and pay dividends out of the corporation’s net profits until the deficiency in the capital has been repaired.</w:t>
      </w:r>
    </w:p>
    <w:p>
      <w:pPr>
        <w:spacing w:after="0" w:line="77" w:lineRule="exact"/>
        <w:rPr>
          <w:sz w:val="20"/>
          <w:szCs w:val="20"/>
          <w:color w:val="auto"/>
        </w:rPr>
      </w:pPr>
    </w:p>
    <w:p>
      <w:pPr>
        <w:ind w:right="120" w:hanging="269"/>
        <w:spacing w:after="0" w:line="254" w:lineRule="auto"/>
        <w:rPr>
          <w:sz w:val="20"/>
          <w:szCs w:val="20"/>
          <w:color w:val="auto"/>
        </w:rPr>
      </w:pPr>
      <w:r>
        <w:rPr>
          <w:rFonts w:ascii="Times New Roman" w:cs="Times New Roman" w:eastAsia="Times New Roman" w:hAnsi="Times New Roman"/>
          <w:sz w:val="18"/>
          <w:szCs w:val="18"/>
          <w:color w:val="auto"/>
        </w:rPr>
        <w:t>•   Under the DGCL, any corporation may purchase or redeem its own shares, except that generally it may not purchase or redeem these shares if such repurchase or redemption would impair the capital of the corporation. A corporation may, however, purchase or redeem out of capital any of its own shares which are entitled upon any distribution of its assets to a preference over another class or series of its shares if such shares will be retired and the capital reduced.</w:t>
      </w:r>
    </w:p>
    <w:p>
      <w:pPr>
        <w:sectPr>
          <w:pgSz w:w="11900" w:h="16838" w:orient="portrait"/>
          <w:cols w:equalWidth="0" w:num="2">
            <w:col w:w="5760" w:space="560"/>
            <w:col w:w="4800"/>
          </w:cols>
          <w:pgMar w:left="320" w:top="455" w:right="459" w:bottom="1440" w:gutter="0" w:footer="0" w:header="0"/>
          <w:type w:val="continuous"/>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11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Rights of Purchase and Redemption</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issue redeemable shares if</w:t>
            </w:r>
          </w:p>
        </w:tc>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 Under the DGCL, any corporation may purchase or redeem its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specifically authorized to do so by its articles of association, subject to</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own shares, except that generally it may not purchase or redeem</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any conditions stated therein.</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these shares if the capital of the corporation is impaired at the time</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purchase its own shares in certain</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or would become impaired as a result of the redemption. A</w:t>
            </w:r>
          </w:p>
        </w:tc>
        <w:tc>
          <w:tcPr>
            <w:tcW w:w="0" w:type="dxa"/>
            <w:vAlign w:val="bottom"/>
          </w:tcPr>
          <w:p>
            <w:pPr>
              <w:spacing w:after="0"/>
              <w:rPr>
                <w:sz w:val="1"/>
                <w:szCs w:val="1"/>
                <w:color w:val="auto"/>
              </w:rPr>
            </w:pPr>
          </w:p>
        </w:tc>
      </w:tr>
      <w:tr>
        <w:trPr>
          <w:trHeight w:val="122"/>
        </w:trPr>
        <w:tc>
          <w:tcPr>
            <w:tcW w:w="260" w:type="dxa"/>
            <w:vAlign w:val="bottom"/>
            <w:vMerge w:val="continue"/>
          </w:tcPr>
          <w:p>
            <w:pPr>
              <w:spacing w:after="0"/>
              <w:rPr>
                <w:sz w:val="10"/>
                <w:szCs w:val="10"/>
                <w:color w:val="auto"/>
              </w:rPr>
            </w:pPr>
          </w:p>
        </w:tc>
        <w:tc>
          <w:tcPr>
            <w:tcW w:w="5520" w:type="dxa"/>
            <w:vAlign w:val="bottom"/>
            <w:gridSpan w:val="2"/>
            <w:vMerge w:val="continue"/>
          </w:tcPr>
          <w:p>
            <w:pPr>
              <w:spacing w:after="0"/>
              <w:rPr>
                <w:sz w:val="10"/>
                <w:szCs w:val="10"/>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corporation may, however, purchase or redeem out of capital</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specific instances, including if the purchase has first been approved by a</w:t>
            </w: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20" w:type="dxa"/>
            <w:vAlign w:val="bottom"/>
            <w:gridSpan w:val="2"/>
            <w:vMerge w:val="continue"/>
          </w:tcPr>
          <w:p>
            <w:pPr>
              <w:spacing w:after="0"/>
              <w:rPr>
                <w:sz w:val="10"/>
                <w:szCs w:val="10"/>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shares that are entitled upon any distribution of its assets to a</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special resolution of its shareholders.</w:t>
            </w: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preference over another class or series of its shares if the shares</w:t>
            </w: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redeem or repurchase shares only if</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are to be retired and the capital reduced.</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shares are fully paid and, in the case of public companies, only out of</w:t>
            </w:r>
          </w:p>
        </w:tc>
        <w:tc>
          <w:tcPr>
            <w:tcW w:w="1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80" w:right="5820" w:hanging="4"/>
        <w:spacing w:after="0" w:line="260" w:lineRule="auto"/>
        <w:tabs>
          <w:tab w:leader="none" w:pos="69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distributable profits, or (ii) the proceeds of a new issue of shares made for the purpose of the repurchase or redemption.</w:t>
      </w:r>
    </w:p>
    <w:p>
      <w:pPr>
        <w:spacing w:after="0" w:line="83"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Dissolution; Winding Up</w:t>
            </w:r>
          </w:p>
        </w:tc>
        <w:tc>
          <w:tcPr>
            <w:tcW w:w="45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 company may be compulsorily wound up by either an order of the</w:t>
            </w:r>
          </w:p>
        </w:tc>
        <w:tc>
          <w:tcPr>
            <w:tcW w:w="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4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 Unless the board of directors approves the proposal to dissolve,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English courts or voluntarily wound up by a special resolution of its</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dissolution must be approved by shareholders holding 100%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members to be required if either the company swears a statutory</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the total voting power of the corporation. Only if the dissolution is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declaration of solvency or if the company is unable to pay its debts as</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initiated by the board of directors may it be approved by a simple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they fall due. The court has authority to order winding up in a number of</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majority of the corporation’s outstanding shares. Delaware law</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specified circumstances including where it is, in the opinion of the court,</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allows a Delaware corporation to include in its certificate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just and equitable to do so.</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incorporation a supermajority voting requirement in connection</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 dissolutions initiated by the board.</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Inspection of Books and Records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the UK Companies Act shareholders have rights of inspection,</w:t>
            </w:r>
          </w:p>
        </w:tc>
        <w:tc>
          <w:tcPr>
            <w:tcW w:w="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4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 Any shareholder of a corporation may for any proper purpose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including the right to:</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inspect or make copies of the corporation’s stock ledger, list of</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   inspect and obtain copies (for a fee) of the minutes of all general</w:t>
            </w:r>
          </w:p>
        </w:tc>
        <w:tc>
          <w:tcPr>
            <w:tcW w:w="340" w:type="dxa"/>
            <w:vAlign w:val="bottom"/>
          </w:tcPr>
          <w:p>
            <w:pPr>
              <w:spacing w:after="0"/>
              <w:rPr>
                <w:sz w:val="20"/>
                <w:szCs w:val="20"/>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shareholders and other books and records.</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55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Times New Roman" w:cs="Times New Roman" w:eastAsia="Times New Roman" w:hAnsi="Times New Roman"/>
          <w:sz w:val="18"/>
          <w:szCs w:val="18"/>
          <w:color w:val="auto"/>
        </w:rPr>
        <w:t>meetings of the company and all resolutions of members passed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other than at a general meeting;</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   inspect copies of the register of members, register of directors,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register of secretaries and other statutory registers maintained by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company;</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(iii)  receive copies of the company’s annual report and accounts for each</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financial year; and</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(iv)  receive notices of general meetings of the company.</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40"/>
          </w:cols>
          <w:pgMar w:left="320" w:top="455"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 company’s articles of association must be registered at Companies</w:t>
            </w:r>
          </w:p>
        </w:tc>
        <w:tc>
          <w:tcPr>
            <w:tcW w:w="51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House and are therefore open to public inspection.</w:t>
            </w:r>
          </w:p>
        </w:tc>
        <w:tc>
          <w:tcPr>
            <w:tcW w:w="5180" w:type="dxa"/>
            <w:vAlign w:val="bottom"/>
          </w:tcPr>
          <w:p>
            <w:pPr>
              <w:spacing w:after="0"/>
              <w:rPr>
                <w:sz w:val="20"/>
                <w:szCs w:val="20"/>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 Rezolve’s shareholders do not have any right to inspect board minutes of</w:t>
            </w:r>
          </w:p>
        </w:tc>
        <w:tc>
          <w:tcPr>
            <w:tcW w:w="51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w:t>
            </w:r>
          </w:p>
        </w:tc>
        <w:tc>
          <w:tcPr>
            <w:tcW w:w="518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558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301</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Armada as of September 30, 2023 and 2022 and for each of the two years in the period ended September 30, 2023, included in this proxy statement/prospectus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legality of the allotment of the Rezolve Ordinary Shares under English law will be passed upon for Rezolve by Taylor Wessing LLP.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legality of the Rezolve Warrants offered hereby which will be governed by English law will be passed upon for Rezolve by Taylor Wessing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LLP.</w:t>
      </w:r>
    </w:p>
    <w:p>
      <w:pPr>
        <w:spacing w:after="0" w:line="20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warrants registered pursuant to the registration statement of which this proxy statement/prospectus forms a part will be passed upon by DLA Piper LLP.</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DLA Piper LLP represented Armada in connection with the Business Combination and the preparation of this proxy statement/prospectus.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Rezolve Ordinary Shares in connection with this transaction.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100"/>
          </w:cols>
          <w:pgMar w:left="320" w:top="455" w:right="4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Armada currently files reports, proxy statements and other information with the SEC as required by the Exchange Act. Rezolve will file reports and other information with the SEC as required by the Exchange Act. You may access information on Armada and Rezolve at the SEC web site containing reports and other information at: http://www.sec.gov.</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this proxy statement/prospectus.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All information contained in this document relating to Armada has been supplied by Armada, and all information relating to Rezolve has been supplied by Rezolve. Information provided by one entity does not constitute any representation, estimate or projection of any other entity.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document or if you have questions about the Business Combination, you should contact via phone or in writing:</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ARMADA ACQUISITION CORP. I</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5500" w:hanging="438"/>
        <w:spacing w:after="0"/>
        <w:tabs>
          <w:tab w:leader="none" w:pos="55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543-6886</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w:t>
      </w:r>
    </w:p>
    <w:p>
      <w:pPr>
        <w:sectPr>
          <w:pgSz w:w="11900" w:h="16838" w:orient="portrait"/>
          <w:cols w:equalWidth="0" w:num="1">
            <w:col w:w="11060"/>
          </w:cols>
          <w:pgMar w:left="320" w:top="455" w:right="51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07"/>
        </w:trPr>
        <w:tc>
          <w:tcPr>
            <w:tcW w:w="101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REZOLVE AI LIMITED</w:t>
            </w:r>
          </w:p>
        </w:tc>
        <w:tc>
          <w:tcPr>
            <w:tcW w:w="900" w:type="dxa"/>
            <w:vAlign w:val="bottom"/>
          </w:tcPr>
          <w:p>
            <w:pPr>
              <w:spacing w:after="0"/>
              <w:rPr>
                <w:sz w:val="24"/>
                <w:szCs w:val="24"/>
                <w:color w:val="auto"/>
              </w:rPr>
            </w:pPr>
          </w:p>
        </w:tc>
      </w:tr>
      <w:tr>
        <w:trPr>
          <w:trHeight w:val="306"/>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4"/>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Carve-out Consolidated 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20" w:type="dxa"/>
            <w:vAlign w:val="bottom"/>
            <w:gridSpan w:val="16"/>
          </w:tcPr>
          <w:p>
            <w:pPr>
              <w:jc w:val="center"/>
              <w:ind w:right="1900"/>
              <w:spacing w:after="0"/>
              <w:rPr>
                <w:sz w:val="20"/>
                <w:szCs w:val="20"/>
                <w:color w:val="auto"/>
              </w:rPr>
            </w:pPr>
            <w:r>
              <w:rPr>
                <w:rFonts w:ascii="Times New Roman" w:cs="Times New Roman" w:eastAsia="Times New Roman" w:hAnsi="Times New Roman"/>
                <w:sz w:val="18"/>
                <w:szCs w:val="18"/>
                <w:color w:val="auto"/>
              </w:rPr>
              <w:t>As of and for the years ended December 31, 2023 (Restated) and 2022</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Independent Auditor’s Report</w:t>
            </w:r>
          </w:p>
        </w:tc>
        <w:tc>
          <w:tcPr>
            <w:tcW w:w="790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8"/>
        </w:trPr>
        <w:tc>
          <w:tcPr>
            <w:tcW w:w="120" w:type="dxa"/>
            <w:vAlign w:val="bottom"/>
          </w:tcPr>
          <w:p>
            <w:pPr>
              <w:spacing w:after="0"/>
              <w:rPr>
                <w:sz w:val="18"/>
                <w:szCs w:val="18"/>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Carve-out Consolidated Financial Statements</w:t>
            </w:r>
          </w:p>
        </w:tc>
        <w:tc>
          <w:tcPr>
            <w:tcW w:w="90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100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Carve-out Consolidated Balance Sheets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Operations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Comprehensive Loss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Changes in Shareholders’ Deficit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20" w:type="dxa"/>
            <w:vAlign w:val="bottom"/>
          </w:tcPr>
          <w:p>
            <w:pPr>
              <w:spacing w:after="0"/>
              <w:rPr>
                <w:sz w:val="17"/>
                <w:szCs w:val="17"/>
                <w:color w:val="auto"/>
              </w:rPr>
            </w:pPr>
          </w:p>
        </w:tc>
        <w:tc>
          <w:tcPr>
            <w:tcW w:w="51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Cash Flows </w:t>
            </w:r>
            <w:r>
              <w:rPr>
                <w:rFonts w:ascii="Times New Roman" w:cs="Times New Roman" w:eastAsia="Times New Roman" w:hAnsi="Times New Roman"/>
                <w:sz w:val="18"/>
                <w:szCs w:val="18"/>
                <w:color w:val="000000"/>
              </w:rPr>
              <w:t>(Restated)</w:t>
            </w:r>
          </w:p>
        </w:tc>
        <w:tc>
          <w:tcPr>
            <w:tcW w:w="488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Carve-out Consolidated Financial Statements</w:t>
            </w:r>
          </w:p>
        </w:tc>
        <w:tc>
          <w:tcPr>
            <w:tcW w:w="588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669"/>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ARMADA ACQUISITION CORP. I</w:t>
            </w:r>
          </w:p>
        </w:tc>
        <w:tc>
          <w:tcPr>
            <w:tcW w:w="90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20" w:type="dxa"/>
            <w:vAlign w:val="bottom"/>
            <w:gridSpan w:val="16"/>
          </w:tcPr>
          <w:p>
            <w:pPr>
              <w:jc w:val="center"/>
              <w:ind w:right="1880"/>
              <w:spacing w:after="0"/>
              <w:rPr>
                <w:sz w:val="20"/>
                <w:szCs w:val="20"/>
                <w:color w:val="auto"/>
              </w:rPr>
            </w:pPr>
            <w:r>
              <w:rPr>
                <w:rFonts w:ascii="Times New Roman" w:cs="Times New Roman" w:eastAsia="Times New Roman" w:hAnsi="Times New Roman"/>
                <w:sz w:val="18"/>
                <w:szCs w:val="18"/>
                <w:color w:val="auto"/>
              </w:rPr>
              <w:t>For the Three and Six Month Periods Ended March 31, 2024</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Unaudited Condensed Balance Sheets as of March 31, 2024 and September 30,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F-42</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Operations for the three and six months-ended March 31, 2024 and 2023</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Deficit for the three and six months-ended March 31, 2024 and 2023</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F-44</w:t>
            </w:r>
          </w:p>
        </w:tc>
      </w:tr>
      <w:tr>
        <w:trPr>
          <w:trHeight w:val="196"/>
        </w:trPr>
        <w:tc>
          <w:tcPr>
            <w:tcW w:w="120" w:type="dxa"/>
            <w:vAlign w:val="bottom"/>
          </w:tcPr>
          <w:p>
            <w:pPr>
              <w:spacing w:after="0"/>
              <w:rPr>
                <w:sz w:val="17"/>
                <w:szCs w:val="17"/>
                <w:color w:val="auto"/>
              </w:rPr>
            </w:pPr>
          </w:p>
        </w:tc>
        <w:tc>
          <w:tcPr>
            <w:tcW w:w="72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Statements of Cash Flows for the six months ended March 31, 2024 and 2023</w:t>
            </w:r>
          </w:p>
        </w:tc>
        <w:tc>
          <w:tcPr>
            <w:tcW w:w="2260" w:type="dxa"/>
            <w:vAlign w:val="bottom"/>
            <w:tcBorders>
              <w:top w:val="single" w:sz="8" w:color="0000EE"/>
            </w:tcBorders>
            <w:gridSpan w:val="5"/>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F-46</w:t>
            </w:r>
          </w:p>
        </w:tc>
      </w:tr>
      <w:tr>
        <w:trPr>
          <w:trHeight w:val="434"/>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60" w:type="dxa"/>
            <w:vAlign w:val="bottom"/>
            <w:gridSpan w:val="15"/>
          </w:tcPr>
          <w:p>
            <w:pPr>
              <w:jc w:val="center"/>
              <w:ind w:right="2440"/>
              <w:spacing w:after="0"/>
              <w:rPr>
                <w:sz w:val="20"/>
                <w:szCs w:val="20"/>
                <w:color w:val="auto"/>
              </w:rPr>
            </w:pPr>
            <w:r>
              <w:rPr>
                <w:rFonts w:ascii="Times New Roman" w:cs="Times New Roman" w:eastAsia="Times New Roman" w:hAnsi="Times New Roman"/>
                <w:sz w:val="18"/>
                <w:szCs w:val="18"/>
                <w:color w:val="auto"/>
              </w:rPr>
              <w:t>For the Three Month Periods Ended December 31, 2023</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65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Condensed Balance Sheets as of December 31, 2023 (Unaudited) and September 30, 2022</w:t>
            </w:r>
          </w:p>
        </w:tc>
        <w:tc>
          <w:tcPr>
            <w:tcW w:w="352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F-68</w:t>
            </w:r>
          </w:p>
        </w:tc>
      </w:tr>
      <w:tr>
        <w:trPr>
          <w:trHeight w:val="196"/>
        </w:trPr>
        <w:tc>
          <w:tcPr>
            <w:tcW w:w="120" w:type="dxa"/>
            <w:vAlign w:val="bottom"/>
          </w:tcPr>
          <w:p>
            <w:pPr>
              <w:spacing w:after="0"/>
              <w:rPr>
                <w:sz w:val="17"/>
                <w:szCs w:val="17"/>
                <w:color w:val="auto"/>
              </w:rPr>
            </w:pPr>
          </w:p>
        </w:tc>
        <w:tc>
          <w:tcPr>
            <w:tcW w:w="8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for the three and nine months ended December 31, 2023 and 2022 (Unaudited)</w:t>
            </w:r>
          </w:p>
        </w:tc>
        <w:tc>
          <w:tcPr>
            <w:tcW w:w="168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F-69</w:t>
            </w:r>
          </w:p>
        </w:tc>
      </w:tr>
      <w:tr>
        <w:trPr>
          <w:trHeight w:val="196"/>
        </w:trPr>
        <w:tc>
          <w:tcPr>
            <w:tcW w:w="120" w:type="dxa"/>
            <w:vAlign w:val="bottom"/>
          </w:tcPr>
          <w:p>
            <w:pPr>
              <w:spacing w:after="0"/>
              <w:rPr>
                <w:sz w:val="17"/>
                <w:szCs w:val="17"/>
                <w:color w:val="auto"/>
              </w:rPr>
            </w:pPr>
          </w:p>
        </w:tc>
        <w:tc>
          <w:tcPr>
            <w:tcW w:w="93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Changes in Stockholders’ Deficit for the three months ended December 31, 2023 and 2022 (Unaudited)</w:t>
            </w:r>
          </w:p>
        </w:tc>
        <w:tc>
          <w:tcPr>
            <w:tcW w:w="74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F-70</w:t>
            </w: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 for the nine months ended December 31, 2023 and 2022 (Unaudited)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F-71</w:t>
            </w:r>
          </w:p>
        </w:tc>
      </w:tr>
      <w:tr>
        <w:trPr>
          <w:trHeight w:val="196"/>
        </w:trPr>
        <w:tc>
          <w:tcPr>
            <w:tcW w:w="120" w:type="dxa"/>
            <w:vAlign w:val="bottom"/>
          </w:tcPr>
          <w:p>
            <w:pPr>
              <w:spacing w:after="0"/>
              <w:rPr>
                <w:sz w:val="17"/>
                <w:szCs w:val="17"/>
                <w:color w:val="auto"/>
              </w:rPr>
            </w:pPr>
          </w:p>
        </w:tc>
        <w:tc>
          <w:tcPr>
            <w:tcW w:w="77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234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F-72</w:t>
            </w:r>
          </w:p>
        </w:tc>
      </w:tr>
      <w:tr>
        <w:trPr>
          <w:trHeight w:val="542"/>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40" w:type="dxa"/>
            <w:vAlign w:val="bottom"/>
            <w:gridSpan w:val="14"/>
          </w:tcPr>
          <w:p>
            <w:pPr>
              <w:jc w:val="center"/>
              <w:ind w:right="2660"/>
              <w:spacing w:after="0"/>
              <w:rPr>
                <w:sz w:val="20"/>
                <w:szCs w:val="20"/>
                <w:color w:val="auto"/>
              </w:rPr>
            </w:pPr>
            <w:r>
              <w:rPr>
                <w:rFonts w:ascii="Times New Roman" w:cs="Times New Roman" w:eastAsia="Times New Roman" w:hAnsi="Times New Roman"/>
                <w:sz w:val="18"/>
                <w:szCs w:val="18"/>
                <w:color w:val="auto"/>
              </w:rPr>
              <w:t>For the years ended September 30, 2023 and 2022</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ID#688)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F-93</w:t>
            </w:r>
          </w:p>
        </w:tc>
      </w:tr>
      <w:tr>
        <w:trPr>
          <w:trHeight w:val="196"/>
        </w:trPr>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w:t>
            </w:r>
          </w:p>
        </w:tc>
        <w:tc>
          <w:tcPr>
            <w:tcW w:w="3120" w:type="dxa"/>
            <w:vAlign w:val="bottom"/>
            <w:tcBorders>
              <w:top w:val="single" w:sz="8" w:color="0000EE"/>
            </w:tcBorders>
            <w:gridSpan w:val="11"/>
          </w:tcPr>
          <w:p>
            <w:pPr>
              <w:spacing w:after="0"/>
              <w:rPr>
                <w:sz w:val="17"/>
                <w:szCs w:val="17"/>
                <w:color w:val="auto"/>
              </w:rPr>
            </w:pPr>
          </w:p>
        </w:tc>
        <w:tc>
          <w:tcPr>
            <w:tcW w:w="584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F-94</w:t>
            </w:r>
          </w:p>
        </w:tc>
      </w:tr>
      <w:tr>
        <w:trPr>
          <w:trHeight w:val="196"/>
        </w:trPr>
        <w:tc>
          <w:tcPr>
            <w:tcW w:w="12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Statements of Operations</w:t>
            </w:r>
          </w:p>
        </w:tc>
        <w:tc>
          <w:tcPr>
            <w:tcW w:w="8240" w:type="dxa"/>
            <w:vAlign w:val="bottom"/>
            <w:gridSpan w:val="2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F-95</w:t>
            </w: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Statements of Changes in Stockholders’ Equity </w:t>
            </w:r>
            <w:r>
              <w:rPr>
                <w:rFonts w:ascii="Times New Roman" w:cs="Times New Roman" w:eastAsia="Times New Roman" w:hAnsi="Times New Roman"/>
                <w:sz w:val="18"/>
                <w:szCs w:val="18"/>
                <w:color w:val="000000"/>
              </w:rPr>
              <w:t>(Deficit)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F-96</w:t>
            </w: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1520" w:type="dxa"/>
            <w:vAlign w:val="bottom"/>
            <w:tcBorders>
              <w:top w:val="single" w:sz="8" w:color="0000EE"/>
            </w:tcBorders>
            <w:gridSpan w:val="4"/>
          </w:tcPr>
          <w:p>
            <w:pPr>
              <w:spacing w:after="0"/>
              <w:rPr>
                <w:sz w:val="17"/>
                <w:szCs w:val="17"/>
                <w:color w:val="auto"/>
              </w:rPr>
            </w:pPr>
          </w:p>
        </w:tc>
        <w:tc>
          <w:tcPr>
            <w:tcW w:w="666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F-97</w:t>
            </w: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F-98</w:t>
            </w:r>
          </w:p>
        </w:tc>
      </w:tr>
      <w:tr>
        <w:trPr>
          <w:trHeight w:val="385"/>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80" w:type="dxa"/>
            <w:vAlign w:val="bottom"/>
            <w:gridSpan w:val="9"/>
          </w:tcPr>
          <w:p>
            <w:pPr>
              <w:jc w:val="center"/>
              <w:ind w:right="4240"/>
              <w:spacing w:after="0"/>
              <w:rPr>
                <w:sz w:val="20"/>
                <w:szCs w:val="20"/>
                <w:color w:val="auto"/>
              </w:rPr>
            </w:pPr>
            <w:r>
              <w:rPr>
                <w:rFonts w:ascii="Times New Roman" w:cs="Times New Roman" w:eastAsia="Times New Roman" w:hAnsi="Times New Roman"/>
                <w:sz w:val="18"/>
                <w:szCs w:val="18"/>
                <w:color w:val="auto"/>
                <w:w w:val="95"/>
              </w:rPr>
              <w:t>F-1</w:t>
            </w:r>
          </w:p>
        </w:tc>
        <w:tc>
          <w:tcPr>
            <w:tcW w:w="9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Limited and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Restatement of the 2023 and 2022 Financial Statements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discussed in Note 2, the accompanying 2023 and 2022 carve-out consolidated financial statements have been restated.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have been prepared assuming that the Company will continue as a going concern. As discussed in Note 2 to the carve-out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and significant estimates made by management, as well as evaluating the overall presentation of the carve-out consolidated financial statements. We believe that our audits provide a reasonable basis for our opinion.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20, 2024, except for Notes 2.20, 13 and 14, as to which the date is June 11, 2024</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780"/>
          </w:cols>
          <w:pgMar w:left="320" w:top="455" w:right="79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7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3"/>
        </w:trPr>
        <w:tc>
          <w:tcPr>
            <w:tcW w:w="78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10,441</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12,534</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299,013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440,846</w:t>
            </w:r>
          </w:p>
        </w:tc>
        <w:tc>
          <w:tcPr>
            <w:tcW w:w="100" w:type="dxa"/>
            <w:vAlign w:val="bottom"/>
            <w:shd w:val="clear" w:color="auto" w:fill="CCEEFF"/>
          </w:tcPr>
          <w:p>
            <w:pPr>
              <w:spacing w:after="0"/>
              <w:rPr>
                <w:sz w:val="17"/>
                <w:szCs w:val="17"/>
                <w:color w:val="auto"/>
              </w:rPr>
            </w:pPr>
          </w:p>
        </w:tc>
      </w:tr>
      <w:tr>
        <w:trPr>
          <w:trHeight w:val="210"/>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Loans receivable </w:t>
            </w:r>
            <w:r>
              <w:rPr>
                <w:rFonts w:ascii="Times New Roman" w:cs="Times New Roman" w:eastAsia="Times New Roman" w:hAnsi="Times New Roman"/>
                <w:sz w:val="16"/>
                <w:szCs w:val="16"/>
                <w:i w:val="1"/>
                <w:iCs w:val="1"/>
                <w:color w:val="auto"/>
              </w:rPr>
              <w:t>(net of credit loss provision of $785,000 and nil as at December 31, 2023 and 2022)</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598,414</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1,087,495</w:t>
            </w:r>
          </w:p>
        </w:tc>
        <w:tc>
          <w:tcPr>
            <w:tcW w:w="100" w:type="dxa"/>
            <w:vAlign w:val="bottom"/>
            <w:shd w:val="clear" w:color="auto" w:fill="CCEEFF"/>
          </w:tcPr>
          <w:p>
            <w:pPr>
              <w:spacing w:after="0"/>
              <w:rPr>
                <w:sz w:val="17"/>
                <w:szCs w:val="17"/>
                <w:color w:val="auto"/>
              </w:rPr>
            </w:pPr>
          </w:p>
        </w:tc>
      </w:tr>
      <w:tr>
        <w:trPr>
          <w:trHeight w:val="206"/>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79,593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110,998</w:t>
            </w:r>
          </w:p>
        </w:tc>
      </w:tr>
      <w:tr>
        <w:trPr>
          <w:trHeight w:val="209"/>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450,446</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561,444</w:t>
            </w:r>
          </w:p>
        </w:tc>
        <w:tc>
          <w:tcPr>
            <w:tcW w:w="100" w:type="dxa"/>
            <w:vAlign w:val="bottom"/>
            <w:shd w:val="clear" w:color="auto" w:fill="CCEEFF"/>
          </w:tcPr>
          <w:p>
            <w:pPr>
              <w:spacing w:after="0"/>
              <w:rPr>
                <w:sz w:val="17"/>
                <w:szCs w:val="17"/>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1,648,939</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0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4,569,703</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3,728,974</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Due to related party (refer to note 14)</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777,576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621,791</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4,492,790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2,640,384</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Ordinary shares payable</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8,223,928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14)</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132,269</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 term debt to related party (refer to note 2.20 and note 14)</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6,225,815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697,067</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1,311,028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Convertible debt (current)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7,688,216</w:t>
            </w:r>
          </w:p>
        </w:tc>
        <w:tc>
          <w:tcPr>
            <w:tcW w:w="100" w:type="dxa"/>
            <w:vAlign w:val="bottom"/>
            <w:shd w:val="clear" w:color="auto" w:fill="CCEEFF"/>
          </w:tcPr>
          <w:p>
            <w:pPr>
              <w:spacing w:after="0"/>
              <w:rPr>
                <w:sz w:val="17"/>
                <w:szCs w:val="17"/>
                <w:color w:val="auto"/>
              </w:rPr>
            </w:pPr>
          </w:p>
        </w:tc>
      </w:tr>
      <w:tr>
        <w:trPr>
          <w:trHeight w:val="206"/>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Convertible debt (long-term)</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25,302,709</w:t>
            </w:r>
          </w:p>
        </w:tc>
        <w:tc>
          <w:tcPr>
            <w:tcW w:w="100" w:type="dxa"/>
            <w:vAlign w:val="bottom"/>
            <w:shd w:val="clear" w:color="auto" w:fill="CCEEFF"/>
          </w:tcPr>
          <w:p>
            <w:pPr>
              <w:spacing w:after="0"/>
              <w:rPr>
                <w:sz w:val="17"/>
                <w:szCs w:val="17"/>
                <w:color w:val="auto"/>
              </w:rPr>
            </w:pPr>
          </w:p>
        </w:tc>
      </w:tr>
      <w:tr>
        <w:trPr>
          <w:trHeight w:val="210"/>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Share-based payment liability (long-term)</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1,177,617</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26,480,326</w:t>
            </w:r>
          </w:p>
        </w:tc>
        <w:tc>
          <w:tcPr>
            <w:tcW w:w="100" w:type="dxa"/>
            <w:vAlign w:val="bottom"/>
            <w:shd w:val="clear" w:color="auto" w:fill="CCEEFF"/>
          </w:tcPr>
          <w:p>
            <w:pPr>
              <w:spacing w:after="0"/>
              <w:rPr>
                <w:sz w:val="17"/>
                <w:szCs w:val="17"/>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34,168,542</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Ordinary shares, £0.0001 nominal value 932,969,424 shares issued and outstanding as of December 31,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2023 927,806,159 shares issued and outstanding as of December 31, 2022 991,285,244 and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986,121,959 shares authorized as of December 31, 2023 and 2022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127,310</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126,677</w:t>
            </w:r>
          </w:p>
        </w:tc>
        <w:tc>
          <w:tcPr>
            <w:tcW w:w="100" w:type="dxa"/>
            <w:vAlign w:val="bottom"/>
          </w:tcPr>
          <w:p>
            <w:pPr>
              <w:spacing w:after="0"/>
              <w:rPr>
                <w:sz w:val="18"/>
                <w:szCs w:val="18"/>
                <w:color w:val="auto"/>
              </w:rPr>
            </w:pPr>
          </w:p>
        </w:tc>
      </w:tr>
      <w:tr>
        <w:trPr>
          <w:trHeight w:val="192"/>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Series A shares, £0.0001 nominal value 28,039,517 shares issued, authorized and outstanding as of</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2023 and 2022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3,868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172,204,832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163,165,083</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 subscription receivable (1)</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(178,720)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(226,291,430)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(195,555,332)</w:t>
            </w: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(150,744)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(81,179)</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(54,284,884)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(32,519,603)</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deficit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1,648,939</w:t>
            </w:r>
          </w:p>
        </w:tc>
        <w:tc>
          <w:tcPr>
            <w:tcW w:w="100" w:type="dxa"/>
            <w:vAlign w:val="bottom"/>
            <w:shd w:val="clear" w:color="auto" w:fill="CCEEFF"/>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balances of $(119,844) as at December 31, 2023 and 2022, refer to note 14.</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Carve-out Consolidated Statement of Operations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45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Cost of revenue (</w:t>
      </w:r>
      <w:r>
        <w:rPr>
          <w:rFonts w:ascii="Times New Roman" w:cs="Times New Roman" w:eastAsia="Times New Roman" w:hAnsi="Times New Roman"/>
          <w:sz w:val="18"/>
          <w:szCs w:val="18"/>
          <w:i w:val="1"/>
          <w:iCs w:val="1"/>
          <w:color w:val="auto"/>
        </w:rPr>
        <w:t>refer to note 2.11)</w:t>
      </w:r>
    </w:p>
    <w:p>
      <w:pPr>
        <w:spacing w:after="0" w:line="9" w:lineRule="exact"/>
        <w:rPr>
          <w:sz w:val="20"/>
          <w:szCs w:val="20"/>
          <w:color w:val="auto"/>
        </w:rPr>
      </w:pPr>
    </w:p>
    <w:p>
      <w:pPr>
        <w:ind w:left="660" w:hanging="179"/>
        <w:spacing w:after="0" w:line="250" w:lineRule="auto"/>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(Including related party transactions of 2,072,224 and 869,777 refer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660" w:right="540" w:hanging="179"/>
        <w:spacing w:after="0" w:line="250" w:lineRule="auto"/>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(Including related party transactions of 3,831,291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41,231,704, refer to Note 14)</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Impairment of investment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Impairment of goodwill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 w:type="dxa"/>
            <w:vAlign w:val="bottom"/>
          </w:tcPr>
          <w:p>
            <w:pPr>
              <w:spacing w:after="0"/>
              <w:rPr>
                <w:sz w:val="18"/>
                <w:szCs w:val="18"/>
                <w:color w:val="auto"/>
              </w:rPr>
            </w:pPr>
          </w:p>
        </w:tc>
      </w:tr>
      <w:tr>
        <w:trPr>
          <w:trHeight w:val="43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34,791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745,040</w:t>
            </w: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6,731,254</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4,338,557</w:t>
            </w:r>
          </w:p>
        </w:tc>
      </w:tr>
      <w:tr>
        <w:trPr>
          <w:trHeight w:val="41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17,986,528</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86,640,500</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1,156,316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334,952</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242,436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235,797</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14,822,022</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44,438</w:t>
            </w:r>
          </w:p>
        </w:tc>
      </w:tr>
    </w:tbl>
    <w:p>
      <w:pPr>
        <w:spacing w:after="0" w:line="1" w:lineRule="exact"/>
        <w:rPr>
          <w:sz w:val="20"/>
          <w:szCs w:val="20"/>
          <w:color w:val="auto"/>
        </w:rPr>
      </w:pPr>
    </w:p>
    <w:p>
      <w:pPr>
        <w:sectPr>
          <w:pgSz w:w="11900" w:h="16838" w:orient="portrait"/>
          <w:cols w:equalWidth="0" w:num="2">
            <w:col w:w="7620" w:space="520"/>
            <w:col w:w="30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2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(26,006,274)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(107,046,147)</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(4,791,782)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(3,628,036)</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3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(110,674,183)</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20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927,204,508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913,109,577</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type w:val="continuous"/>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Comprehensive Loss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(110,712,948)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(69,565)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(30,805,663</w:t>
            </w:r>
          </w:p>
        </w:tc>
        <w:tc>
          <w:tcPr>
            <w:tcW w:w="5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(110,800,889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Changes in Shareholders’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48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vMerge w:val="restart"/>
          </w:tcPr>
          <w:p>
            <w:pPr>
              <w:spacing w:after="0"/>
              <w:rPr>
                <w:sz w:val="13"/>
                <w:szCs w:val="13"/>
                <w:color w:val="auto"/>
              </w:rPr>
            </w:pPr>
          </w:p>
        </w:tc>
        <w:tc>
          <w:tcPr>
            <w:tcW w:w="13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140" w:type="dxa"/>
            <w:vAlign w:val="bottom"/>
            <w:vMerge w:val="restart"/>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3"/>
                <w:szCs w:val="13"/>
                <w:color w:val="auto"/>
              </w:rPr>
            </w:pPr>
          </w:p>
        </w:tc>
        <w:tc>
          <w:tcPr>
            <w:tcW w:w="1480" w:type="dxa"/>
            <w:vAlign w:val="bottom"/>
            <w:tcBorders>
              <w:bottom w:val="single" w:sz="8" w:color="auto"/>
            </w:tcBorders>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vMerge w:val="restart"/>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0"/>
                <w:szCs w:val="10"/>
                <w:color w:val="auto"/>
              </w:rPr>
            </w:pPr>
          </w:p>
        </w:tc>
        <w:tc>
          <w:tcPr>
            <w:tcW w:w="9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subscription</w:t>
            </w: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29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 2022</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891,818,882</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122,427</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83,692,381</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(84,842,384)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(175,505)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6,762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(1,192,451)</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issued</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2,040,816</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166</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2,499,754</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2,499,920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for ANY (note 2.20) (as</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14,427,185</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1,993</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14,858,007</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14,860,000</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restated)</w:t>
            </w: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to consultant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5,000,000</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677</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18,417,139</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18,417,816</w:t>
            </w:r>
          </w:p>
        </w:tc>
        <w:tc>
          <w:tcPr>
            <w:tcW w:w="0" w:type="dxa"/>
            <w:vAlign w:val="bottom"/>
          </w:tcPr>
          <w:p>
            <w:pPr>
              <w:spacing w:after="0"/>
              <w:rPr>
                <w:sz w:val="1"/>
                <w:szCs w:val="1"/>
                <w:color w:val="auto"/>
              </w:rPr>
            </w:pPr>
          </w:p>
        </w:tc>
      </w:tr>
      <w:tr>
        <w:trPr>
          <w:trHeight w:val="171"/>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against exercise of</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1,700,000</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192</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2,082,308</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2,082,500</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 (note 9)</w:t>
            </w: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 related parties</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27,246,461</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3,215</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39,498,486</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(3,215)</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39,498,486</w:t>
            </w:r>
          </w:p>
        </w:tc>
        <w:tc>
          <w:tcPr>
            <w:tcW w:w="0" w:type="dxa"/>
            <w:vAlign w:val="bottom"/>
          </w:tcPr>
          <w:p>
            <w:pPr>
              <w:spacing w:after="0"/>
              <w:rPr>
                <w:sz w:val="1"/>
                <w:szCs w:val="1"/>
                <w:color w:val="auto"/>
              </w:rPr>
            </w:pPr>
          </w:p>
        </w:tc>
      </w:tr>
      <w:tr>
        <w:trPr>
          <w:trHeight w:val="171"/>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share-based compensation (note 11)</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2,115,015</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2,115,015</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ANY shares reverted (note 2.20)</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(14,427,185)</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(1,993)</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1,993</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(as restated)</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(110,712,948)</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(110,712,948)</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(loss) (as restated)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vMerge w:val="restart"/>
          </w:tcPr>
          <w:p>
            <w:pPr>
              <w:spacing w:after="0"/>
              <w:rPr>
                <w:sz w:val="15"/>
                <w:szCs w:val="15"/>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vMerge w:val="restart"/>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(87,941)</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(87,941)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December 31, 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927,806,159</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126,677</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163,165,083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(195,555,332)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(81,179)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(32,519,603)</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issued to related parties</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163,265</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199,954</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199,974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from exercise of share-</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5,000,000</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613</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(613)</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in lieu of services</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115,190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115,190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related parties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3,646,017</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3,646,017</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Employee share-based compensation</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5,079,201</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5,079,201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(30,736,098)</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(30,736,098)</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 (loss)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20" w:type="dxa"/>
            <w:vAlign w:val="bottom"/>
            <w:vMerge w:val="restart"/>
          </w:tcPr>
          <w:p>
            <w:pPr>
              <w:spacing w:after="0"/>
              <w:rPr>
                <w:sz w:val="15"/>
                <w:szCs w:val="15"/>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40" w:type="dxa"/>
            <w:vAlign w:val="bottom"/>
            <w:vMerge w:val="restart"/>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(69,565)</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(69,565)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932,969,424</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127,310</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172,204,832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(226,291,430)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(150,744)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(54,284,884)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8"/>
        </w:trPr>
        <w:tc>
          <w:tcPr>
            <w:tcW w:w="84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8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60" w:type="dxa"/>
            <w:vAlign w:val="bottom"/>
            <w:gridSpan w:val="2"/>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r>
      <w:tr>
        <w:trPr>
          <w:trHeight w:val="173"/>
        </w:trPr>
        <w:tc>
          <w:tcPr>
            <w:tcW w:w="84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3"/>
        </w:trPr>
        <w:tc>
          <w:tcPr>
            <w:tcW w:w="84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(30,736,098)</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  (110,712,948)</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loss to net cash (used in) operating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242,436</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244,208</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(gain)/loss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375,298</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(277,838)</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Share based compensation issued to related parties for consultancy services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3,646,017</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39,501,701</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compensation for consultancy services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18,417,816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Employee share 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5,079,201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2,115,015</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ROU asset, net of lease termination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46,236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prepayments and other current assets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731,940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accounts receivable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334,952</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loans recievable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1,156,316</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goodwill</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44,438</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investment in ANY</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14,600,000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4,791,782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3,884,695</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Decrease/(increase) in accounts receivable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(3,679)</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712,554</w:t>
            </w:r>
          </w:p>
        </w:tc>
      </w:tr>
      <w:tr>
        <w:trPr>
          <w:trHeight w:val="20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(Increase) in prepayment and other current assets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(416,069)</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(56,523)</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 operating lease liability</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(46,236)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Decrease in receivable with related parties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168,754</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accounts payable, accrued expenses and other payables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2,310,465</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3,340,539</w:t>
            </w: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Increase (decrease) in payables to related parties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161,791</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(13,001,875)</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(26,788,906)</w:t>
            </w:r>
          </w:p>
        </w:tc>
      </w:tr>
      <w:tr>
        <w:trPr>
          <w:trHeight w:val="20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(14,376)</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(36,854)</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Development of intangible assets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(1,767,148)</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7"/>
        </w:trPr>
        <w:tc>
          <w:tcPr>
            <w:tcW w:w="8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(1,781,524)</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(36,854)</w:t>
            </w: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rights issuance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7,767,674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ordinary shares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2,499,920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related parties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199,974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short-term debt obligation from related parties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(250,000)</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short-term debt from related party</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4,369,413</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long-term debt obligation</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21,500,000</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flow generated from financing activities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14,712,061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23,999,920</w:t>
            </w:r>
          </w:p>
        </w:tc>
      </w:tr>
      <w:tr>
        <w:trPr>
          <w:trHeight w:val="217"/>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Effect of exchange rate changes on cash</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177,287</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(28,939)</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(2,648,553)</w:t>
            </w: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beginning of year</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2,687,933</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year</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10,441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39,380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for development of intangible asset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115,190</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taxes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 payable converted to principal</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4,040,989</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bl>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rFonts w:ascii="Times New Roman" w:cs="Times New Roman" w:eastAsia="Times New Roman" w:hAnsi="Times New Roman"/>
          <w:sz w:val="18"/>
          <w:szCs w:val="18"/>
          <w:b w:val="1"/>
          <w:bCs w:val="1"/>
          <w:color w:val="auto"/>
        </w:rPr>
      </w:pPr>
    </w:p>
    <w:p>
      <w:pPr>
        <w:ind w:left="56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53" w:lineRule="exact"/>
        <w:rPr>
          <w:rFonts w:ascii="Times New Roman" w:cs="Times New Roman" w:eastAsia="Times New Roman" w:hAnsi="Times New Roman"/>
          <w:sz w:val="18"/>
          <w:szCs w:val="18"/>
          <w:b w:val="1"/>
          <w:bCs w:val="1"/>
          <w:color w:val="auto"/>
        </w:rPr>
      </w:pPr>
    </w:p>
    <w:p>
      <w:pPr>
        <w:ind w:left="560" w:right="420"/>
        <w:spacing w:after="0" w:line="29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80 New Bond Street, London, United Kingdom, W1S 1SB.</w:t>
      </w:r>
    </w:p>
    <w:p>
      <w:pPr>
        <w:spacing w:after="0" w:line="168"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68"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72"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75"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8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2"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color w:val="auto"/>
        </w:rPr>
        <w:t xml:space="preserve">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 Financial Statements</w:t>
      </w:r>
      <w:r>
        <w:rPr>
          <w:rFonts w:ascii="Times New Roman" w:cs="Times New Roman" w:eastAsia="Times New Roman" w:hAnsi="Times New Roman"/>
          <w:sz w:val="18"/>
          <w:szCs w:val="18"/>
          <w:color w:val="auto"/>
        </w:rPr>
        <w:t xml:space="preserve"> (“SAB 1-B1”). Management asserts that this method used is reasonable.</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list of subsidiaries and Rezolve Limited’s holding as of December 31, 2023 and 2022 is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2000" w:type="dxa"/>
            <w:vAlign w:val="bottom"/>
            <w:gridSpan w:val="2"/>
            <w:vMerge w:val="restart"/>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7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2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Rezolve Mobile Commerce Inc.</w:t>
            </w:r>
          </w:p>
        </w:tc>
        <w:tc>
          <w:tcPr>
            <w:tcW w:w="6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360" w:type="dxa"/>
            <w:vAlign w:val="bottom"/>
            <w:gridSpan w:val="3"/>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United States of</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7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America</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25, 2020</w:t>
            </w:r>
          </w:p>
        </w:tc>
        <w:tc>
          <w:tcPr>
            <w:tcW w:w="760" w:type="dxa"/>
            <w:vAlign w:val="bottom"/>
          </w:tcPr>
          <w:p>
            <w:pPr>
              <w:spacing w:after="0"/>
              <w:rPr>
                <w:sz w:val="18"/>
                <w:szCs w:val="18"/>
                <w:color w:val="auto"/>
              </w:rPr>
            </w:pPr>
          </w:p>
        </w:tc>
        <w:tc>
          <w:tcPr>
            <w:tcW w:w="16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Spain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2000" w:type="dxa"/>
            <w:vAlign w:val="bottom"/>
            <w:gridSpan w:val="2"/>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9"/>
              </w:rPr>
              <w:t>November 9, 2000</w:t>
            </w:r>
          </w:p>
        </w:tc>
        <w:tc>
          <w:tcPr>
            <w:tcW w:w="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Taiwan</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6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760" w:type="dxa"/>
            <w:vAlign w:val="bottom"/>
          </w:tcPr>
          <w:p>
            <w:pPr>
              <w:spacing w:after="0"/>
              <w:rPr>
                <w:sz w:val="20"/>
                <w:szCs w:val="20"/>
                <w:color w:val="auto"/>
              </w:rPr>
            </w:pPr>
          </w:p>
        </w:tc>
        <w:tc>
          <w:tcPr>
            <w:tcW w:w="16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India</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carve-out consolidated financial statements have been prepared using the United Stated Dollar ($) as its reporting currency.</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7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84"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54"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w:t>
        <w:tab/>
        <w:t>Use of estimates</w:t>
      </w:r>
    </w:p>
    <w:p>
      <w:pPr>
        <w:spacing w:after="0" w:line="121" w:lineRule="exact"/>
        <w:rPr>
          <w:sz w:val="20"/>
          <w:szCs w:val="20"/>
          <w:color w:val="auto"/>
        </w:rPr>
      </w:pPr>
    </w:p>
    <w:p>
      <w:pPr>
        <w:ind w:left="560" w:right="16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33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75"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8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2.7</w:t>
        <w:tab/>
        <w:t>Cash</w:t>
      </w:r>
    </w:p>
    <w:p>
      <w:pPr>
        <w:spacing w:after="0" w:line="121" w:lineRule="exact"/>
        <w:rPr>
          <w:sz w:val="20"/>
          <w:szCs w:val="20"/>
          <w:color w:val="auto"/>
        </w:rPr>
      </w:pPr>
    </w:p>
    <w:p>
      <w:pPr>
        <w:ind w:left="560" w:right="340"/>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GBP 85,000 in accordance with the regulations of the United Kingdom’s Financial Conduct Authority. The Company has not experienced any losses associated with cash held with financial institutions.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 Company has adopted ASC 326 “Financial Instruments—Credit Losses” as of January 31, 2023 (refer to note 3.) Account receivable consists primarily of amounts related to fees charged to customers. Credit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32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2.9</w:t>
        <w:tab/>
        <w:t>Property and equipment</w:t>
      </w:r>
    </w:p>
    <w:p>
      <w:pPr>
        <w:spacing w:after="0" w:line="121"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54"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14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714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71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71"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consist of computer software, customer lists and goodwill.</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68"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80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780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5 years</w:t>
            </w:r>
          </w:p>
        </w:tc>
      </w:tr>
      <w:tr>
        <w:trPr>
          <w:trHeight w:val="365"/>
        </w:trPr>
        <w:tc>
          <w:tcPr>
            <w:tcW w:w="2780" w:type="dxa"/>
            <w:vAlign w:val="bottom"/>
          </w:tcPr>
          <w:p>
            <w:pPr>
              <w:spacing w:after="0"/>
              <w:rPr>
                <w:sz w:val="24"/>
                <w:szCs w:val="24"/>
                <w:color w:val="auto"/>
              </w:rPr>
            </w:pPr>
          </w:p>
        </w:tc>
        <w:tc>
          <w:tcPr>
            <w:tcW w:w="78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F-13</w:t>
            </w:r>
          </w:p>
        </w:tc>
      </w:tr>
    </w:tbl>
    <w:p>
      <w:pPr>
        <w:sectPr>
          <w:pgSz w:w="11900" w:h="16838" w:orient="portrait"/>
          <w:cols w:equalWidth="0" w:num="1">
            <w:col w:w="11140"/>
          </w:cols>
          <w:pgMar w:left="320" w:top="455"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81"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2" w:lineRule="exact"/>
        <w:rPr>
          <w:sz w:val="20"/>
          <w:szCs w:val="20"/>
          <w:color w:val="auto"/>
        </w:rPr>
      </w:pPr>
    </w:p>
    <w:p>
      <w:pPr>
        <w:ind w:left="560" w:right="680"/>
        <w:spacing w:after="0" w:line="282" w:lineRule="auto"/>
        <w:rPr>
          <w:sz w:val="20"/>
          <w:szCs w:val="20"/>
          <w:color w:val="auto"/>
        </w:rPr>
      </w:pPr>
      <w:r>
        <w:rPr>
          <w:rFonts w:ascii="Times New Roman" w:cs="Times New Roman" w:eastAsia="Times New Roman" w:hAnsi="Times New Roman"/>
          <w:sz w:val="18"/>
          <w:szCs w:val="18"/>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54"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There were no other indicators of impairment for any of the long-lived assets as of December 31, 2023 and December 31, 2022 and the years then ended.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68"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jc w:val="both"/>
        <w:ind w:left="560" w:right="20"/>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60" w:right="860"/>
        <w:spacing w:after="0" w:line="282" w:lineRule="auto"/>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5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left="560" w:right="680"/>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inventory plus the impairment of current assets (see note 2.11).</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75"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54"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932,969,424 and 927,806,159 common shares, and 28,039,517 Series A shares outstanding, respectively.</w:t>
      </w:r>
    </w:p>
    <w:p>
      <w:pPr>
        <w:spacing w:after="0" w:line="5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5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 Shares</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at</w:t>
            </w:r>
          </w:p>
        </w:tc>
        <w:tc>
          <w:tcPr>
            <w:tcW w:w="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Requiring Additional</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5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1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£0.0001</w:t>
            </w:r>
          </w:p>
        </w:tc>
        <w:tc>
          <w:tcPr>
            <w:tcW w:w="5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£0.016</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on January 1, 2022</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58,315,800</w:t>
            </w:r>
          </w:p>
        </w:tc>
        <w:tc>
          <w:tcPr>
            <w:tcW w:w="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year December 31, 2022</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spacing w:after="0"/>
              <w:rPr>
                <w:sz w:val="18"/>
                <w:szCs w:val="18"/>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 December 31, 2022</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58,315,800</w:t>
            </w:r>
          </w:p>
        </w:tc>
        <w:tc>
          <w:tcPr>
            <w:tcW w:w="5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during the year December 31, 2023</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 December 31, 2023</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spacing w:after="0"/>
              <w:rPr>
                <w:sz w:val="19"/>
                <w:szCs w:val="19"/>
                <w:color w:val="auto"/>
              </w:rPr>
            </w:pPr>
          </w:p>
        </w:tc>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58,315,800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75"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2.20 Restatement of error in previously filed consolidated combined carve-out financial statements:</w:t>
      </w:r>
    </w:p>
    <w:p>
      <w:pPr>
        <w:spacing w:after="0" w:line="121"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68" w:lineRule="exact"/>
        <w:rPr>
          <w:sz w:val="20"/>
          <w:szCs w:val="20"/>
          <w:color w:val="auto"/>
        </w:rPr>
      </w:pPr>
    </w:p>
    <w:p>
      <w:pPr>
        <w:ind w:left="560" w:right="40"/>
        <w:spacing w:after="0" w:line="221" w:lineRule="auto"/>
        <w:rPr>
          <w:sz w:val="20"/>
          <w:szCs w:val="20"/>
          <w:color w:val="auto"/>
        </w:rPr>
      </w:pPr>
      <w:r>
        <w:rPr>
          <w:rFonts w:ascii="Times New Roman" w:cs="Times New Roman" w:eastAsia="Times New Roman" w:hAnsi="Times New Roman"/>
          <w:sz w:val="18"/>
          <w:szCs w:val="18"/>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 2022 at which point all of the outstanding shares of ANY were transferred from the Radio Group to the Company. On December 28, 2022 the legal ownership of ANY reverted back to the sellers of ANY, the consideration shares were reverted back to Rezolve. On April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91"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54"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68"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The investment in ANY of $14,600,000 plus loans to ANY of $222,022 was impaired as the Company abandoned its plans to complete the acquisition of ANY.</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284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20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(2,329)</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39,380</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74,748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(65,893)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607,726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(607,726)</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1,202,572</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(163,312)</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1,039,260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1,926,755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(839,260)</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139,560</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(28,562)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110,998</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1,061,763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(1,061,763)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6,237,443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(5,786,997)</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450,446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7,738,766</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(6,877,322)</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(7,716,582)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697,067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697,067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4,262,476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(533,502)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3,728,974</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225,120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396,671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621,791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3,488,909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(848,525)</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2,640,384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8,673,572</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(985,356)</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(7,688,216)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25,302,709</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25,302,709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1,177,616</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1,177,617</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1,526,622</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(1,526,622)</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28,006,947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(1,526,622)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(36,680,519)</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(2,511,978)</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126,677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126,677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shares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(1,993)</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A shares</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3,868</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163,163,090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163,165,083</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(178,720)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(178,720)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(189,171,542)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(6,383,790)</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(195,555,332)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(1,260,364)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1,179,185</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(81,179)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8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(27,314,998)</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(5,204,605)</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(32,519,603)</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8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(7,716,583)</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4260" w:type="dxa"/>
            <w:vAlign w:val="bottom"/>
            <w:gridSpan w:val="3"/>
          </w:tcPr>
          <w:p>
            <w:pPr>
              <w:jc w:val="right"/>
              <w:ind w:right="2780"/>
              <w:spacing w:after="0"/>
              <w:rPr>
                <w:sz w:val="20"/>
                <w:szCs w:val="20"/>
                <w:color w:val="auto"/>
              </w:rPr>
            </w:pPr>
            <w:r>
              <w:rPr>
                <w:rFonts w:ascii="Times New Roman" w:cs="Times New Roman" w:eastAsia="Times New Roman" w:hAnsi="Times New Roman"/>
                <w:sz w:val="18"/>
                <w:szCs w:val="18"/>
                <w:color w:val="auto"/>
              </w:rPr>
              <w:t>F-18</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11,879,343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(11,764,184</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5,604,129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(4,859,089)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745,040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6,827,211</w:t>
            </w:r>
          </w:p>
        </w:tc>
        <w:tc>
          <w:tcPr>
            <w:tcW w:w="10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(2,488,654)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4,338,557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91,604,396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(4,963,896)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86,640,500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334,952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742,113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(506,316)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235,797</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14,822,022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14,822,022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7,418,302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(7,373,864)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44,438</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112,531,103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(5,369,797)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w w:val="99"/>
              </w:rPr>
              <w:t>(100,651,760)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(6,394,387)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(107,046,147)</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(3,884,698)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(58,915)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256,659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(3,569,124)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(58,912)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(3,628,036)</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(104,220,884)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(31,521,733)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(110,674,183)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115,447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(63,408)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2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(104,105,437</w:t>
            </w:r>
          </w:p>
        </w:tc>
        <w:tc>
          <w:tcPr>
            <w:tcW w:w="5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(31,585,141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(110,712,948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913,109,577</w:t>
            </w:r>
          </w:p>
        </w:tc>
        <w:tc>
          <w:tcPr>
            <w:tcW w:w="0" w:type="dxa"/>
            <w:vAlign w:val="bottom"/>
          </w:tcPr>
          <w:p>
            <w:pPr>
              <w:spacing w:after="0"/>
              <w:rPr>
                <w:sz w:val="1"/>
                <w:szCs w:val="1"/>
                <w:color w:val="auto"/>
              </w:rPr>
            </w:pPr>
          </w:p>
        </w:tc>
      </w:tr>
      <w:tr>
        <w:trPr>
          <w:trHeight w:val="346"/>
        </w:trPr>
        <w:tc>
          <w:tcPr>
            <w:tcW w:w="4660" w:type="dxa"/>
            <w:vAlign w:val="bottom"/>
          </w:tcPr>
          <w:p>
            <w:pPr>
              <w:spacing w:after="0"/>
              <w:rPr>
                <w:sz w:val="24"/>
                <w:szCs w:val="24"/>
                <w:color w:val="auto"/>
              </w:rPr>
            </w:pPr>
          </w:p>
        </w:tc>
        <w:tc>
          <w:tcPr>
            <w:tcW w:w="21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F-19</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8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4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120" w:type="dxa"/>
            <w:vAlign w:val="bottom"/>
            <w:gridSpan w:val="2"/>
            <w:vMerge w:val="continue"/>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(104,105,438)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(6,607,510)</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(110,712,948)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742,113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(497,905)</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244,208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(277,838)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(277,838)</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 for consultancy services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39,501,701</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18,417,816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18,417,816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2,115,015</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2,115,015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46,236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46,236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731,940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731,940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334,952</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334,952</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7,418,302</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(7,373,864)</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44,438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14,600,000</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14,600,000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(243,835)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243,835</w:t>
            </w:r>
          </w:p>
        </w:tc>
        <w:tc>
          <w:tcPr>
            <w:tcW w:w="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3,884,695</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3,884,695</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646,661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65,893</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712,554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(215,468)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158,945</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(56,523)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(46,236)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(46,236)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(245,266)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414,020</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168,754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payables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4,766,607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(1,426,068)</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3,340,539</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(234,880)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396,671</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161,791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(26,762,923)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(25,983)</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(26,788,906)</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(25,973)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(14,376)</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(36,854)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(1,767,148)</w:t>
            </w:r>
          </w:p>
        </w:tc>
        <w:tc>
          <w:tcPr>
            <w:tcW w:w="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(25,973)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(1,781,524)</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(36,854)</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2,499,920</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2,499,920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21,500,000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21,500,000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140,658</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(2,648,318)</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(235)</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(2,648,553)</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2,690,024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(2,091)</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2,687,933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41,709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(2,329)</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39,380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Management also reclassified amounts Due to related party, previously disclosed in the related party note disclosure as at December 31, 2022. The amounts were reclassified from Accounts payable.</w:t>
      </w: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72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shares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4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172,202,839</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1,993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172,204,832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The carve-out consolidated balance sheet for December 31, 2023 was restated only to reflect the return of the deferred shares and the cancellation of the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amounts were restated in the following</w:t>
      </w:r>
    </w:p>
    <w:p>
      <w:pPr>
        <w:spacing w:after="0" w:line="131" w:lineRule="exact"/>
        <w:rPr>
          <w:sz w:val="20"/>
          <w:szCs w:val="20"/>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 – Prepayments and other current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6 – Property and equipment,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7 – Intangible assets,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 Accrued expenses and other payables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Expenses and other Non-operating (income) expense,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 Related party disclosures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16 – Income taxes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2.21 Fair value measurement and concentration of credit risk</w:t>
      </w:r>
    </w:p>
    <w:p>
      <w:pPr>
        <w:spacing w:after="0" w:line="121"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75"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jc w:val="both"/>
        <w:ind w:left="560" w:right="20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00" w:type="dxa"/>
            <w:vAlign w:val="bottom"/>
          </w:tcPr>
          <w:p>
            <w:pPr>
              <w:spacing w:after="0"/>
              <w:rPr>
                <w:sz w:val="16"/>
                <w:szCs w:val="16"/>
                <w:color w:val="auto"/>
              </w:rPr>
            </w:pPr>
          </w:p>
        </w:tc>
        <w:tc>
          <w:tcPr>
            <w:tcW w:w="248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9"/>
        </w:trPr>
        <w:tc>
          <w:tcPr>
            <w:tcW w:w="442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20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2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20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5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3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5"/>
              </w:rPr>
              <w:t>$ 1,311,028</w:t>
            </w:r>
          </w:p>
        </w:tc>
        <w:tc>
          <w:tcPr>
            <w:tcW w:w="60" w:type="dxa"/>
            <w:vAlign w:val="bottom"/>
          </w:tcPr>
          <w:p>
            <w:pPr>
              <w:spacing w:after="0"/>
              <w:rPr>
                <w:sz w:val="18"/>
                <w:szCs w:val="18"/>
                <w:color w:val="auto"/>
              </w:rPr>
            </w:pPr>
          </w:p>
        </w:tc>
      </w:tr>
      <w:tr>
        <w:trPr>
          <w:trHeight w:val="196"/>
        </w:trPr>
        <w:tc>
          <w:tcPr>
            <w:tcW w:w="44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2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2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204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52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3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$1,177,617</w:t>
            </w: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1080" w:right="80" w:hanging="532"/>
        <w:spacing w:after="0" w:line="282" w:lineRule="auto"/>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Please also refer to note 7.4.</w:t>
      </w:r>
    </w:p>
    <w:p>
      <w:pPr>
        <w:spacing w:after="0" w:line="5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75"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480" w:type="dxa"/>
            <w:vAlign w:val="bottom"/>
            <w:gridSpan w:val="2"/>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KPMG LLP</w:t>
            </w:r>
          </w:p>
        </w:tc>
        <w:tc>
          <w:tcPr>
            <w:tcW w:w="116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shd w:val="clear" w:color="auto" w:fill="CCEEFF"/>
          </w:tcPr>
          <w:p>
            <w:pPr>
              <w:spacing w:after="0"/>
              <w:rPr>
                <w:sz w:val="18"/>
                <w:szCs w:val="18"/>
                <w:color w:val="auto"/>
              </w:rPr>
            </w:pP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4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SThree Partnership LLP</w:t>
            </w:r>
          </w:p>
        </w:tc>
        <w:tc>
          <w:tcPr>
            <w:tcW w:w="248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left="560" w:right="180"/>
        <w:spacing w:after="0" w:line="258"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40"/>
          </w:cols>
          <w:pgMar w:left="320" w:top="455" w:right="5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2.22 Income taxes</w:t>
      </w:r>
    </w:p>
    <w:p>
      <w:pPr>
        <w:spacing w:after="0" w:line="121"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79"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68"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2.23 Loss and earnings per share</w:t>
      </w:r>
    </w:p>
    <w:p>
      <w:pPr>
        <w:spacing w:after="0" w:line="121"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ind w:left="560" w:right="200"/>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79"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68"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68" w:lineRule="exact"/>
        <w:rPr>
          <w:sz w:val="20"/>
          <w:szCs w:val="20"/>
          <w:color w:val="auto"/>
        </w:rPr>
      </w:pPr>
    </w:p>
    <w:p>
      <w:pPr>
        <w:ind w:left="560" w:right="60"/>
        <w:spacing w:after="0" w:line="289" w:lineRule="auto"/>
        <w:rPr>
          <w:sz w:val="20"/>
          <w:szCs w:val="20"/>
          <w:color w:val="auto"/>
        </w:rPr>
      </w:pPr>
      <w:r>
        <w:rPr>
          <w:rFonts w:ascii="Times New Roman" w:cs="Times New Roman" w:eastAsia="Times New Roman" w:hAnsi="Times New Roman"/>
          <w:sz w:val="17"/>
          <w:szCs w:val="17"/>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7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380" w:type="dxa"/>
            <w:vAlign w:val="bottom"/>
          </w:tcPr>
          <w:p>
            <w:pPr>
              <w:spacing w:after="0"/>
              <w:rPr>
                <w:sz w:val="15"/>
                <w:szCs w:val="15"/>
                <w:color w:val="auto"/>
              </w:rPr>
            </w:pPr>
          </w:p>
        </w:tc>
        <w:tc>
          <w:tcPr>
            <w:tcW w:w="17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(note 7.3)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3,428,571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140,000</w:t>
            </w:r>
          </w:p>
        </w:tc>
        <w:tc>
          <w:tcPr>
            <w:tcW w:w="6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140,000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7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5,200,000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28,039,517</w:t>
            </w:r>
          </w:p>
        </w:tc>
        <w:tc>
          <w:tcPr>
            <w:tcW w:w="6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28,039,517</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to related party (note 7.1)</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1,037,575</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33,146,658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36,808,088</w:t>
            </w: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332" w:lineRule="exact"/>
        <w:rPr>
          <w:sz w:val="20"/>
          <w:szCs w:val="20"/>
          <w:color w:val="auto"/>
        </w:rPr>
      </w:pPr>
    </w:p>
    <w:p>
      <w:pPr>
        <w:ind w:left="560" w:right="6960" w:hanging="444"/>
        <w:spacing w:after="0" w:line="400" w:lineRule="auto"/>
        <w:tabs>
          <w:tab w:leader="none" w:pos="552" w:val="left"/>
        </w:tabs>
        <w:numPr>
          <w:ilvl w:val="0"/>
          <w:numId w:val="3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ASC 326 “Financial Instruments—Credit Losses”</w:t>
      </w:r>
    </w:p>
    <w:p>
      <w:pPr>
        <w:ind w:left="5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75" w:lineRule="exact"/>
        <w:rPr>
          <w:rFonts w:ascii="Times New Roman" w:cs="Times New Roman" w:eastAsia="Times New Roman" w:hAnsi="Times New Roman"/>
          <w:sz w:val="17"/>
          <w:szCs w:val="17"/>
          <w:b w:val="1"/>
          <w:bCs w:val="1"/>
          <w:color w:val="auto"/>
        </w:rPr>
      </w:pPr>
    </w:p>
    <w:p>
      <w:pPr>
        <w:ind w:left="560" w:right="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53" w:lineRule="exact"/>
        <w:rPr>
          <w:rFonts w:ascii="Times New Roman" w:cs="Times New Roman" w:eastAsia="Times New Roman" w:hAnsi="Times New Roman"/>
          <w:sz w:val="17"/>
          <w:szCs w:val="17"/>
          <w:b w:val="1"/>
          <w:bCs w:val="1"/>
          <w:color w:val="auto"/>
        </w:rPr>
      </w:pPr>
    </w:p>
    <w:p>
      <w:pPr>
        <w:ind w:left="560" w:right="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79" w:lineRule="exact"/>
        <w:rPr>
          <w:rFonts w:ascii="Times New Roman" w:cs="Times New Roman" w:eastAsia="Times New Roman" w:hAnsi="Times New Roman"/>
          <w:sz w:val="17"/>
          <w:szCs w:val="17"/>
          <w:b w:val="1"/>
          <w:bCs w:val="1"/>
          <w:color w:val="auto"/>
        </w:rPr>
      </w:pPr>
    </w:p>
    <w:p>
      <w:pPr>
        <w:ind w:left="560" w:right="2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130,309</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140,432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219,421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27,690</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440,846</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Loans Receivable</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81"/>
              </w:rPr>
              <w:t>— </w:t>
            </w:r>
          </w:p>
        </w:tc>
        <w:tc>
          <w:tcPr>
            <w:tcW w:w="1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81"/>
              </w:rPr>
              <w:t>— </w:t>
            </w:r>
          </w:p>
        </w:tc>
        <w:tc>
          <w:tcPr>
            <w:tcW w:w="11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loans receivable consists of:</w:t>
      </w:r>
    </w:p>
    <w:p>
      <w:pPr>
        <w:spacing w:after="0" w:line="131" w:lineRule="exact"/>
        <w:rPr>
          <w:sz w:val="20"/>
          <w:szCs w:val="20"/>
          <w:color w:val="auto"/>
        </w:rPr>
      </w:pPr>
    </w:p>
    <w:p>
      <w:pPr>
        <w:ind w:left="1080" w:right="80" w:hanging="424"/>
        <w:spacing w:after="0" w:line="258" w:lineRule="auto"/>
        <w:tabs>
          <w:tab w:leader="none" w:pos="10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3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(115,837)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(71,281)</w:t>
            </w: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1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110,998</w:t>
            </w:r>
          </w:p>
        </w:tc>
        <w:tc>
          <w:tcPr>
            <w:tcW w:w="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18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F-25</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$44,556 and $37,917 respectively.</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6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1,862,465</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989,400</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w:t>
            </w:r>
          </w:p>
        </w:tc>
        <w:tc>
          <w:tcPr>
            <w:tcW w:w="160" w:type="dxa"/>
            <w:vAlign w:val="bottom"/>
          </w:tcPr>
          <w:p>
            <w:pPr>
              <w:spacing w:after="0"/>
              <w:rPr>
                <w:sz w:val="18"/>
                <w:szCs w:val="18"/>
                <w:color w:val="auto"/>
              </w:rPr>
            </w:pPr>
          </w:p>
        </w:tc>
        <w:tc>
          <w:tcPr>
            <w:tcW w:w="19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(736,834)</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(538,954)</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450,446</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Amortization expense for each of the years ended December 31, 2023 and 2022 was $197,800.</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30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As of December 31, 2023, expected amortization expense over the remaining intangible asset lives is as follows: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040" w:type="dxa"/>
            <w:vAlign w:val="bottom"/>
            <w:vMerge w:val="restart"/>
          </w:tcPr>
          <w:p>
            <w:pPr>
              <w:spacing w:after="0"/>
              <w:rPr>
                <w:sz w:val="21"/>
                <w:szCs w:val="21"/>
                <w:color w:val="auto"/>
              </w:rPr>
            </w:pPr>
          </w:p>
        </w:tc>
        <w:tc>
          <w:tcPr>
            <w:tcW w:w="440" w:type="dxa"/>
            <w:vAlign w:val="bottom"/>
            <w:vMerge w:val="restart"/>
          </w:tcPr>
          <w:p>
            <w:pPr>
              <w:spacing w:after="0"/>
              <w:rPr>
                <w:sz w:val="21"/>
                <w:szCs w:val="21"/>
                <w:color w:val="auto"/>
              </w:rPr>
            </w:pPr>
          </w:p>
        </w:tc>
        <w:tc>
          <w:tcPr>
            <w:tcW w:w="4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183,578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445,453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376,468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1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1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1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to related parties (8.1)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6,225,815</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(8.4)</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payable (8.2)</w:t>
            </w:r>
          </w:p>
        </w:tc>
        <w:tc>
          <w:tcPr>
            <w:tcW w:w="1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8,223,928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liability (8.5)</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1,311,028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31,088,259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debt and other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liability (8.4)</w:t>
            </w:r>
          </w:p>
        </w:tc>
        <w:tc>
          <w:tcPr>
            <w:tcW w:w="140" w:type="dxa"/>
            <w:vAlign w:val="bottom"/>
          </w:tcPr>
          <w:p>
            <w:pPr>
              <w:spacing w:after="0"/>
              <w:rPr>
                <w:sz w:val="18"/>
                <w:szCs w:val="18"/>
                <w:color w:val="auto"/>
              </w:rPr>
            </w:pPr>
          </w:p>
        </w:tc>
        <w:tc>
          <w:tcPr>
            <w:tcW w:w="18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1,177,617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25,302,709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080" w:right="22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color w:val="auto"/>
        </w:rPr>
        <w:t>Unsecured interest free loan taken from related party (DBLP Sea Cow Ltd) of $447,067 is repayable on demand. During the year ended December 31, 2023, the Company repaid $250,000 to DBLP Sea Cow Ltd. Additionally, DBLP Sea Cow Ltd is owed $191,405 for amounts to be re-imbursed for expenses incurred on behalf of Rezolve at Deceber 31, 2023, nil for 2022.</w:t>
      </w:r>
    </w:p>
    <w:p>
      <w:pPr>
        <w:spacing w:after="0" w:line="72"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5" w:right="4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94" w:lineRule="exact"/>
        <w:rPr>
          <w:sz w:val="20"/>
          <w:szCs w:val="20"/>
          <w:color w:val="auto"/>
        </w:rPr>
      </w:pPr>
    </w:p>
    <w:p>
      <w:pPr>
        <w:ind w:left="1540" w:right="40" w:hanging="331"/>
        <w:spacing w:after="0" w:line="282" w:lineRule="auto"/>
        <w:tabs>
          <w:tab w:leader="none" w:pos="1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1540" w:right="20" w:hanging="331"/>
        <w:spacing w:after="0" w:line="261" w:lineRule="auto"/>
        <w:tabs>
          <w:tab w:leader="none" w:pos="1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27" w:lineRule="exact"/>
        <w:rPr>
          <w:sz w:val="20"/>
          <w:szCs w:val="20"/>
          <w:color w:val="auto"/>
        </w:rPr>
      </w:pPr>
    </w:p>
    <w:p>
      <w:pPr>
        <w:ind w:left="1080" w:right="20" w:hanging="539"/>
        <w:spacing w:after="0" w:line="25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9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color w:val="auto"/>
        </w:rPr>
        <w:t>On December 17, 2021, the Company and Armada Acquisition Corp I, a special purpose acquisition company (“SPAC”) listed on the</w:t>
      </w: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Nasdaq Capital Market (“NASDAQ”), and certain other parties entered into a definitive agreement for a business combination that would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result in Rezolve becoming a publicly listed company upon completion of the aforementioned transaction. The transaction included a</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$41 million fully committed private placement of ordinary shares of the combined company (the “PIPE”), $20 million of which has been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advanced to Rezolve pursuant to a secured convertible loan note as further described below. The transaction is expected to close by the end</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of 2024.</w:t>
      </w:r>
    </w:p>
    <w:p>
      <w:pPr>
        <w:spacing w:after="0" w:line="99"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340"/>
        <w:spacing w:after="0" w:line="282" w:lineRule="auto"/>
        <w:rPr>
          <w:sz w:val="20"/>
          <w:szCs w:val="20"/>
          <w:color w:val="auto"/>
        </w:rPr>
      </w:pPr>
      <w:r>
        <w:rPr>
          <w:rFonts w:ascii="Times New Roman" w:cs="Times New Roman" w:eastAsia="Times New Roman" w:hAnsi="Times New Roman"/>
          <w:sz w:val="18"/>
          <w:szCs w:val="18"/>
          <w:color w:val="auto"/>
        </w:rPr>
        <w:t>$20 million. Prior to amending the terms on May 23, 2023 (further below), these notes were due to mature on December 16, 2023, and were redeemable by the noteholder on the occurrence of:</w:t>
      </w:r>
    </w:p>
    <w:p>
      <w:pPr>
        <w:spacing w:after="0" w:line="67" w:lineRule="exact"/>
        <w:rPr>
          <w:sz w:val="20"/>
          <w:szCs w:val="20"/>
          <w:color w:val="auto"/>
        </w:rPr>
      </w:pPr>
    </w:p>
    <w:p>
      <w:pPr>
        <w:ind w:left="1540" w:hanging="331"/>
        <w:spacing w:after="0"/>
        <w:tabs>
          <w:tab w:leader="none" w:pos="15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30" w:lineRule="exact"/>
        <w:rPr>
          <w:rFonts w:ascii="Times New Roman" w:cs="Times New Roman" w:eastAsia="Times New Roman" w:hAnsi="Times New Roman"/>
          <w:sz w:val="18"/>
          <w:szCs w:val="18"/>
          <w:color w:val="auto"/>
        </w:rPr>
      </w:pPr>
    </w:p>
    <w:p>
      <w:pPr>
        <w:jc w:val="both"/>
        <w:ind w:left="1540" w:right="140" w:hanging="331"/>
        <w:spacing w:after="0" w:line="266" w:lineRule="auto"/>
        <w:tabs>
          <w:tab w:leader="none" w:pos="15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68"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31" w:lineRule="exact"/>
        <w:rPr>
          <w:sz w:val="20"/>
          <w:szCs w:val="20"/>
          <w:color w:val="auto"/>
        </w:rPr>
      </w:pPr>
    </w:p>
    <w:p>
      <w:pPr>
        <w:ind w:left="1540" w:hanging="331"/>
        <w:spacing w:after="0"/>
        <w:tabs>
          <w:tab w:leader="none" w:pos="1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117"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5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72"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3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31" w:lineRule="exact"/>
        <w:rPr>
          <w:sz w:val="20"/>
          <w:szCs w:val="20"/>
          <w:color w:val="auto"/>
        </w:rPr>
      </w:pPr>
    </w:p>
    <w:p>
      <w:pPr>
        <w:ind w:left="1540" w:hanging="331"/>
        <w:spacing w:after="0"/>
        <w:tabs>
          <w:tab w:leader="none" w:pos="15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30" w:lineRule="exact"/>
        <w:rPr>
          <w:rFonts w:ascii="Times New Roman" w:cs="Times New Roman" w:eastAsia="Times New Roman" w:hAnsi="Times New Roman"/>
          <w:sz w:val="18"/>
          <w:szCs w:val="18"/>
          <w:color w:val="auto"/>
        </w:rPr>
      </w:pPr>
    </w:p>
    <w:p>
      <w:pPr>
        <w:ind w:left="2200" w:right="800" w:hanging="545"/>
        <w:spacing w:after="0" w:line="282" w:lineRule="auto"/>
        <w:tabs>
          <w:tab w:leader="none" w:pos="220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2200" w:hanging="545"/>
        <w:spacing w:after="0"/>
        <w:tabs>
          <w:tab w:leader="none" w:pos="2200"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30" w:lineRule="exact"/>
        <w:rPr>
          <w:rFonts w:ascii="Times New Roman" w:cs="Times New Roman" w:eastAsia="Times New Roman" w:hAnsi="Times New Roman"/>
          <w:sz w:val="18"/>
          <w:szCs w:val="18"/>
          <w:color w:val="auto"/>
        </w:rPr>
      </w:pPr>
    </w:p>
    <w:p>
      <w:pPr>
        <w:ind w:left="2200" w:right="560" w:hanging="545"/>
        <w:spacing w:after="0" w:line="282" w:lineRule="auto"/>
        <w:tabs>
          <w:tab w:leader="none" w:pos="2200"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85" w:lineRule="exact"/>
        <w:rPr>
          <w:sz w:val="20"/>
          <w:szCs w:val="20"/>
          <w:color w:val="auto"/>
        </w:rPr>
      </w:pPr>
    </w:p>
    <w:p>
      <w:pPr>
        <w:ind w:left="1540" w:right="80" w:hanging="439"/>
        <w:spacing w:after="0" w:line="261" w:lineRule="auto"/>
        <w:tabs>
          <w:tab w:leader="none" w:pos="15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72"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busineI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89" w:lineRule="exact"/>
        <w:rPr>
          <w:sz w:val="20"/>
          <w:szCs w:val="20"/>
          <w:color w:val="auto"/>
        </w:rPr>
      </w:pPr>
    </w:p>
    <w:p>
      <w:pPr>
        <w:jc w:val="center"/>
        <w:ind w:left="520" w:right="900"/>
        <w:spacing w:after="0" w:line="454" w:lineRule="auto"/>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 F-29</w:t>
      </w:r>
    </w:p>
    <w:p>
      <w:pPr>
        <w:sectPr>
          <w:pgSz w:w="11900" w:h="16838" w:orient="portrait"/>
          <w:cols w:equalWidth="0" w:num="1">
            <w:col w:w="11080"/>
          </w:cols>
          <w:pgMar w:left="320" w:top="455" w:right="49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May 23, 2023, and extension to the maturity date to at least December 31, 2024, the Company classified the Convertible debt as non-current as at December 31, 2022 under the guidance in ASC 470-10-45-14.</w:t>
      </w:r>
    </w:p>
    <w:p>
      <w:pPr>
        <w:spacing w:after="0" w:line="5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54" w:lineRule="exact"/>
        <w:rPr>
          <w:sz w:val="20"/>
          <w:szCs w:val="20"/>
          <w:color w:val="auto"/>
        </w:rPr>
      </w:pPr>
    </w:p>
    <w:p>
      <w:pPr>
        <w:jc w:val="both"/>
        <w:ind w:left="1100" w:right="80"/>
        <w:spacing w:after="0" w:line="266"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debt</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notes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24,000,000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3,221,233</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140" w:type="dxa"/>
            <w:vAlign w:val="bottom"/>
          </w:tcPr>
          <w:p>
            <w:pPr>
              <w:spacing w:after="0"/>
              <w:rPr>
                <w:sz w:val="18"/>
                <w:szCs w:val="18"/>
                <w:color w:val="auto"/>
              </w:rPr>
            </w:pP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(1,918,524)</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0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25,302,709</w:t>
            </w:r>
          </w:p>
        </w:tc>
      </w:tr>
      <w:tr>
        <w:trPr>
          <w:trHeight w:val="20"/>
        </w:trPr>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117"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debt</w:t>
            </w:r>
          </w:p>
        </w:tc>
        <w:tc>
          <w:tcPr>
            <w:tcW w:w="1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7,269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3,221,233</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163,976</w:t>
            </w:r>
          </w:p>
        </w:tc>
      </w:tr>
      <w:tr>
        <w:trPr>
          <w:trHeight w:val="232"/>
        </w:trPr>
        <w:tc>
          <w:tcPr>
            <w:tcW w:w="3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10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3,385,209</w:t>
            </w:r>
          </w:p>
        </w:tc>
        <w:tc>
          <w:tcPr>
            <w:tcW w:w="40" w:type="dxa"/>
            <w:vAlign w:val="bottom"/>
          </w:tcPr>
          <w:p>
            <w:pPr>
              <w:spacing w:after="0"/>
              <w:rPr>
                <w:sz w:val="20"/>
                <w:szCs w:val="20"/>
                <w:color w:val="auto"/>
              </w:rPr>
            </w:pPr>
          </w:p>
        </w:tc>
      </w:tr>
    </w:tbl>
    <w:p>
      <w:pPr>
        <w:spacing w:after="0" w:line="90" w:lineRule="exact"/>
        <w:rPr>
          <w:sz w:val="20"/>
          <w:szCs w:val="20"/>
          <w:color w:val="auto"/>
        </w:rPr>
      </w:pPr>
    </w:p>
    <w:p>
      <w:pPr>
        <w:ind w:left="1080" w:right="18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67" w:lineRule="exact"/>
        <w:rPr>
          <w:sz w:val="20"/>
          <w:szCs w:val="20"/>
          <w:color w:val="auto"/>
        </w:rPr>
      </w:pPr>
    </w:p>
    <w:p>
      <w:pPr>
        <w:ind w:left="1080" w:hanging="539"/>
        <w:spacing w:after="0" w:line="25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rFonts w:ascii="Times New Roman" w:cs="Times New Roman" w:eastAsia="Times New Roman" w:hAnsi="Times New Roman"/>
          <w:sz w:val="18"/>
          <w:szCs w:val="18"/>
          <w:b w:val="1"/>
          <w:bCs w:val="1"/>
          <w:color w:val="auto"/>
        </w:rPr>
      </w:pPr>
    </w:p>
    <w:p>
      <w:pPr>
        <w:ind w:left="5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332"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at nominal value in lieu of services</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83" w:lineRule="exact"/>
        <w:rPr>
          <w:rFonts w:ascii="Times New Roman" w:cs="Times New Roman" w:eastAsia="Times New Roman" w:hAnsi="Times New Roman"/>
          <w:sz w:val="18"/>
          <w:szCs w:val="18"/>
          <w:b w:val="1"/>
          <w:bCs w:val="1"/>
          <w:color w:val="auto"/>
        </w:rPr>
      </w:pPr>
    </w:p>
    <w:p>
      <w:pPr>
        <w:ind w:left="5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331" w:lineRule="exact"/>
        <w:rPr>
          <w:rFonts w:ascii="Times New Roman" w:cs="Times New Roman" w:eastAsia="Times New Roman" w:hAnsi="Times New Roman"/>
          <w:sz w:val="18"/>
          <w:szCs w:val="18"/>
          <w:b w:val="1"/>
          <w:bCs w:val="1"/>
          <w:color w:val="auto"/>
        </w:rPr>
      </w:pPr>
    </w:p>
    <w:p>
      <w:pPr>
        <w:ind w:left="560" w:right="8480" w:hanging="444"/>
        <w:spacing w:after="0" w:line="400" w:lineRule="auto"/>
        <w:tabs>
          <w:tab w:leader="none" w:pos="552" w:val="left"/>
        </w:tabs>
        <w:numPr>
          <w:ilvl w:val="0"/>
          <w:numId w:val="3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11.1 2022 LTIP Plan</w:t>
      </w:r>
    </w:p>
    <w:p>
      <w:pPr>
        <w:ind w:left="560" w:right="1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79" w:lineRule="exact"/>
        <w:rPr>
          <w:rFonts w:ascii="Times New Roman" w:cs="Times New Roman" w:eastAsia="Times New Roman" w:hAnsi="Times New Roman"/>
          <w:sz w:val="17"/>
          <w:szCs w:val="17"/>
          <w:b w:val="1"/>
          <w:bCs w:val="1"/>
          <w:color w:val="auto"/>
        </w:rPr>
      </w:pPr>
    </w:p>
    <w:p>
      <w:pPr>
        <w:ind w:left="560" w:right="2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9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 5.1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 - 63.5%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 - 4.2%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bl>
    <w:p>
      <w:pPr>
        <w:spacing w:after="0" w:line="103" w:lineRule="exact"/>
        <w:rPr>
          <w:sz w:val="20"/>
          <w:szCs w:val="20"/>
          <w:color w:val="auto"/>
        </w:rPr>
      </w:pPr>
    </w:p>
    <w:p>
      <w:pPr>
        <w:ind w:left="1080" w:right="660" w:hanging="532"/>
        <w:spacing w:after="0" w:line="282"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117"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2022 was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15,750,000</w:t>
            </w: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£ 0.0001</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£ 0.0001</w:t>
            </w:r>
          </w:p>
        </w:tc>
        <w:tc>
          <w:tcPr>
            <w:tcW w:w="6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2022 was $1.20. The total fair value of the options that vested during the year ended December 31, 2022 was $6,982,500.</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2022.</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$11.6 million of unrecognized share-based compensation expense related to share options. This cost is expected to be recognized over a weighted-average period of 15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11.3 2023 LTIP Plan</w:t>
      </w:r>
    </w:p>
    <w:p>
      <w:pPr>
        <w:spacing w:after="0" w:line="12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31" w:lineRule="exact"/>
        <w:rPr>
          <w:sz w:val="20"/>
          <w:szCs w:val="20"/>
          <w:color w:val="auto"/>
        </w:rPr>
      </w:pPr>
    </w:p>
    <w:p>
      <w:pPr>
        <w:ind w:left="1080" w:right="300" w:hanging="424"/>
        <w:spacing w:after="0" w:line="282"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117"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54"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 5.1</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59.6% - 63.5%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 - 4.2%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03" w:lineRule="exact"/>
        <w:rPr>
          <w:sz w:val="20"/>
          <w:szCs w:val="20"/>
          <w:color w:val="auto"/>
        </w:rPr>
      </w:pPr>
    </w:p>
    <w:p>
      <w:pPr>
        <w:ind w:left="1080" w:right="600" w:hanging="532"/>
        <w:spacing w:after="0" w:line="282"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40"/>
          </w:cols>
          <w:pgMar w:left="320" w:top="455" w:right="5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2023 was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49,305,537</w:t>
            </w: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£ 0.0001</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£ 0.0001</w:t>
            </w:r>
          </w:p>
        </w:tc>
        <w:tc>
          <w:tcPr>
            <w:tcW w:w="6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2023 was $.10. The total fair value of the options that vested during the year ended December 31, 2022 was $8,725,218.</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2023.</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$7.0 million of unrecognized share-based compensation expense related to share options. This cost is expected to be recognized over a weighted-average period of 19 months.</w:t>
      </w:r>
    </w:p>
    <w:p>
      <w:pPr>
        <w:spacing w:after="0" w:line="306" w:lineRule="exact"/>
        <w:rPr>
          <w:sz w:val="20"/>
          <w:szCs w:val="20"/>
          <w:color w:val="auto"/>
        </w:rPr>
      </w:pPr>
    </w:p>
    <w:p>
      <w:pPr>
        <w:ind w:left="540" w:hanging="424"/>
        <w:spacing w:after="0"/>
        <w:tabs>
          <w:tab w:leader="none" w:pos="54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763,181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9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1,323,842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1,686,609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duty and tax liability</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188,766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11,515</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9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347,848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179,079</w:t>
            </w:r>
          </w:p>
        </w:tc>
      </w:tr>
      <w:tr>
        <w:trPr>
          <w:trHeight w:val="27"/>
        </w:trPr>
        <w:tc>
          <w:tcPr>
            <w:tcW w:w="5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2,640,384</w:t>
            </w: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60" w:right="6200" w:hanging="444"/>
        <w:spacing w:after="0" w:line="412" w:lineRule="auto"/>
        <w:tabs>
          <w:tab w:leader="none" w:pos="552"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 expense, net </w:t>
      </w:r>
      <w:r>
        <w:rPr>
          <w:rFonts w:ascii="Times New Roman" w:cs="Times New Roman" w:eastAsia="Times New Roman" w:hAnsi="Times New Roman"/>
          <w:sz w:val="18"/>
          <w:szCs w:val="18"/>
          <w:color w:val="auto"/>
        </w:rPr>
        <w:t>Sales and marketing expenses</w:t>
      </w:r>
    </w:p>
    <w:p>
      <w:pPr>
        <w:sectPr>
          <w:pgSz w:w="11900" w:h="16838" w:orient="portrait"/>
          <w:cols w:equalWidth="0" w:num="1">
            <w:col w:w="11100"/>
          </w:cols>
          <w:pgMar w:left="320" w:top="455" w:right="479" w:bottom="1440" w:gutter="0" w:footer="0" w:header="0"/>
        </w:sectPr>
      </w:pPr>
    </w:p>
    <w:p>
      <w:pPr>
        <w:spacing w:after="0" w:line="3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Advertisement and publicity expenses</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Employee salaries and benefits</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Consultancy charges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Share-based payments to employees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Share-based payments to related parties</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-3175</wp:posOffset>
            </wp:positionV>
            <wp:extent cx="5314950" cy="1454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580" w:hanging="578"/>
        <w:spacing w:after="0"/>
        <w:tabs>
          <w:tab w:leader="none" w:pos="580"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144,584</w:t>
      </w:r>
    </w:p>
    <w:p>
      <w:pPr>
        <w:spacing w:after="0" w:line="1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1,371,468</w:t>
      </w:r>
    </w:p>
    <w:p>
      <w:pPr>
        <w:spacing w:after="0" w:line="9"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1,602,332</w:t>
      </w:r>
    </w:p>
    <w:p>
      <w:pPr>
        <w:spacing w:after="0" w:line="9"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2,649,012</w:t>
      </w:r>
    </w:p>
    <w:p>
      <w:pPr>
        <w:spacing w:after="0" w:line="9"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963,858</w:t>
      </w:r>
    </w:p>
    <w:p>
      <w:pPr>
        <w:spacing w:after="0" w:line="25"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6,731,254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-545465</wp:posOffset>
            </wp:positionV>
            <wp:extent cx="531495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-271145</wp:posOffset>
            </wp:positionV>
            <wp:extent cx="5314950" cy="1454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314950" cy="1454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19685</wp:posOffset>
            </wp:positionV>
            <wp:extent cx="7372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7372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6"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635,166</w:t>
      </w:r>
    </w:p>
    <w:p>
      <w:pPr>
        <w:spacing w:after="0" w:line="7"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1,788,941</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1,538,729</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375,721</w:t>
      </w:r>
    </w:p>
    <w:p>
      <w:pPr>
        <w:spacing w:after="0" w:line="9"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72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4,338,557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372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7372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820" w:space="720"/>
            <w:col w:w="1340" w:space="720"/>
            <w:col w:w="2500"/>
          </w:cols>
          <w:pgMar w:left="320" w:top="455" w:right="479" w:bottom="1440" w:gutter="0" w:footer="0" w:header="0"/>
          <w:type w:val="continuous"/>
        </w:sectPr>
      </w:pPr>
    </w:p>
    <w:p>
      <w:pPr>
        <w:spacing w:after="0" w:line="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1100"/>
          </w:cols>
          <w:pgMar w:left="320" w:top="455" w:right="479" w:bottom="1440" w:gutter="0" w:footer="0" w:header="0"/>
          <w:type w:val="continuous"/>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3"/>
                <w:szCs w:val="13"/>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0" w:type="dxa"/>
            <w:vAlign w:val="bottom"/>
          </w:tcPr>
          <w:p>
            <w:pPr>
              <w:spacing w:after="0"/>
              <w:rPr>
                <w:sz w:val="15"/>
                <w:szCs w:val="15"/>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8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2,274,891</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5,569,989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777,161</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7,136,168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4,340,558</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3,506,501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3,472,170</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8,223,297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2,543,621</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1,739,294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2,083,647</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485,080</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18,417,816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874,045</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1,479,026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86,640,500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0" w:type="dxa"/>
            <w:vAlign w:val="bottom"/>
          </w:tcPr>
          <w:p>
            <w:pPr>
              <w:spacing w:after="0"/>
              <w:rPr>
                <w:sz w:val="15"/>
                <w:szCs w:val="15"/>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(497,978)</w:t>
            </w:r>
          </w:p>
        </w:tc>
        <w:tc>
          <w:tcPr>
            <w:tcW w:w="8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(467,563)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(2,686)</w:t>
            </w:r>
          </w:p>
        </w:tc>
        <w:tc>
          <w:tcPr>
            <w:tcW w:w="8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(256,659)</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Key managerial personnel (KMP) and Members of their immediate families</w:t>
      </w:r>
    </w:p>
    <w:p>
      <w:pPr>
        <w:sectPr>
          <w:pgSz w:w="11900" w:h="16838" w:orient="portrait"/>
          <w:cols w:equalWidth="0" w:num="1">
            <w:col w:w="10940"/>
          </w:cols>
          <w:pgMar w:left="320" w:top="455" w:right="63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Dan Wagner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Richard Burchill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Sauvik Banerjjee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Salman Ahmad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Vesco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Arthur Yao (1)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Anthony Sharp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Sir David Wright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Steve Perry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Derek Smith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Igor Lychagov</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Susan Wagner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products, technology and digital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technical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Rezolve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deputy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 (resigned May 19,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112" w:lineRule="exact"/>
        <w:rPr>
          <w:sz w:val="20"/>
          <w:szCs w:val="20"/>
          <w:color w:val="auto"/>
        </w:rPr>
      </w:pPr>
    </w:p>
    <w:p>
      <w:pPr>
        <w:sectPr>
          <w:pgSz w:w="11900" w:h="16838" w:orient="portrait"/>
          <w:cols w:equalWidth="0" w:num="2">
            <w:col w:w="5240" w:space="720"/>
            <w:col w:w="4980"/>
          </w:cols>
          <w:pgMar w:left="320" w:top="455" w:right="639" w:bottom="1440" w:gutter="0" w:footer="0" w:header="0"/>
          <w:type w:val="continuous"/>
        </w:sectPr>
      </w:pPr>
    </w:p>
    <w:p>
      <w:pPr>
        <w:ind w:left="1080" w:hanging="532"/>
        <w:spacing w:after="0" w:line="282"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2.1—Basis of presentation).</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0940"/>
          </w:cols>
          <w:pgMar w:left="320" w:top="455" w:right="639" w:bottom="1440" w:gutter="0" w:footer="0" w:header="0"/>
          <w:type w:val="continuous"/>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of related parties were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DBLP Sea Cow (2) (number of ordinary shares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in 2–23 – Nil and 2–22 – 27,246,461)</w:t>
            </w:r>
          </w:p>
        </w:tc>
        <w:tc>
          <w:tcPr>
            <w:tcW w:w="13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Loans taken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191,405</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5,587,343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296,067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298,654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222,535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207,395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271,395</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273,761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393,440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188,972</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393,440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188,972</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789,997</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1,183,437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968,782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756,944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33,374,018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1,326,703</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2,449,787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60,556</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60,556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842,746</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3,677,896</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963,858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3,047,505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F-36</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140" w:type="dxa"/>
            <w:vAlign w:val="bottom"/>
          </w:tcPr>
          <w:p>
            <w:pPr>
              <w:spacing w:after="0"/>
              <w:rPr>
                <w:sz w:val="15"/>
                <w:szCs w:val="15"/>
                <w:color w:val="auto"/>
              </w:rPr>
            </w:pPr>
          </w:p>
        </w:tc>
        <w:tc>
          <w:tcPr>
            <w:tcW w:w="202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Consulting fees</w:t>
            </w:r>
          </w:p>
        </w:tc>
        <w:tc>
          <w:tcPr>
            <w:tcW w:w="1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414,926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380,805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7"/>
        </w:trPr>
        <w:tc>
          <w:tcPr>
            <w:tcW w:w="5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1,014,926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980,805</w:t>
            </w:r>
          </w:p>
        </w:tc>
      </w:tr>
      <w:tr>
        <w:trPr>
          <w:trHeight w:val="32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714,926</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680,805</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28"/>
        </w:trPr>
        <w:tc>
          <w:tcPr>
            <w:tcW w:w="51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8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40" w:type="dxa"/>
            <w:vAlign w:val="bottom"/>
          </w:tcPr>
          <w:p>
            <w:pPr>
              <w:spacing w:after="0"/>
              <w:rPr>
                <w:sz w:val="19"/>
                <w:szCs w:val="19"/>
                <w:color w:val="auto"/>
              </w:rPr>
            </w:pPr>
          </w:p>
        </w:tc>
      </w:tr>
      <w:tr>
        <w:trPr>
          <w:trHeight w:val="103"/>
        </w:trPr>
        <w:tc>
          <w:tcPr>
            <w:tcW w:w="5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87,107</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380,084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376,428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93,329</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93,329</w:t>
            </w:r>
          </w:p>
        </w:tc>
      </w:tr>
      <w:tr>
        <w:trPr>
          <w:trHeight w:val="228"/>
        </w:trPr>
        <w:tc>
          <w:tcPr>
            <w:tcW w:w="51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8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40" w:type="dxa"/>
            <w:vAlign w:val="bottom"/>
          </w:tcPr>
          <w:p>
            <w:pPr>
              <w:spacing w:after="0"/>
              <w:rPr>
                <w:sz w:val="19"/>
                <w:szCs w:val="19"/>
                <w:color w:val="auto"/>
              </w:rPr>
            </w:pPr>
          </w:p>
        </w:tc>
      </w:tr>
      <w:tr>
        <w:trPr>
          <w:trHeight w:val="103"/>
        </w:trPr>
        <w:tc>
          <w:tcPr>
            <w:tcW w:w="5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657,647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650,193</w:t>
            </w:r>
          </w:p>
        </w:tc>
      </w:tr>
      <w:tr>
        <w:trPr>
          <w:trHeight w:val="27"/>
        </w:trPr>
        <w:tc>
          <w:tcPr>
            <w:tcW w:w="5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657,647</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650,193</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 remuneration</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2,072,224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869,777</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3,831,291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41,231,704</w:t>
            </w:r>
          </w:p>
        </w:tc>
      </w:tr>
      <w:tr>
        <w:trPr>
          <w:trHeight w:val="27"/>
        </w:trPr>
        <w:tc>
          <w:tcPr>
            <w:tcW w:w="5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5,903,515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42,101,481</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China (3)</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777,161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7,136,168</w:t>
            </w:r>
          </w:p>
        </w:tc>
      </w:tr>
    </w:tbl>
    <w:p>
      <w:pPr>
        <w:spacing w:after="0" w:line="103" w:lineRule="exact"/>
        <w:rPr>
          <w:sz w:val="20"/>
          <w:szCs w:val="20"/>
          <w:color w:val="auto"/>
        </w:rPr>
      </w:pPr>
    </w:p>
    <w:p>
      <w:pPr>
        <w:ind w:left="1080" w:right="360" w:hanging="532"/>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9"/>
        </w:trPr>
        <w:tc>
          <w:tcPr>
            <w:tcW w:w="3240" w:type="dxa"/>
            <w:vAlign w:val="bottom"/>
          </w:tcPr>
          <w:p>
            <w:pPr>
              <w:spacing w:after="0"/>
              <w:rPr>
                <w:sz w:val="12"/>
                <w:szCs w:val="12"/>
                <w:color w:val="auto"/>
              </w:rPr>
            </w:pPr>
          </w:p>
        </w:tc>
        <w:tc>
          <w:tcPr>
            <w:tcW w:w="3020" w:type="dxa"/>
            <w:vAlign w:val="bottom"/>
            <w:gridSpan w:val="2"/>
          </w:tcPr>
          <w:p>
            <w:pPr>
              <w:jc w:val="center"/>
              <w:ind w:left="177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2"/>
                <w:szCs w:val="12"/>
                <w:color w:val="auto"/>
              </w:rPr>
            </w:pPr>
          </w:p>
        </w:tc>
        <w:tc>
          <w:tcPr>
            <w:tcW w:w="1160" w:type="dxa"/>
            <w:vAlign w:val="bottom"/>
          </w:tcPr>
          <w:p>
            <w:pPr>
              <w:jc w:val="right"/>
              <w:ind w:right="45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r>
      <w:tr>
        <w:trPr>
          <w:trHeight w:val="173"/>
        </w:trPr>
        <w:tc>
          <w:tcPr>
            <w:tcW w:w="3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 term debt to related party</w:t>
            </w:r>
          </w:p>
        </w:tc>
        <w:tc>
          <w:tcPr>
            <w:tcW w:w="18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39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447,067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Wagner</w:t>
            </w:r>
          </w:p>
        </w:tc>
        <w:tc>
          <w:tcPr>
            <w:tcW w:w="39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191,405</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860" w:type="dxa"/>
            <w:vAlign w:val="bottom"/>
          </w:tcPr>
          <w:p>
            <w:pPr>
              <w:spacing w:after="0"/>
              <w:rPr>
                <w:sz w:val="18"/>
                <w:szCs w:val="18"/>
                <w:color w:val="auto"/>
              </w:rPr>
            </w:pPr>
          </w:p>
        </w:tc>
        <w:tc>
          <w:tcPr>
            <w:tcW w:w="2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5,587,343</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6,225,815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r>
      <w:tr>
        <w:trPr>
          <w:trHeight w:val="365"/>
        </w:trPr>
        <w:tc>
          <w:tcPr>
            <w:tcW w:w="3240" w:type="dxa"/>
            <w:vAlign w:val="bottom"/>
          </w:tcPr>
          <w:p>
            <w:pPr>
              <w:spacing w:after="0"/>
              <w:rPr>
                <w:sz w:val="24"/>
                <w:szCs w:val="24"/>
                <w:color w:val="auto"/>
              </w:rPr>
            </w:pPr>
          </w:p>
        </w:tc>
        <w:tc>
          <w:tcPr>
            <w:tcW w:w="3920" w:type="dxa"/>
            <w:vAlign w:val="bottom"/>
            <w:gridSpan w:val="3"/>
          </w:tcPr>
          <w:p>
            <w:pPr>
              <w:jc w:val="right"/>
              <w:ind w:right="2800"/>
              <w:spacing w:after="0"/>
              <w:rPr>
                <w:sz w:val="20"/>
                <w:szCs w:val="20"/>
                <w:color w:val="auto"/>
              </w:rPr>
            </w:pPr>
            <w:r>
              <w:rPr>
                <w:rFonts w:ascii="Times New Roman" w:cs="Times New Roman" w:eastAsia="Times New Roman" w:hAnsi="Times New Roman"/>
                <w:sz w:val="18"/>
                <w:szCs w:val="18"/>
                <w:color w:val="auto"/>
              </w:rPr>
              <w:t>F-37</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1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8"/>
        </w:trPr>
        <w:tc>
          <w:tcPr>
            <w:tcW w:w="50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r>
      <w:tr>
        <w:trPr>
          <w:trHeight w:val="173"/>
        </w:trPr>
        <w:tc>
          <w:tcPr>
            <w:tcW w:w="5060" w:type="dxa"/>
            <w:vAlign w:val="bottom"/>
          </w:tcPr>
          <w:p>
            <w:pPr>
              <w:spacing w:after="0"/>
              <w:rPr>
                <w:sz w:val="15"/>
                <w:szCs w:val="15"/>
                <w:color w:val="auto"/>
              </w:rPr>
            </w:pPr>
          </w:p>
        </w:tc>
        <w:tc>
          <w:tcPr>
            <w:tcW w:w="21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88"/>
        </w:trPr>
        <w:tc>
          <w:tcPr>
            <w:tcW w:w="506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to related party</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350,000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225,000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Wagner</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147,605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172,476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21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Yao</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61,945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51,414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31,248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42,906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1,133</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58,320</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127,325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129,460</w:t>
            </w:r>
          </w:p>
        </w:tc>
      </w:tr>
      <w:tr>
        <w:trPr>
          <w:trHeight w:val="228"/>
        </w:trPr>
        <w:tc>
          <w:tcPr>
            <w:tcW w:w="50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9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40" w:type="dxa"/>
            <w:vAlign w:val="bottom"/>
          </w:tcPr>
          <w:p>
            <w:pPr>
              <w:spacing w:after="0"/>
              <w:rPr>
                <w:sz w:val="19"/>
                <w:szCs w:val="19"/>
                <w:color w:val="auto"/>
              </w:rPr>
            </w:pPr>
          </w:p>
        </w:tc>
      </w:tr>
      <w:tr>
        <w:trPr>
          <w:trHeight w:val="103"/>
        </w:trPr>
        <w:tc>
          <w:tcPr>
            <w:tcW w:w="5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 term convertible debt</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132,269</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90"/>
        </w:trPr>
        <w:tc>
          <w:tcPr>
            <w:tcW w:w="5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111,845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111,845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7,999</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7,999</w:t>
            </w:r>
          </w:p>
        </w:tc>
      </w:tr>
      <w:tr>
        <w:trPr>
          <w:trHeight w:val="228"/>
        </w:trPr>
        <w:tc>
          <w:tcPr>
            <w:tcW w:w="50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9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40" w:type="dxa"/>
            <w:vAlign w:val="bottom"/>
          </w:tcPr>
          <w:p>
            <w:pPr>
              <w:spacing w:after="0"/>
              <w:rPr>
                <w:sz w:val="19"/>
                <w:szCs w:val="19"/>
                <w:color w:val="auto"/>
              </w:rPr>
            </w:pPr>
          </w:p>
        </w:tc>
      </w:tr>
    </w:tbl>
    <w:p>
      <w:pPr>
        <w:spacing w:after="0" w:line="98" w:lineRule="exact"/>
        <w:rPr>
          <w:sz w:val="20"/>
          <w:szCs w:val="20"/>
          <w:color w:val="auto"/>
        </w:rPr>
      </w:pPr>
    </w:p>
    <w:p>
      <w:pPr>
        <w:ind w:left="1080" w:right="360" w:hanging="532"/>
        <w:spacing w:after="0" w:line="282" w:lineRule="auto"/>
        <w:tabs>
          <w:tab w:leader="none" w:pos="108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jc w:val="both"/>
        <w:ind w:left="5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320"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53"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our loss (income) before income taxes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2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c>
          <w:tcPr>
            <w:tcW w:w="2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107,945,740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994,933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634,526</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298,927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381,321</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(92,982)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(300,433)</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44,181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2,051,794</w:t>
            </w:r>
          </w:p>
        </w:tc>
      </w:tr>
      <w:tr>
        <w:trPr>
          <w:trHeight w:val="223"/>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30,672,980</w:t>
            </w:r>
          </w:p>
        </w:tc>
        <w:tc>
          <w:tcPr>
            <w:tcW w:w="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100" w:type="dxa"/>
            <w:vAlign w:val="bottom"/>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280" w:type="dxa"/>
            <w:vAlign w:val="bottom"/>
          </w:tcPr>
          <w:p>
            <w:pPr>
              <w:spacing w:after="0"/>
              <w:rPr>
                <w:sz w:val="24"/>
                <w:szCs w:val="24"/>
                <w:color w:val="auto"/>
              </w:rPr>
            </w:pPr>
          </w:p>
        </w:tc>
        <w:tc>
          <w:tcPr>
            <w:tcW w:w="31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F-38</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 Income tax expense (benefit) consists of:</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80" w:type="dxa"/>
            <w:vAlign w:val="bottom"/>
          </w:tcPr>
          <w:p>
            <w:pPr>
              <w:spacing w:after="0"/>
              <w:rPr>
                <w:sz w:val="15"/>
                <w:szCs w:val="15"/>
                <w:color w:val="auto"/>
              </w:rPr>
            </w:pP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63,408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28,126</w:t>
            </w:r>
          </w:p>
        </w:tc>
      </w:tr>
      <w:tr>
        <w:trPr>
          <w:trHeight w:val="27"/>
        </w:trPr>
        <w:tc>
          <w:tcPr>
            <w:tcW w:w="50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63,408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38,765</w:t>
            </w:r>
          </w:p>
        </w:tc>
      </w:tr>
      <w:tr>
        <w:trPr>
          <w:trHeight w:val="20"/>
        </w:trPr>
        <w:tc>
          <w:tcPr>
            <w:tcW w:w="5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(30,672,690)</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(110,712,948)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7,208,082</w:t>
            </w:r>
          </w:p>
        </w:tc>
        <w:tc>
          <w:tcPr>
            <w:tcW w:w="5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21,035,460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(88,195)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(214,299)</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21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(9,845)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282,884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(2,050,426)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(14,818,455)</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(4,996,208)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(6,246,825)</w:t>
            </w: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Pr>
          <w:p>
            <w:pPr>
              <w:spacing w:after="0"/>
              <w:rPr>
                <w:sz w:val="19"/>
                <w:szCs w:val="19"/>
                <w:color w:val="auto"/>
              </w:rPr>
            </w:pPr>
          </w:p>
        </w:tc>
      </w:tr>
    </w:tbl>
    <w:p>
      <w:pPr>
        <w:spacing w:after="0" w:line="117" w:lineRule="exact"/>
        <w:rPr>
          <w:sz w:val="20"/>
          <w:szCs w:val="20"/>
          <w:color w:val="auto"/>
        </w:rPr>
      </w:pPr>
    </w:p>
    <w:p>
      <w:pPr>
        <w:ind w:left="1080" w:hanging="532"/>
        <w:spacing w:after="0" w:line="266"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Subsidiaries in Jurisdiction</w:t>
            </w:r>
          </w:p>
        </w:tc>
        <w:tc>
          <w:tcPr>
            <w:tcW w:w="34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Tax loss carryforward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UK (1)</w:t>
            </w:r>
          </w:p>
        </w:tc>
        <w:tc>
          <w:tcPr>
            <w:tcW w:w="34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191,771,010</w:t>
            </w:r>
          </w:p>
        </w:tc>
        <w:tc>
          <w:tcPr>
            <w:tcW w:w="7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56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5,542,459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5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844,411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3480" w:type="dxa"/>
            <w:vAlign w:val="bottom"/>
          </w:tcPr>
          <w:p>
            <w:pPr>
              <w:spacing w:after="0"/>
              <w:rPr>
                <w:sz w:val="18"/>
                <w:szCs w:val="18"/>
                <w:color w:val="auto"/>
              </w:rPr>
            </w:pPr>
          </w:p>
        </w:tc>
        <w:tc>
          <w:tcPr>
            <w:tcW w:w="21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5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2,359,658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320" w:hanging="532"/>
        <w:spacing w:after="0" w:line="282"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will not be transferred to Rezolve AI Limited in the Demerger. As a result, all tax losses previously created in the UK will be lost upon completion of the Demerger.</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2023 (as restated)</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 (as restated)</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24,388,433</w:t>
            </w:r>
          </w:p>
        </w:tc>
        <w:tc>
          <w:tcPr>
            <w:tcW w:w="7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11,811,695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7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6,882,336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13,857,760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7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(1,281,022)</w:t>
            </w:r>
          </w:p>
        </w:tc>
      </w:tr>
      <w:tr>
        <w:trPr>
          <w:trHeight w:val="27"/>
        </w:trPr>
        <w:tc>
          <w:tcPr>
            <w:tcW w:w="5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24,388,433</w:t>
            </w:r>
          </w:p>
        </w:tc>
      </w:tr>
      <w:tr>
        <w:trPr>
          <w:trHeight w:val="20"/>
        </w:trPr>
        <w:tc>
          <w:tcPr>
            <w:tcW w:w="5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2024, we do not expect any material reductions to our unrecognized tax benefits related to tax positions taken as of December 31, 2023.</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assurance can be given as to the nature or impact of any changes in our unrecognized tax positions during 2023.</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33,754,069</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24,388,433</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PP&amp;E</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1,556,454</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174,267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327,757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294,404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6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8,110,222</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6,325,677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43,748,501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31,185,442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(43,748,501)</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(31,185,442)</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bl>
    <w:p>
      <w:pPr>
        <w:spacing w:after="0" w:line="90"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2023 and December 31, 2022, respectively.</w:t>
      </w:r>
    </w:p>
    <w:p>
      <w:pPr>
        <w:spacing w:after="0" w:line="370" w:lineRule="exact"/>
        <w:rPr>
          <w:sz w:val="20"/>
          <w:szCs w:val="20"/>
          <w:color w:val="auto"/>
        </w:rPr>
      </w:pPr>
    </w:p>
    <w:p>
      <w:pPr>
        <w:ind w:left="540" w:hanging="424"/>
        <w:spacing w:after="0"/>
        <w:tabs>
          <w:tab w:leader="none" w:pos="54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financial statements as of December 31, 2023, we have evaluated subsequent events through April 28, 2024, which is the date such financial statements are available to be issued.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20"/>
          </w:cols>
          <w:pgMar w:left="320" w:top="455" w:right="55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Igor Loan amendment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ind w:left="560" w:right="40"/>
        <w:spacing w:after="0" w:line="251" w:lineRule="auto"/>
        <w:rPr>
          <w:sz w:val="20"/>
          <w:szCs w:val="20"/>
          <w:color w:val="auto"/>
        </w:rPr>
      </w:pPr>
      <w:r>
        <w:rPr>
          <w:rFonts w:ascii="Times New Roman" w:cs="Times New Roman" w:eastAsia="Times New Roman" w:hAnsi="Times New Roman"/>
          <w:sz w:val="18"/>
          <w:szCs w:val="18"/>
          <w:color w:val="auto"/>
        </w:rPr>
        <w:t>€2,000,000.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99" w:lineRule="exact"/>
        <w:rPr>
          <w:sz w:val="20"/>
          <w:szCs w:val="20"/>
          <w:color w:val="auto"/>
        </w:rPr>
      </w:pPr>
    </w:p>
    <w:p>
      <w:pPr>
        <w:ind w:left="2200" w:right="160" w:hanging="545"/>
        <w:spacing w:after="0" w:line="282" w:lineRule="auto"/>
        <w:tabs>
          <w:tab w:leader="none" w:pos="22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2200" w:right="580" w:hanging="545"/>
        <w:spacing w:after="0" w:line="282" w:lineRule="auto"/>
        <w:tabs>
          <w:tab w:leader="none" w:pos="22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2200" w:right="20" w:hanging="545"/>
        <w:spacing w:after="0" w:line="261" w:lineRule="auto"/>
        <w:tabs>
          <w:tab w:leader="none" w:pos="22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w:t>
      </w:r>
    </w:p>
    <w:p>
      <w:pPr>
        <w:spacing w:after="0" w:line="1" w:lineRule="exact"/>
        <w:rPr>
          <w:sz w:val="20"/>
          <w:szCs w:val="20"/>
          <w:color w:val="auto"/>
        </w:rPr>
      </w:pPr>
    </w:p>
    <w:p>
      <w:pPr>
        <w:ind w:left="120" w:right="360" w:hanging="4"/>
        <w:spacing w:after="0" w:line="260" w:lineRule="auto"/>
        <w:tabs>
          <w:tab w:leader="none" w:pos="38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variable price based on 90% of the lowest daily VWAP during 10 consecutive trading days immediately prior to conversion provided that such variable price shall not be lower than the floor price of $2 per share.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r>
      <w:tr>
        <w:trPr>
          <w:trHeight w:val="142"/>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107,722</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60,284</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33,605</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15,771,190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25,324,028</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5,392,262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4,708,050</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10,783</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129,738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2,564,439</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9,771,340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8,587,123</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 at redemption value of</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approximately $11.11 and $10.71 per share at March 31, 2024 and September 30, 2023, 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15,747,446</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25,316,806</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1,417,687 and 2,363,349 shares subject to possible redemption) at March 31, 2024 and September 30,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(9,636,663)</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(8,486,582)</w:t>
            </w: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(9,636,093)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(8,486,012)</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75,600</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55,926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(485,111)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(818,698)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w w:val="97"/>
              </w:rPr>
              <w:t>(1,107,040)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(1,241,013)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(118,811)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(124,198)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270,156</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974,408</w:t>
            </w:r>
          </w:p>
        </w:tc>
        <w:tc>
          <w:tcPr>
            <w:tcW w:w="100" w:type="dxa"/>
            <w:vAlign w:val="bottom"/>
          </w:tcPr>
          <w:p>
            <w:pPr>
              <w:spacing w:after="0"/>
              <w:rPr>
                <w:sz w:val="18"/>
                <w:szCs w:val="18"/>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604,992</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151,345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974,408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480,794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00" w:type="dxa"/>
            <w:vAlign w:val="bottom"/>
          </w:tcPr>
          <w:p>
            <w:pPr>
              <w:spacing w:after="0"/>
              <w:rPr>
                <w:sz w:val="18"/>
                <w:szCs w:val="18"/>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(333,766)</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155,710</w:t>
            </w:r>
          </w:p>
        </w:tc>
        <w:tc>
          <w:tcPr>
            <w:tcW w:w="10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(626,246)</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1,023,068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(47,080)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(182,853)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(114,914)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(443,184)</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(380,846</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(27,143</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(741,160</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possible redemption</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7"/>
              </w:rPr>
              <w:t>1,895,714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7"/>
              </w:rPr>
              <w:t>7,722,273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2,130,809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11,401,124</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7"/>
              </w:rPr>
              <w:t>5,709,500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7"/>
              </w:rPr>
              <w:t>5,709,500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55" w:right="4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100" w:type="dxa"/>
            <w:vAlign w:val="bottom"/>
            <w:gridSpan w:val="4"/>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$(8,486,582)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$(8,486,012)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50,400</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 liability</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(see note 4)</w:t>
            </w:r>
          </w:p>
        </w:tc>
        <w:tc>
          <w:tcPr>
            <w:tcW w:w="4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108,634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108,634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(159,034)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(308,850)</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(360,314)</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$(9,155,746)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$(9,155,176)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198"/>
        </w:trPr>
        <w:tc>
          <w:tcPr>
            <w:tcW w:w="5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 liability</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(see note 4)</w:t>
            </w:r>
          </w:p>
        </w:tc>
        <w:tc>
          <w:tcPr>
            <w:tcW w:w="40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325,826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325,826</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(347,252)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(347,252)</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(100,071)</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(380,846)</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(9,636,663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(9,636,093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800" w:type="dxa"/>
            <w:vAlign w:val="bottom"/>
            <w:gridSpan w:val="20"/>
          </w:tcPr>
          <w:p>
            <w:pPr>
              <w:ind w:left="290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gridSpan w:val="11"/>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57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60" w:type="dxa"/>
            <w:vAlign w:val="bottom"/>
            <w:tcBorders>
              <w:bottom w:val="single" w:sz="8" w:color="auto"/>
            </w:tcBorders>
            <w:gridSpan w:val="11"/>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3"/>
            <w:vMerge w:val="restart"/>
          </w:tcPr>
          <w:p>
            <w:pPr>
              <w:jc w:val="right"/>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6"/>
                <w:szCs w:val="6"/>
                <w:color w:val="auto"/>
              </w:rPr>
            </w:pPr>
          </w:p>
        </w:tc>
        <w:tc>
          <w:tcPr>
            <w:tcW w:w="1000" w:type="dxa"/>
            <w:vAlign w:val="bottom"/>
            <w:gridSpan w:val="2"/>
            <w:vMerge w:val="restart"/>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5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5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$(4,091,693)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$(3,149,327)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607,027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$(5,964,009)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$(4,993,680)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Capital contribution made by Sponsor related to the shareholder non-redemption</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1,102,909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raising capital related to the shareholder non-redemption agreements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(1,102,909)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(997,722)</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(173,077)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(6,833,303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(6,832,733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55" w:right="4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(741,160)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579,884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(604,992)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124,198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55,926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29,824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58,206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684,212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407,667</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43,761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(68,800)</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(378,057)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(1,195,701)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Trust Account for redemptions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10,384,496</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117,079,879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Trust Account to pay for income and franchise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156,174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804,072</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(382,840)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10,157,830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212,161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1,950,000</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 of class A shares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(10,384,496)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(117,079,879)</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(9,732,335)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(115,129,879)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47,438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58,371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235,949</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 and taxes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3,148,417</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Excise tax payable on redemptions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00"/>
          </w:cols>
          <w:pgMar w:left="320" w:top="455" w:right="47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76"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Trust Account or will be forfeited, eliminated or otherwise forgiven. The proceeds of the Extension Note will be deposited in the Trust Account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Charter Amendment as follows: $70,900 to be deposited into the Trust Account within five business days following approval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Charter Amendment by the Company’s stockholders, and up to $354,502 in five equal installments to be deposited into the Trust Account for each of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five one-month extensions. On August 8, 2023, the Company borrowed $70,900 under the Extension Note and deposited the funds into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thereby extending the Termination Date to September 17, 2023, and on September 12, 2023, October 11, 2023, November 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19, 2023 and January 16, 2024 the Company borrowed $70,900 under the Extension Note on each such date and deposited the funds into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thereby extending the Combination Period for five additional months or until February 17, 2024. Payments made on December 19,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January 16, 2024 were funded under the terms of the Subscription Agreement with Polar (see Note 4 below).</w:t>
      </w:r>
    </w:p>
    <w:p>
      <w:pPr>
        <w:spacing w:after="0" w:line="20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8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2024, the Company had $107,722 of cash in its bank operating account and a working capital deficiency of approximately $9.7 million.</w:t>
      </w:r>
    </w:p>
    <w:p>
      <w:pPr>
        <w:spacing w:after="0" w:line="225"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7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8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320" w:top="455" w:right="45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60"/>
          </w:cols>
          <w:pgMar w:left="320" w:top="455" w:right="51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00"/>
          </w:cols>
          <w:pgMar w:left="320" w:top="455" w:right="57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March 31, 2024 and September 30, 2023,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(3,261,589)</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for taxes)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(129,175,094)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25,784,690</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347,252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March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15,747,446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9"/>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gridSpan w:val="4"/>
          </w:tcPr>
          <w:p>
            <w:pPr>
              <w:jc w:val="center"/>
              <w:ind w:right="341"/>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13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9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38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tcPr>
          <w:p>
            <w:pPr>
              <w:spacing w:after="0"/>
              <w:rPr>
                <w:sz w:val="15"/>
                <w:szCs w:val="15"/>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(94,932)</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(285,914)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(15,605)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(11,538)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1,895,714</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5,709,500</w:t>
            </w:r>
          </w:p>
        </w:tc>
        <w:tc>
          <w:tcPr>
            <w:tcW w:w="1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7,722,273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5,709,500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81"/>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348"/>
        </w:trPr>
        <w:tc>
          <w:tcPr>
            <w:tcW w:w="4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gridSpan w:val="8"/>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Six Months Ended March 31,</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380" w:type="dxa"/>
            <w:vAlign w:val="bottom"/>
          </w:tcPr>
          <w:p>
            <w:pPr>
              <w:spacing w:after="0"/>
              <w:rPr>
                <w:sz w:val="12"/>
                <w:szCs w:val="12"/>
                <w:color w:val="auto"/>
              </w:rPr>
            </w:pP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60" w:type="dxa"/>
            <w:vAlign w:val="bottom"/>
          </w:tcPr>
          <w:p>
            <w:pPr>
              <w:spacing w:after="0"/>
              <w:rPr>
                <w:sz w:val="12"/>
                <w:szCs w:val="12"/>
                <w:color w:val="auto"/>
              </w:rPr>
            </w:pPr>
          </w:p>
        </w:tc>
        <w:tc>
          <w:tcPr>
            <w:tcW w:w="7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3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80" w:type="dxa"/>
            <w:vAlign w:val="bottom"/>
          </w:tcPr>
          <w:p>
            <w:pPr>
              <w:spacing w:after="0"/>
              <w:rPr>
                <w:sz w:val="15"/>
                <w:szCs w:val="15"/>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(201,430)</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(539,730)</w:t>
            </w: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386,387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193,497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2,130,809</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5,709,500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11,401,124</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5,709,500</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80"/>
          </w:cols>
          <w:pgMar w:left="320" w:top="455" w:right="49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$0.0001. On June 16, 2021, the Sponsor purchased an additional 700,000 shares of common stock at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$0.006 per share, or an aggregate $4,070, and transferred 50,000 shares to its Chief Executive Officer and to its President and 35,000 shares to each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three independent directors. On July 23, 2021, the Sponsor purchased an additional 1,200,000 shares of common stock at a purchase price of $0.006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or an aggregate $6,975, resulting in the Sponsor holding an aggregate of 6,007,500 shares of common stock and the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independent directors holding an aggregate of 205,000 shares of common stock (such shares, collectively, the “Founder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included an aggregate of up to 1,125,000 shares subject to forfeiture by the Sponsor to the extent that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was not exercised in full or in part. On October 1, 2021 the underwriters’ over-allotment option expired unused resulting in 1,125,000 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forfeited to the Company for no consideration.</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8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40"/>
          </w:cols>
          <w:pgMar w:left="320" w:top="455" w:right="53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8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business combination. The maximum aggregate Investor Capital Contribution is $440,000, with an initial Investor Capital Contribution of</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92"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55" w:right="47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w:t>
      </w:r>
    </w:p>
    <w:p>
      <w:pPr>
        <w:spacing w:after="0" w:line="27"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55" w:right="45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6 — Recurring Fair Value Measurements</w:t>
      </w:r>
    </w:p>
    <w:p>
      <w:pPr>
        <w:spacing w:after="0" w:line="117"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736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34"/>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$15,771,190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$25,324,028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7017385</wp:posOffset>
            </wp:positionH>
            <wp:positionV relativeFrom="paragraph">
              <wp:posOffset>-387985</wp:posOffset>
            </wp:positionV>
            <wp:extent cx="260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-285115</wp:posOffset>
            </wp:positionV>
            <wp:extent cx="260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080"/>
          </w:cols>
          <w:pgMar w:left="320" w:top="455" w:right="49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3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54,405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60,284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25,871,565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25,324,028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5,132,351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4,708,050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78,617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2,564,439</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9,309,990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8,587,123</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shares at redemption value of approximately $10.91 and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$10.71 per share at December 31, 2023 and September 30, 2023, 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25,784,690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25,316,806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2,363,349 and 2,363,349 shares subject to possible redemption) at December 31, 2023 and September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2023, respectively</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159,034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(9,314,780)</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(8,486,582)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(9,155,176)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(8,486,012)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40"/>
          </w:cols>
          <w:pgMar w:left="320" w:top="455" w:right="4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17"/>
        </w:trPr>
        <w:tc>
          <w:tcPr>
            <w:tcW w:w="864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(621,929)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(422,315)</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334,836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1,289,673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1,289,673</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(67,834)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(260,331)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(360,314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2,363,349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15,000,000</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5,709,500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3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36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80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 Capital</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$(8,486,582)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2"/>
              </w:rPr>
              <w:t>$(8,486,012)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50,400</w:t>
            </w:r>
          </w:p>
        </w:tc>
        <w:tc>
          <w:tcPr>
            <w:tcW w:w="3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50,400</w:t>
            </w: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(see note 4)</w:t>
            </w:r>
          </w:p>
        </w:tc>
        <w:tc>
          <w:tcPr>
            <w:tcW w:w="4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108,634</w:t>
            </w:r>
          </w:p>
        </w:tc>
        <w:tc>
          <w:tcPr>
            <w:tcW w:w="3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108,634</w:t>
            </w:r>
          </w:p>
        </w:tc>
        <w:tc>
          <w:tcPr>
            <w:tcW w:w="0" w:type="dxa"/>
            <w:vAlign w:val="bottom"/>
          </w:tcPr>
          <w:p>
            <w:pPr>
              <w:spacing w:after="0"/>
              <w:rPr>
                <w:sz w:val="1"/>
                <w:szCs w:val="1"/>
                <w:color w:val="auto"/>
              </w:rPr>
            </w:pPr>
          </w:p>
        </w:tc>
      </w:tr>
      <w:tr>
        <w:trPr>
          <w:trHeight w:val="198"/>
        </w:trPr>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480" w:type="dxa"/>
            <w:vAlign w:val="bottom"/>
          </w:tcPr>
          <w:p>
            <w:pPr>
              <w:spacing w:after="0"/>
              <w:rPr>
                <w:sz w:val="20"/>
                <w:szCs w:val="20"/>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(467,884)</w:t>
            </w:r>
          </w:p>
        </w:tc>
        <w:tc>
          <w:tcPr>
            <w:tcW w:w="1200" w:type="dxa"/>
            <w:vAlign w:val="bottom"/>
            <w:gridSpan w:val="5"/>
          </w:tcPr>
          <w:p>
            <w:pPr>
              <w:jc w:val="right"/>
              <w:ind w:right="21"/>
              <w:spacing w:after="0"/>
              <w:rPr>
                <w:sz w:val="20"/>
                <w:szCs w:val="20"/>
                <w:color w:val="auto"/>
              </w:rPr>
            </w:pPr>
            <w:r>
              <w:rPr>
                <w:rFonts w:ascii="Times New Roman" w:cs="Times New Roman" w:eastAsia="Times New Roman" w:hAnsi="Times New Roman"/>
                <w:sz w:val="18"/>
                <w:szCs w:val="18"/>
                <w:color w:val="auto"/>
              </w:rPr>
              <w:t>(467,884)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(360,314)</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(360,314)</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159,036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(9,314,780</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(9,155,176</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720" w:type="dxa"/>
            <w:vAlign w:val="bottom"/>
            <w:gridSpan w:val="16"/>
          </w:tcPr>
          <w:p>
            <w:pPr>
              <w:ind w:left="312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tcBorders>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 (audited)</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right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$ 941,796</w:t>
            </w:r>
          </w:p>
        </w:tc>
        <w:tc>
          <w:tcPr>
            <w:tcW w:w="1100" w:type="dxa"/>
            <w:vAlign w:val="bottom"/>
            <w:tcBorders>
              <w:top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6"/>
              </w:rPr>
              <w:t>$ (4,091,693)</w:t>
            </w:r>
          </w:p>
        </w:tc>
        <w:tc>
          <w:tcPr>
            <w:tcW w:w="1200" w:type="dxa"/>
            <w:vAlign w:val="bottom"/>
            <w:tcBorders>
              <w:top w:val="single" w:sz="8" w:color="CCEEFF"/>
            </w:tcBorders>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 (3,149,327)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27,963</w:t>
            </w: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(2,479,343)</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(2,479,343)</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607,027</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$ 969,759</w:t>
            </w: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6"/>
              </w:rPr>
              <w:t>$ (5,964,009)</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 (4,993,680)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55" w:right="43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7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73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(360,314)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607,027</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(1,289,673)</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27,963</w:t>
            </w: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55,678</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24,344</w:t>
            </w: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67,834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260,331</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Franchise tax payable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(115,339)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(264,331)</w:t>
            </w:r>
          </w:p>
        </w:tc>
        <w:tc>
          <w:tcPr>
            <w:tcW w:w="12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(212,701)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(1,500,000)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322,161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1,950,000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185,669</w:t>
            </w: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363,247</w:t>
            </w:r>
          </w:p>
        </w:tc>
        <w:tc>
          <w:tcPr>
            <w:tcW w:w="12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467,884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2,479,343</w:t>
            </w: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108,634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00"/>
          </w:cols>
          <w:pgMar w:left="320" w:top="455" w:right="47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00"/>
          </w:cols>
          <w:pgMar w:left="320" w:top="455" w:right="47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6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8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approximately $54,000 of cash in its bank operating account and a working capital deficiency of approximately $9.1 million (excluding income tax payable and franchise tax payable).</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20"/>
          </w:cols>
          <w:pgMar w:left="320" w:top="455" w:right="45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17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20"/>
          </w:cols>
          <w:pgMar w:left="320" w:top="455" w:right="45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Form10-K, as filed with SEC on December 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00"/>
          </w:cols>
          <w:pgMar w:left="320" w:top="455" w:right="47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00"/>
          </w:cols>
          <w:pgMar w:left="320" w:top="455" w:right="57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December 31, 2023 and September 30, 2023,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150,000,000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(3,261,589)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14,961,589</w:t>
            </w: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for taxes)</w:t>
            </w: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548,862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150,548,862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(129,175,094)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3,943,038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25,316,806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467,884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December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25,784,690</w:t>
            </w:r>
          </w:p>
        </w:tc>
      </w:tr>
      <w:tr>
        <w:trPr>
          <w:trHeight w:val="365"/>
        </w:trPr>
        <w:tc>
          <w:tcPr>
            <w:tcW w:w="584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F-80</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6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1120" w:type="dxa"/>
            <w:vAlign w:val="bottom"/>
            <w:vMerge w:val="restart"/>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Non-</w:t>
            </w:r>
          </w:p>
        </w:tc>
        <w:tc>
          <w:tcPr>
            <w:tcW w:w="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8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0" w:type="dxa"/>
            <w:vAlign w:val="bottom"/>
            <w:gridSpan w:val="2"/>
          </w:tcPr>
          <w:p>
            <w:pPr>
              <w:jc w:val="center"/>
              <w:ind w:left="399"/>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60" w:type="dxa"/>
            <w:vAlign w:val="bottom"/>
          </w:tcPr>
          <w:p>
            <w:pPr>
              <w:spacing w:after="0"/>
              <w:rPr>
                <w:sz w:val="12"/>
                <w:szCs w:val="12"/>
                <w:color w:val="auto"/>
              </w:rPr>
            </w:pPr>
          </w:p>
        </w:tc>
        <w:tc>
          <w:tcPr>
            <w:tcW w:w="1120" w:type="dxa"/>
            <w:vAlign w:val="bottom"/>
          </w:tcPr>
          <w:p>
            <w:pPr>
              <w:jc w:val="center"/>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62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206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6"/>
                <w:szCs w:val="16"/>
                <w:color w:val="auto"/>
              </w:rPr>
            </w:pPr>
          </w:p>
        </w:tc>
        <w:tc>
          <w:tcPr>
            <w:tcW w:w="112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620" w:type="dxa"/>
            <w:vAlign w:val="bottom"/>
          </w:tcPr>
          <w:p>
            <w:pPr>
              <w:spacing w:after="0"/>
              <w:rPr>
                <w:sz w:val="16"/>
                <w:szCs w:val="16"/>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(105,483)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(254,831)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439,673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w w:val="97"/>
              </w:rPr>
              <w:t>2,363,349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99"/>
              </w:rPr>
              <w:t>5,709,500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15,000,000</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5,709,500</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20"/>
          </w:cols>
          <w:pgMar w:left="320" w:top="455" w:right="4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7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recognized $50,400 and $27,963 of stock-based compensation for the three-month periods ended December 31, 2023 and December 31,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080"/>
          </w:cols>
          <w:pgMar w:left="320" w:top="455" w:right="49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060"/>
          </w:cols>
          <w:pgMar w:left="320" w:top="455" w:right="51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80"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040"/>
          </w:cols>
          <w:pgMar w:left="320" w:top="455" w:right="53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The initial Investor Capital Contribution of $110,000 has been funded to the Sponsor, on January 16, 2024, the second Investor Capital Contribution of $110,000 was funded to the Sponsor, and on February 13, 2024, the third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w:t>
      </w:r>
    </w:p>
    <w:p>
      <w:pPr>
        <w:spacing w:after="0" w:line="27"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20"/>
          </w:cols>
          <w:pgMar w:left="320" w:top="455" w:right="45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9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20"/>
          </w:cols>
          <w:pgMar w:left="320" w:top="455" w:right="45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20"/>
          </w:cols>
          <w:pgMar w:left="320" w:top="455" w:right="45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00"/>
          </w:cols>
          <w:pgMar w:left="320" w:top="455" w:right="47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4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55" w:right="4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 Armada Acquisition Corp. 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East Hanover, NJ</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4, 2023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20"/>
          </w:cols>
          <w:pgMar w:left="320" w:top="455" w:right="45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61,942</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25,324,028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150,844,925</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4,708,050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3,137,535</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145,621</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2,564,439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251,754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1,291,751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3,684,910</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and 15,000,000 shares at redemption value of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approximately $10.71 and $10.04 per share at September 30, 2023 and 2022, respectively</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25,316,806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150,548,862</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2,363,349 and 15,000,000 shares subject to possible redemption) at September 30, 2023 and 2022,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941,796</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(8,486,582)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(4,091,693)</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(8,486,012)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(3,149,327)</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25,417,917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151,084,445</w:t>
            </w: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40"/>
          </w:cols>
          <w:pgMar w:left="320" w:top="455" w:right="43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7"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8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218,254</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(2,789,126)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(4,503,115)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3,084,260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1,025,942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295,134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(3,477,173)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(615,284)</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(145,621)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(3,622,794)</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40"/>
          </w:cols>
          <w:pgMar w:left="320" w:top="455" w:right="43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96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12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6,834,500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683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1,378,693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(468,899)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910,477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(1,125,000)</w:t>
            </w:r>
          </w:p>
        </w:tc>
        <w:tc>
          <w:tcPr>
            <w:tcW w:w="18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111,852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(548,862)</w:t>
            </w:r>
          </w:p>
        </w:tc>
        <w:tc>
          <w:tcPr>
            <w:tcW w:w="120" w:type="dxa"/>
            <w:vAlign w:val="bottom"/>
          </w:tcPr>
          <w:p>
            <w:pPr>
              <w:spacing w:after="0"/>
              <w:rPr>
                <w:sz w:val="20"/>
                <w:szCs w:val="20"/>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(3,622,794)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(3,622,794)</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8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(4,091,693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(3,149,327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 the stockholder non-</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agreements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1,102,909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1,102,909</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 non-redemption</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(1,102,909)</w:t>
            </w:r>
          </w:p>
        </w:tc>
        <w:tc>
          <w:tcPr>
            <w:tcW w:w="120" w:type="dxa"/>
            <w:vAlign w:val="bottom"/>
          </w:tcPr>
          <w:p>
            <w:pPr>
              <w:spacing w:after="0"/>
              <w:rPr>
                <w:sz w:val="20"/>
                <w:szCs w:val="20"/>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(1,160,050)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(131,701)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218,254</w:t>
            </w:r>
          </w:p>
        </w:tc>
        <w:tc>
          <w:tcPr>
            <w:tcW w:w="1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218,254</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(3,943,038)</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(320,150)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(320,150)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7"/>
              </w:rPr>
              <w:t>(8,486,582)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(8,486,012)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40"/>
          </w:cols>
          <w:pgMar w:left="320" w:top="455" w:right="43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(320,150)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(3,622,794)</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(3,084,260)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(1,025,942)</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111,852</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398,920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1,570,515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2,954,179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124,329</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145,621</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(1,860,042)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(913,835)</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Trust Account for redemptions of common stock</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129,175,094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Trust Account to pay for taxes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1,071,864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182,069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deposits in Trust Account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(1,641,801)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128,605,157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182,069</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2,316,985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483,034</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Promissory Notes to Related Party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(231,280)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(129,175,094)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(126,862,409)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251,754</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(480,012)</w:t>
            </w: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657,590</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177,578</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3,943,038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548,862</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40"/>
          </w:cols>
          <w:pgMar w:left="320" w:top="455" w:right="43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40"/>
          </w:cols>
          <w:pgMar w:left="320" w:top="455" w:right="43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8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described in Note 1, on February 2, 2023, the stockholders approved an amendment to our certificate of incorporation to extend the Combination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until August 17, 2023, and on August 2, 2023, the stockholders approved a further amendment to our certificate of incorporation to extend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Period for six monthly periods or until no later than February 17, 2024. On August 8, 2023, the Company deposited $70,900 into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thereby extending the Combination Period until September 17, 2023, and on each of September 8, 2023, October 11, 2023 and November 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the Company deposited $70,900 into the Trust Account thereby extending the Combination Period for three additional months or until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17, 2023. However, if the Company is unable to complete the initial Business Combination within the Combination Period, the Company will</w:t>
      </w:r>
    </w:p>
    <w:p>
      <w:pPr>
        <w:spacing w:after="0" w:line="21" w:lineRule="exact"/>
        <w:rPr>
          <w:sz w:val="20"/>
          <w:szCs w:val="20"/>
          <w:color w:val="auto"/>
        </w:rPr>
      </w:pPr>
    </w:p>
    <w:p>
      <w:pPr>
        <w:ind w:left="120" w:right="40" w:hanging="4"/>
        <w:spacing w:after="0" w:line="251" w:lineRule="auto"/>
        <w:tabs>
          <w:tab w:leader="none" w:pos="33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20"/>
          </w:cols>
          <w:pgMar w:left="320" w:top="455" w:right="45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20"/>
          </w:cols>
          <w:pgMar w:left="320" w:top="455" w:right="45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 9, 2023 the Company borrowed $70,900 under the Extension Note on each such date and deposited the funds into the Trust Account thereby extending the Combination Period for three additional months or until December 17, 2023.</w:t>
      </w:r>
    </w:p>
    <w:p>
      <w:pPr>
        <w:spacing w:after="0" w:line="19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August 4, 2023, the Comapny, Rezolve, Rezolve AI, and Rezolve Merger Sub amended the Business Combination Agreement to remove the requirement that after giving effect to the transactions contemplated by the Business Combination Agreement, Rezolve shall have at least $5,000,001 of net tangible assets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00"/>
          </w:cols>
          <w:pgMar w:left="320" w:top="455" w:right="47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determined in accordance with Rule 3a51-1(g)(1) of the Exchange Act) immediately after the closing of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had approximately $60,000 of cash in its bank operating account and a working capital deficiency of approximately $8.5 million (excluding income tax payable and franchise tax payable).</w:t>
      </w:r>
    </w:p>
    <w:p>
      <w:pPr>
        <w:spacing w:after="0" w:line="5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0"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162"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20"/>
          </w:cols>
          <w:pgMar w:left="320" w:top="455" w:right="45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100"/>
          </w:cols>
          <w:pgMar w:left="320" w:top="455" w:right="4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the assets held in the Trust Account were held in U.S. Treasury Bills with a maturity of 185 days or less.</w:t>
      </w:r>
    </w:p>
    <w:p>
      <w:pPr>
        <w:spacing w:after="0" w:line="225"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55" w:right="45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100"/>
          </w:cols>
          <w:pgMar w:left="320" w:top="455" w:right="47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2023 and 2022,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14,961,589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for taxes)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548,862</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(129,175,094)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3,943,038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000"/>
          </w:cols>
          <w:pgMar w:left="320" w:top="455" w:right="57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48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w:t>
            </w:r>
          </w:p>
        </w:tc>
        <w:tc>
          <w:tcPr>
            <w:tcW w:w="10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(179,201)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(140,949)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(2,624,009)</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(998,785)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7,259,013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5,709,500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$218,254 and $111,852 of stock-based compensation for the fiscal years ended September 30, 2023, and 2022,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120"/>
          </w:cols>
          <w:pgMar w:left="320" w:top="455" w:right="4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$0.0001. On June 16, 2021, the Sponsor purchased an additional 700,000 shares of common stock at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$0.006 per share, or an aggregate $4,070, and transferred 50,000 shares to its Chief Executive Officer and to its President and 35,000 shares to each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three independent directors. On July 23, 2021, the Sponsor purchased an additional 1,200,000 shares of common stock at a purchase price of $0.006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or an aggregate $6,975, resulting in the Sponsor holding an aggregate of 6,007,500 shares of common stock and the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independent directors holding an aggregate of 205,000 shares of common stock (such shares, collectively, the “Founder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included an aggregate of up to 1,125,000 shares subject to forfeiture by the Sponsor to the extent that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was not exercised in full or in part. On October 1, 2021 the underwriters’ over-allotment option expired unused resulting in 1,125,000 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forfeited to the Company for no consideration.</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100"/>
          </w:cols>
          <w:pgMar w:left="320" w:top="455" w:right="47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 Sponsor under the remaining promissory note. As of September 30, 2023 and 2022, the net amount outstanding under the promissory note was $247,454 and $251,754, respectively.</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120"/>
          </w:cols>
          <w:pgMar w:left="320" w:top="455" w:right="45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060"/>
          </w:cols>
          <w:pgMar w:left="320" w:top="455" w:right="51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120"/>
          </w:cols>
          <w:pgMar w:left="320" w:top="455" w:right="45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120"/>
          </w:cols>
          <w:pgMar w:left="320" w:top="455" w:right="45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Recurring Fair Value Measurements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54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80" w:type="dxa"/>
            <w:vAlign w:val="bottom"/>
            <w:gridSpan w:val="2"/>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demand deposit account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invested in U.S. Treasury securities as of September 30, 2022, and classified as held-to-maturity and Level 1 in the hierarchy of fair value measurements as follows: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150,844,605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19,242</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150,863,847</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150,844,925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19,242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150,864,167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September 30,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5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140"/>
          </w:cols>
          <w:pgMar w:left="320" w:top="455" w:right="43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120"/>
          </w:cols>
          <w:pgMar w:left="320" w:top="455" w:right="45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Income Tax</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13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13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8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$ 504,667</w:t>
            </w: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$ 351,592</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129,350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83,517</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634,017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435,209</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(634,017)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(435,209)</w:t>
            </w:r>
          </w:p>
        </w:tc>
      </w:tr>
      <w:tr>
        <w:trPr>
          <w:trHeight w:val="238"/>
        </w:trPr>
        <w:tc>
          <w:tcPr>
            <w:tcW w:w="13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4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3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13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Federal</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$ 615,284</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$ 145,621</w:t>
            </w: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8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(198,808)</w:t>
            </w: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(336,741)</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2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198,808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336,741</w:t>
            </w:r>
          </w:p>
        </w:tc>
        <w:tc>
          <w:tcPr>
            <w:tcW w:w="60" w:type="dxa"/>
            <w:vAlign w:val="bottom"/>
            <w:shd w:val="clear" w:color="auto" w:fill="CCEEFF"/>
          </w:tcPr>
          <w:p>
            <w:pPr>
              <w:spacing w:after="0"/>
              <w:rPr>
                <w:sz w:val="18"/>
                <w:szCs w:val="18"/>
                <w:color w:val="auto"/>
              </w:rPr>
            </w:pPr>
          </w:p>
        </w:tc>
      </w:tr>
      <w:tr>
        <w:trPr>
          <w:trHeight w:val="238"/>
        </w:trPr>
        <w:tc>
          <w:tcPr>
            <w:tcW w:w="13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$ 615,284</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$ 145,621</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had $0 of U.S. federal net operating loss carryovers, which do not expire, and no state net operating loss carryovers available to offset future taxable income.</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060"/>
          </w:cols>
          <w:pgMar w:left="320" w:top="455" w:right="51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September 30, 2023 and 2022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800" w:type="dxa"/>
            <w:vAlign w:val="bottom"/>
            <w:gridSpan w:val="2"/>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560" w:type="dxa"/>
            <w:vAlign w:val="bottom"/>
          </w:tcPr>
          <w:p>
            <w:pPr>
              <w:spacing w:after="0"/>
              <w:rPr>
                <w:sz w:val="15"/>
                <w:szCs w:val="15"/>
                <w:color w:val="auto"/>
              </w:rPr>
            </w:pPr>
          </w:p>
        </w:tc>
        <w:tc>
          <w:tcPr>
            <w:tcW w:w="28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21.00%</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0.00%</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0.99%</w:t>
            </w:r>
          </w:p>
        </w:tc>
        <w:tc>
          <w:tcPr>
            <w:tcW w:w="9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expenses</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119.13%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67.40%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207.49%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bl>
    <w:p>
      <w:pPr>
        <w:spacing w:after="0" w:line="17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October 11, 2023, the Company borrowed $70,900 under the Extension Note and deposited the funds into the Trust Account thereby extending the Termination Date to November 17, 2023.</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November 9, 2023, the Company borrowed $70,900 under the Extension Note and deposited the funds into the Trust Account thereby extending the Termination Date to December 17, 2023.</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080"/>
          </w:cols>
          <w:pgMar w:left="320" w:top="455" w:right="49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56" w:lineRule="exact"/>
        <w:rPr>
          <w:sz w:val="20"/>
          <w:szCs w:val="20"/>
          <w:color w:val="auto"/>
        </w:rPr>
      </w:pPr>
    </w:p>
    <w:p>
      <w:pPr>
        <w:ind w:left="120"/>
        <w:spacing w:after="0"/>
        <w:tabs>
          <w:tab w:leader="none" w:pos="101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GROUP LIMITED (Cayman)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DEED OF RELEASE, AMENDMENT AND RESTATEMENT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relating to a business combination agreement dated 17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-119380</wp:posOffset>
            </wp:positionV>
            <wp:extent cx="1431925" cy="2482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431925" cy="24828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 +44 (0)20 7300 7000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Fax +44 (0)20 7300 7100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www.taylorwessing.com</w:t>
      </w:r>
    </w:p>
    <w:p>
      <w:pPr>
        <w:sectPr>
          <w:pgSz w:w="11900" w:h="16838" w:orient="portrait"/>
          <w:cols w:equalWidth="0" w:num="1">
            <w:col w:w="11140"/>
          </w:cols>
          <w:pgMar w:left="320" w:top="455" w:right="43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900" w:type="dxa"/>
            <w:vAlign w:val="bottom"/>
          </w:tcPr>
          <w:p>
            <w:pPr>
              <w:jc w:val="right"/>
              <w:ind w:right="5152"/>
              <w:spacing w:after="0"/>
              <w:rPr>
                <w:sz w:val="20"/>
                <w:szCs w:val="20"/>
                <w:color w:val="auto"/>
              </w:rPr>
            </w:pPr>
            <w:r>
              <w:rPr>
                <w:rFonts w:ascii="Times New Roman" w:cs="Times New Roman" w:eastAsia="Times New Roman" w:hAnsi="Times New Roman"/>
                <w:sz w:val="18"/>
                <w:szCs w:val="18"/>
                <w:b w:val="1"/>
                <w:bCs w:val="1"/>
                <w:color w:val="auto"/>
              </w:rPr>
              <w:t>Index</w:t>
            </w:r>
          </w:p>
        </w:tc>
      </w:tr>
      <w:tr>
        <w:trPr>
          <w:trHeight w:val="408"/>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Clause No.</w:t>
            </w:r>
          </w:p>
        </w:tc>
        <w:tc>
          <w:tcPr>
            <w:tcW w:w="3380" w:type="dxa"/>
            <w:vAlign w:val="bottom"/>
          </w:tcPr>
          <w:p>
            <w:pPr>
              <w:spacing w:after="0"/>
              <w:rPr>
                <w:sz w:val="24"/>
                <w:szCs w:val="24"/>
                <w:color w:val="auto"/>
              </w:rPr>
            </w:pP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080"/>
          </w:cols>
          <w:pgMar w:left="320" w:top="455" w:right="49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THIS DEED </w:t>
      </w:r>
      <w:r>
        <w:rPr>
          <w:rFonts w:ascii="Times New Roman" w:cs="Times New Roman" w:eastAsia="Times New Roman" w:hAnsi="Times New Roman"/>
          <w:sz w:val="18"/>
          <w:szCs w:val="18"/>
          <w:color w:val="auto"/>
        </w:rPr>
        <w:t>is made June 16,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540" w:right="60" w:hanging="424"/>
        <w:spacing w:after="0" w:line="286" w:lineRule="auto"/>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a private company registered under the laws of England and Wales with registration number 09773823 with registered office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Floor 80 New Bond Street, Mayfair, London, United Kingdom, W1S 1SB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540" w:hanging="424"/>
        <w:spacing w:after="0" w:line="286" w:lineRule="auto"/>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AI Limited </w:t>
      </w:r>
      <w:r>
        <w:rPr>
          <w:rFonts w:ascii="Times New Roman" w:cs="Times New Roman" w:eastAsia="Times New Roman" w:hAnsi="Times New Roman"/>
          <w:sz w:val="18"/>
          <w:szCs w:val="18"/>
          <w:color w:val="auto"/>
        </w:rPr>
        <w:t>a private company registered under the laws of England and Wales with registration number 14573691 with 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5 New Street Square, London, United Kingdom, EC4A 3TW (“</w:t>
      </w:r>
      <w:r>
        <w:rPr>
          <w:rFonts w:ascii="Times New Roman" w:cs="Times New Roman" w:eastAsia="Times New Roman" w:hAnsi="Times New Roman"/>
          <w:sz w:val="18"/>
          <w:szCs w:val="18"/>
          <w:b w:val="1"/>
          <w:bCs w:val="1"/>
          <w:color w:val="auto"/>
        </w:rPr>
        <w:t>New Company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a Cayman Islands registered company (“</w:t>
      </w:r>
      <w:r>
        <w:rPr>
          <w:rFonts w:ascii="Times New Roman" w:cs="Times New Roman" w:eastAsia="Times New Roman" w:hAnsi="Times New Roman"/>
          <w:sz w:val="18"/>
          <w:szCs w:val="18"/>
          <w:b w:val="1"/>
          <w:bCs w:val="1"/>
          <w:color w:val="auto"/>
        </w:rPr>
        <w:t>CaymanCo</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Rezolve Merger Sub,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MergerSub</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540" w:right="640" w:hanging="424"/>
        <w:spacing w:after="0" w:line="286" w:lineRule="auto"/>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Armada Acquisition Corp. I </w:t>
      </w:r>
      <w:r>
        <w:rPr>
          <w:rFonts w:ascii="Times New Roman" w:cs="Times New Roman" w:eastAsia="Times New Roman" w:hAnsi="Times New Roman"/>
          <w:sz w:val="18"/>
          <w:szCs w:val="18"/>
          <w:color w:val="auto"/>
        </w:rPr>
        <w:t>with registered office at 2005 Market Street, Suite 3120 Philadelphia, PA 19103, United States of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540" w:right="220" w:hanging="424"/>
        <w:spacing w:after="0" w:line="286" w:lineRule="auto"/>
        <w:tabs>
          <w:tab w:leader="none" w:pos="5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CaymanCo, MergerSub and Armada entered into a business combination agreement (the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dated 17 December 2021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amended by way of a side letter dated 10 November 2022 (the “</w:t>
      </w:r>
      <w:r>
        <w:rPr>
          <w:rFonts w:ascii="Times New Roman" w:cs="Times New Roman" w:eastAsia="Times New Roman" w:hAnsi="Times New Roman"/>
          <w:sz w:val="18"/>
          <w:szCs w:val="18"/>
          <w:b w:val="1"/>
          <w:bCs w:val="1"/>
          <w:color w:val="auto"/>
        </w:rPr>
        <w:t>Side Letter</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Side Letter, it was agreed that CaymanCo be removed as a party to the BCA, such that it was intended that the Company would become the listed entity on Nasdaq upon closing of the SPAC transaction.</w:t>
      </w:r>
    </w:p>
    <w:p>
      <w:pPr>
        <w:spacing w:after="0" w:line="67"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now intended that a demerger be effected pursuant to section 110 Insolvency Act 1986 under which the Company is to enter into a voluntary winding up procedure and part of the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are to be transferred to the New Company in exchange for the issue of shares of the same classes in the New Company for distribution amongst the shareholders in the Company in proportion to their holdings of shares of each class in the Company. Accordingly, it is intended that the New Company will become the listed entity on Nasdaq upon closing of the SPAC transaction.</w:t>
      </w:r>
    </w:p>
    <w:p>
      <w:pPr>
        <w:spacing w:after="0" w:line="94" w:lineRule="exact"/>
        <w:rPr>
          <w:rFonts w:ascii="Times New Roman" w:cs="Times New Roman" w:eastAsia="Times New Roman" w:hAnsi="Times New Roman"/>
          <w:sz w:val="18"/>
          <w:szCs w:val="18"/>
          <w:color w:val="auto"/>
        </w:rPr>
      </w:pPr>
    </w:p>
    <w:p>
      <w:pPr>
        <w:ind w:left="540" w:right="160" w:hanging="424"/>
        <w:spacing w:after="0" w:line="261" w:lineRule="auto"/>
        <w:tabs>
          <w:tab w:leader="none" w:pos="5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Company was not a party to the Original BCA that was entered into on the Effective Date, but the parties have agreed to amend and restate the terms of the Original BCA (as amended by the Side Letter) pursuant to the terms of this deed, whereby, among other things, the New Company will become a party to the BCA when the amendment and restatement of the BCA takes effect, which will occur on the date of this deed.</w:t>
      </w:r>
    </w:p>
    <w:p>
      <w:pPr>
        <w:spacing w:after="0" w:line="85"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CaymanCo is to be released and discharged from its obligations under the BCA, and the Company, the New Company, MergerSub and Armada (each a “</w:t>
      </w:r>
      <w:r>
        <w:rPr>
          <w:rFonts w:ascii="Times New Roman" w:cs="Times New Roman" w:eastAsia="Times New Roman" w:hAnsi="Times New Roman"/>
          <w:sz w:val="18"/>
          <w:szCs w:val="18"/>
          <w:b w:val="1"/>
          <w:bCs w:val="1"/>
          <w:color w:val="auto"/>
        </w:rPr>
        <w:t>Remaining 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Remaining Parties</w:t>
      </w:r>
      <w:r>
        <w:rPr>
          <w:rFonts w:ascii="Times New Roman" w:cs="Times New Roman" w:eastAsia="Times New Roman" w:hAnsi="Times New Roman"/>
          <w:sz w:val="18"/>
          <w:szCs w:val="18"/>
          <w:color w:val="auto"/>
        </w:rPr>
        <w:t>”) are to release and discharge CaymanCo, from the BCA on the basis of each Remaining Party’s agreement to perform, discharge and observe the terms of the BCA (as amended by this deed) as if CaymanCo was not a party to the BCA.</w:t>
      </w:r>
    </w:p>
    <w:p>
      <w:pPr>
        <w:sectPr>
          <w:pgSz w:w="11900" w:h="16838" w:orient="portrait"/>
          <w:cols w:equalWidth="0" w:num="1">
            <w:col w:w="11060"/>
          </w:cols>
          <w:pgMar w:left="320" w:top="455" w:right="51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131" w:lineRule="exact"/>
        <w:rPr>
          <w:sz w:val="20"/>
          <w:szCs w:val="20"/>
          <w:color w:val="auto"/>
        </w:rPr>
      </w:pPr>
    </w:p>
    <w:p>
      <w:pPr>
        <w:ind w:left="540" w:hanging="424"/>
        <w:spacing w:after="0"/>
        <w:tabs>
          <w:tab w:leader="none" w:pos="54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deed terms defined in the BCA and not otherwise defined herein shall, unless the context otherwise requires, have the same meanings when used in this deed.</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Restatement</w:t>
      </w:r>
    </w:p>
    <w:p>
      <w:pPr>
        <w:spacing w:after="0" w:line="121" w:lineRule="exact"/>
        <w:rPr>
          <w:rFonts w:ascii="Times New Roman" w:cs="Times New Roman" w:eastAsia="Times New Roman" w:hAnsi="Times New Roman"/>
          <w:sz w:val="18"/>
          <w:szCs w:val="18"/>
          <w:b w:val="1"/>
          <w:bCs w:val="1"/>
          <w:color w:val="auto"/>
        </w:rPr>
      </w:pPr>
    </w:p>
    <w:p>
      <w:pPr>
        <w:ind w:lef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effect from the date of this deed, the BCA shall be amended and restated in the form set out in schedule 1 so that the rights and obligations of the parties under the BCA shall be governed by the terms set out in schedule 1.</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3.1</w:t>
        <w:tab/>
        <w:t>Each Remaining Party:</w:t>
      </w:r>
    </w:p>
    <w:p>
      <w:pPr>
        <w:spacing w:after="0" w:line="131" w:lineRule="exact"/>
        <w:rPr>
          <w:sz w:val="20"/>
          <w:szCs w:val="20"/>
          <w:color w:val="auto"/>
        </w:rPr>
      </w:pPr>
    </w:p>
    <w:p>
      <w:pPr>
        <w:ind w:left="1080" w:right="60" w:hanging="532"/>
        <w:spacing w:after="0" w:line="282" w:lineRule="auto"/>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to perform, discharge and observe all obligations and liabilities on the part of that Remaining Party under the BCA as amended by this deed;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be bound by all the provisions of the BCA as amended by this deed,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if the CaymanCo was not a party to the BCA on and from the Effective Date.</w:t>
      </w:r>
    </w:p>
    <w:p>
      <w:pPr>
        <w:spacing w:after="0" w:line="131" w:lineRule="exact"/>
        <w:rPr>
          <w:sz w:val="20"/>
          <w:szCs w:val="20"/>
          <w:color w:val="auto"/>
        </w:rPr>
      </w:pPr>
    </w:p>
    <w:p>
      <w:pPr>
        <w:ind w:left="540" w:right="42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3.2</w:t>
        <w:tab/>
        <w:t>Each Remaining Party unconditionally releases and discharges CaymanCo from all obligations and liabilities whatsoever under the BCA and confirms that it has no claim of any kind against CaymanCo under or in respect of the BCA.</w:t>
      </w:r>
    </w:p>
    <w:p>
      <w:pPr>
        <w:spacing w:after="0" w:line="63" w:lineRule="exact"/>
        <w:rPr>
          <w:sz w:val="20"/>
          <w:szCs w:val="20"/>
          <w:color w:val="auto"/>
        </w:rPr>
      </w:pPr>
    </w:p>
    <w:p>
      <w:pPr>
        <w:ind w:left="540" w:hanging="424"/>
        <w:spacing w:after="0"/>
        <w:tabs>
          <w:tab w:leader="none" w:pos="54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21" w:lineRule="exact"/>
        <w:rPr>
          <w:rFonts w:ascii="Times New Roman" w:cs="Times New Roman" w:eastAsia="Times New Roman" w:hAnsi="Times New Roman"/>
          <w:sz w:val="18"/>
          <w:szCs w:val="18"/>
          <w:b w:val="1"/>
          <w:bCs w:val="1"/>
          <w:color w:val="auto"/>
        </w:rPr>
      </w:pPr>
    </w:p>
    <w:p>
      <w:pPr>
        <w:ind w:left="56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deed may be executed in any number of counterparts, and this has the same effect as if the signatures on the counterparts were on a single copy of this agreement.</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w:t>
      </w:r>
    </w:p>
    <w:p>
      <w:pPr>
        <w:spacing w:after="0" w:line="121" w:lineRule="exact"/>
        <w:rPr>
          <w:rFonts w:ascii="Times New Roman" w:cs="Times New Roman" w:eastAsia="Times New Roman" w:hAnsi="Times New Roman"/>
          <w:sz w:val="18"/>
          <w:szCs w:val="18"/>
          <w:b w:val="1"/>
          <w:bCs w:val="1"/>
          <w:color w:val="auto"/>
        </w:rPr>
      </w:pPr>
    </w:p>
    <w:p>
      <w:pPr>
        <w:ind w:left="560" w:right="8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deed shall be governed by, and construed in accordance with, the laws of the State of Delaware applicable to Contracts executed in and to be performed in that State. The provision of sections 8.5 and 8.16 of the BCA as amended and attached to this deed shall apply as if set out herein.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has been executed and delivered as a deed on the date shown at the beginning of this agreement.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Amended and Restated Business Combination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REZOLVE MERGER SUB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ORIGINALLY DATED AS OF DECEMBER 17, 2021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AMENDED ON NOVEMBER 10, 2022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AND FURTHER AMENDED AND RESTATED ON June 16, 2023</w:t>
      </w:r>
    </w:p>
    <w:p>
      <w:pPr>
        <w:spacing w:after="0" w:line="1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455" w:right="1440"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7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40" w:type="dxa"/>
            <w:vAlign w:val="bottom"/>
          </w:tcPr>
          <w:p>
            <w:pPr>
              <w:spacing w:after="0"/>
              <w:rPr>
                <w:sz w:val="17"/>
                <w:szCs w:val="17"/>
                <w:color w:val="auto"/>
              </w:rPr>
            </w:pPr>
          </w:p>
        </w:tc>
      </w:tr>
      <w:tr>
        <w:trPr>
          <w:trHeight w:val="429"/>
        </w:trPr>
        <w:tc>
          <w:tcPr>
            <w:tcW w:w="1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324"/>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 TRANSACTIONS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Closing of the Transactions Contemplated by this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2.3</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Closing Statement; Aggregate Transaction Proceeds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2.4</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Promissory Note; Closing Date Cash Payments and Uses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Exchange Procedures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Withholding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RELATING TO THE GROUP COMPANIES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Qualification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Capitalization of the Group Companies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3.3</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3.4</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Undisclosed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3.5</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Consents and Requisite Governmental Approvals; No Violations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3.6</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Permits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3.7</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Material Contracts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3.8</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Absence of Changes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3.9</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3.10</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Applicable Law</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Employee Plans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3.12</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Environmental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3.13</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3.14</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Labor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3.15</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3.16</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3.17</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3.18</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Real and Personal Property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3.19</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3.20</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Data Privacy and Security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International Trade &amp; Anti-Corruption 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A-40</w:t>
            </w:r>
          </w:p>
        </w:tc>
      </w:tr>
      <w:tr>
        <w:trPr>
          <w:trHeight w:val="365"/>
        </w:trPr>
        <w:tc>
          <w:tcPr>
            <w:tcW w:w="1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color w:val="auto"/>
                <w:w w:val="78"/>
              </w:rPr>
              <w:t>i</w:t>
            </w:r>
          </w:p>
        </w:tc>
        <w:tc>
          <w:tcPr>
            <w:tcW w:w="164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5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Information Supplied</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Regulatory Compliance</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Investigation; No Other Representations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A-41</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RELATING TO ARMADA</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Qualification</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Board Approval</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Consents and Requisite Governmental Approvals; No Violations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4.6</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Information Supplied</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4.7</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Capitalization of Armada</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4.8</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SEC Filings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4.9</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Absence of Changes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Armada Material Contracts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Applicable Law</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4.16</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Business Activities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4.17</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Internal Controls; Listing; Financial Statements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4.18</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Undisclosed Liabilities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4.19</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4.20</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COVENANTS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of the Company</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Efforts to Consummate</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Confidentiality and Access to Information</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Public Announcements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5.6</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Exclusive Dealing</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5.7</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Preparation of Registration Statement / Proxy Statement,</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364"/>
        </w:trPr>
        <w:tc>
          <w:tcPr>
            <w:tcW w:w="1560" w:type="dxa"/>
            <w:vAlign w:val="bottom"/>
          </w:tcPr>
          <w:p>
            <w:pPr>
              <w:spacing w:after="0"/>
              <w:rPr>
                <w:sz w:val="24"/>
                <w:szCs w:val="24"/>
                <w:color w:val="auto"/>
              </w:rPr>
            </w:pPr>
          </w:p>
        </w:tc>
        <w:tc>
          <w:tcPr>
            <w:tcW w:w="71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ii</w:t>
            </w:r>
          </w:p>
        </w:tc>
        <w:tc>
          <w:tcPr>
            <w:tcW w:w="222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56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8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5.8</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Armada Shareholder Approval</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5.9</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of Armada</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5.10</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NASDAQ Listing</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 Support Agreements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Indemnification; Directors’ and Officers’ Insurance</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5.15</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Post-Closing Directors, Name and Articles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5.16</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PCAOB Financials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5.17</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Incentive Equity Plan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5.18</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 and Restrictive Covenant Agreements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5.19</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Acquisition Shares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5.20</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 Consents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Stockholders’ Written Consent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Post-Closing Transfer of Rezolve USA and Cancellation of Promissory Note</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Transfer of Ownership in Rezolve Technology S.L.U</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Transfer of Intellectual Property</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CONDITIONS TO CONSUMMATION OF THE CLOSING</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Obligations of the Parties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Other Conditions to the Obligations of Armada</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Other Conditions to the Obligations of the Company</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Frustration of Closing Conditions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A-65</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TERMINATION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Effect of Termination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A-66</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Non-Survival</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Entire Agreement; Assignment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8.5</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8.6</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8.7</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Construction; Interpretation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8.8</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 and Schedules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A-69</w:t>
            </w:r>
          </w:p>
        </w:tc>
      </w:tr>
      <w:tr>
        <w:trPr>
          <w:trHeight w:val="364"/>
        </w:trPr>
        <w:tc>
          <w:tcPr>
            <w:tcW w:w="1560" w:type="dxa"/>
            <w:vAlign w:val="bottom"/>
          </w:tcPr>
          <w:p>
            <w:pPr>
              <w:spacing w:after="0"/>
              <w:rPr>
                <w:sz w:val="24"/>
                <w:szCs w:val="24"/>
                <w:color w:val="auto"/>
              </w:rPr>
            </w:pPr>
          </w:p>
        </w:tc>
        <w:tc>
          <w:tcPr>
            <w:tcW w:w="754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iii</w:t>
            </w:r>
          </w:p>
        </w:tc>
        <w:tc>
          <w:tcPr>
            <w:tcW w:w="184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56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34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8.9</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Parties in Interest</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8.10</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8.11</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Counterparts; Electronic Signatures</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8.12</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Knowledge of Company; Knowledge of Armada</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8.13</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Recourse</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8.14</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Extension; Waiver</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8.15</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8.16</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Submission to Jurisdiction</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8.17</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Remedies</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8.18</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 Waiver</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8.19</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Legal Representation</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A-72</w:t>
            </w:r>
          </w:p>
        </w:tc>
      </w:tr>
      <w:tr>
        <w:trPr>
          <w:trHeight w:val="54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ANNEXES AND EXHIBITS</w:t>
            </w:r>
          </w:p>
        </w:tc>
        <w:tc>
          <w:tcPr>
            <w:tcW w:w="2340" w:type="dxa"/>
            <w:vAlign w:val="bottom"/>
          </w:tcPr>
          <w:p>
            <w:pPr>
              <w:spacing w:after="0"/>
              <w:rPr>
                <w:sz w:val="24"/>
                <w:szCs w:val="24"/>
                <w:color w:val="auto"/>
              </w:rPr>
            </w:pPr>
          </w:p>
        </w:tc>
      </w:tr>
      <w:tr>
        <w:trPr>
          <w:trHeight w:val="441"/>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Form of Investor Rights Agreement</w:t>
            </w:r>
          </w:p>
        </w:tc>
        <w:tc>
          <w:tcPr>
            <w:tcW w:w="2340" w:type="dxa"/>
            <w:vAlign w:val="bottom"/>
          </w:tcPr>
          <w:p>
            <w:pPr>
              <w:spacing w:after="0"/>
              <w:rPr>
                <w:sz w:val="24"/>
                <w:szCs w:val="24"/>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Form of Transaction Support Agreement</w:t>
            </w:r>
          </w:p>
        </w:tc>
        <w:tc>
          <w:tcPr>
            <w:tcW w:w="23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Company Pre-IPO Articles of Association</w:t>
            </w:r>
          </w:p>
        </w:tc>
        <w:tc>
          <w:tcPr>
            <w:tcW w:w="23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Form of Promissory Note</w:t>
            </w:r>
          </w:p>
        </w:tc>
        <w:tc>
          <w:tcPr>
            <w:tcW w:w="23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Indemnification Deed</w:t>
            </w:r>
          </w:p>
        </w:tc>
        <w:tc>
          <w:tcPr>
            <w:tcW w:w="234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Company Articles of Association to be adopted on Closing</w:t>
            </w:r>
          </w:p>
        </w:tc>
        <w:tc>
          <w:tcPr>
            <w:tcW w:w="2340" w:type="dxa"/>
            <w:vAlign w:val="bottom"/>
          </w:tcPr>
          <w:p>
            <w:pPr>
              <w:spacing w:after="0"/>
              <w:rPr>
                <w:sz w:val="20"/>
                <w:szCs w:val="20"/>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5" w:right="51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dated as of December 17, 2021 (the “Original Date”) and amended as of November 10, 2022 (the “First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and further amended and restated pursuant to the terms of an amendment and restatement deed dated June 16, 2023 (the “Second Amendment Date”), is made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xml:space="preserve">”), Rezolve Limited, a private limited liability company registered under the laws of England and Wales with registration number 09773823 (the “Original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Rezolve AI Limited, a private limited liability company registered under the laws of England and Wales with registration number 14573691 (the “New Company”). Armada, and the Company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but not otherwise defined herein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WHEREAS, Armada is a blank check company formed for the purpose of effecting a merger, share exchange, asset acquisition, share purchase, reorganization or similar business combination with one or more businesses or entities;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WHEREAS, the Original Company is incorporated in England and has agreed so far as applicable to it to effect the transactions contemplated by this Agreement, including the PIPE Financing, the Company Reorganization, the Merger (as each such term is herein defined) and the transactions contemplated thereby and with effect from the completion of the Pre-Closing Demerger (the “Demerger Completion”) it is to be substituted in this Agreement by the New Company, which is incorporated in England and accordingly prior to and in relation to all matters prior to the Demerger Completion references in this Agreement to the “Company” shall be to the Original Company and with effect from and in relation to all matters post the Demerger Completion shall be to the New Company;</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Governing Documents of Armada, Armada is required to provide an opportunity for its shareholders to have their outstanding Armada Shares redeemed on the terms and subject to the conditions set forth therein in connection with obtaining the Armada Shareholder Approval;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as Armada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owns certain Armada Shares;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terms of that certain Letter Agreement dated August 12, 2021, by and among Armada, its officers, its directors and the Sponsor, such persons have agreed to vote all their Armada Shares in favor of a business combination, if Armada solicits approval for such business combination from its stockholders;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WHEREAS the Original Company on or about the Original Date entered into a convertible loan agreement and related agreements (collectively the “</w:t>
      </w:r>
      <w:r>
        <w:rPr>
          <w:rFonts w:ascii="Times New Roman" w:cs="Times New Roman" w:eastAsia="Times New Roman" w:hAnsi="Times New Roman"/>
          <w:sz w:val="18"/>
          <w:szCs w:val="18"/>
          <w:u w:val="single" w:color="auto"/>
          <w:color w:val="auto"/>
        </w:rPr>
        <w:t>Loan Agreements</w:t>
      </w:r>
      <w:r>
        <w:rPr>
          <w:rFonts w:ascii="Times New Roman" w:cs="Times New Roman" w:eastAsia="Times New Roman" w:hAnsi="Times New Roman"/>
          <w:sz w:val="18"/>
          <w:szCs w:val="18"/>
          <w:color w:val="auto"/>
        </w:rPr>
        <w:t>”) with Apeiron Investment Group Limited (“</w:t>
      </w:r>
      <w:r>
        <w:rPr>
          <w:rFonts w:ascii="Times New Roman" w:cs="Times New Roman" w:eastAsia="Times New Roman" w:hAnsi="Times New Roman"/>
          <w:sz w:val="18"/>
          <w:szCs w:val="18"/>
          <w:u w:val="single" w:color="auto"/>
          <w:color w:val="auto"/>
        </w:rPr>
        <w:t>AIGL</w:t>
      </w:r>
      <w:r>
        <w:rPr>
          <w:rFonts w:ascii="Times New Roman" w:cs="Times New Roman" w:eastAsia="Times New Roman" w:hAnsi="Times New Roman"/>
          <w:sz w:val="18"/>
          <w:szCs w:val="18"/>
          <w:color w:val="auto"/>
        </w:rPr>
        <w:t>”) providing for a convertible loan in the amount of twenty million dollars ($20,000,000) to the Original Company by AIGL as subsequently amended and restated as of 24 May 2023 such that the convertible loan is in the amount of $39,625,000;</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WHEREAS, Armada and (on the Original Date) Rezolve Group Limited (“Cayman NewCo”) a Cayman Islands company entered into a subscription agreement with certain investors (collectively,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substantially in the form agreed to by the parties thereto and to the extent that any new or replacement agreement(s) is entered into with the New Company such agreement(s) is referred to herein as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being an agreement under which each PIPE Investor would agree to subscribe for and purchase on the Closing Date, and the New Company would agree to issue and sell to each such PIPE Investor on the Closing Date, the number of shares in the New Company and/or the number of securities convertible into or exchangeable for shares in the New Company identified and set forth in the applicable PIPE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80"/>
          </w:cols>
          <w:pgMar w:left="320" w:top="455" w:right="49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Subscription Agreement in exchange for the purchase price set forth therein (the equity financing under all PIPE Subscription Agreements, collectively,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in each case, on the terms and subject to the conditions set forth in the applicable PIPE Subscription Agreement;</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WHEREAS, prior to Closing, the Original Company, the New Company and certain of the Original Company Shareholders are to enter into a demerger support agreement pursuant to which they agree to take such steps as are required (including in the case of the Original Company Shareholders, voting in favour of shareholder resolutions required ) to effect a demerger pursuant to section 110 Insolvency Act 1986 under which the Original Company is to enter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(together the “Excluded Assets”) are to be transferred to the New Company in exchange for the issue of Company Shares of the same classes in the New Company for distribution amongst the Original Company Shareholders in proportion to their holdings of Original Company Shares of each class (the “Pre-Closing Demerger”) and references in this agreement to the Company Shares to be listed shall be to the shares in the New Company;</w:t>
      </w:r>
    </w:p>
    <w:p>
      <w:pPr>
        <w:spacing w:after="0" w:line="18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WHEREAS as part of the Pre-Closing Demerger, the Original Company is to agree to novate, assign or otherwise transfer (as applicable) all its rights and obligations under the Ancillary Agreements to which it is a party, such that the Company will be bound by the relevant agreements in the place of the Original Company;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WHEREAS, at the Closing, the Company, the Sponsor and certain other Company Shareholders shall enter into an investor rights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pursuant to which, among other things, certain Persons (a) will be granted certain registration rights with respect to their respective Company Shares, (b) will be subject to a customary post-Closing lock-up period of 6-months with respect to their respective Company Shares, as further described therein, and (c) will be entitled to nominate and appoint individuals to the Company Board following the Closing, in each case, on the terms and subject to the conditions set forth therein;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Board of Directors of Armada the (“</w:t>
      </w:r>
      <w:r>
        <w:rPr>
          <w:rFonts w:ascii="Times New Roman" w:cs="Times New Roman" w:eastAsia="Times New Roman" w:hAnsi="Times New Roman"/>
          <w:sz w:val="18"/>
          <w:szCs w:val="18"/>
          <w:u w:val="single" w:color="auto"/>
          <w:color w:val="auto"/>
        </w:rPr>
        <w:t>Armada Board</w:t>
      </w:r>
      <w:r>
        <w:rPr>
          <w:rFonts w:ascii="Times New Roman" w:cs="Times New Roman" w:eastAsia="Times New Roman" w:hAnsi="Times New Roman"/>
          <w:sz w:val="18"/>
          <w:szCs w:val="18"/>
          <w:color w:val="auto"/>
        </w:rPr>
        <w:t>”) has (a) approved this Agreement, the Ancillary Documents to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is or will be a party and the transactions contemplated hereby and thereby and (b) recommended, among other things, approval of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the transactions contemplated by this Agreement by the holders of Armada Shares entitled to vote thereon;</w:t>
      </w:r>
    </w:p>
    <w:p>
      <w:pPr>
        <w:spacing w:after="0" w:line="20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Original Company (or a committee of such board) has approved this Agreement, the Ancillary Documents to which the Company is or will be a party and the transactions contemplated hereby and thereby;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New Company has approved this Agreement, the Ancillary Documents to which the New Company is or will be party and the transactions contemplated hereby and thereby;</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Rezolve Merger Sub has approved this Agreement, the Ancillary Documents to which Rezolve Merger Sub is or will be party and the transactions contemplated hereby and thereby;</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each Key Company Shareholder has duly executed and delivered to Armada a transaction support agreement as amended on or about the Amendment Date,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pursuant to which each such Key Company Shareholder has agreed to, among other things, (a) to vote in favor of all Company resolutions such that on the Company Reorganization Date, the Company Series A Shares will be reclassified as Ordinary Shares and any other necessary resolutions are passed such that immediately following such steps each Company Shareholder will hold, by virtue only of his holding of Existing Shares and Newly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Issued Shares as at immediately prior to the Company Reorganization, his, her or its applicable pro rata portion of the Aggregate Stock Consideration (such pro rata proportion being determined solely by reference to the Existing Shares and the Newly Issued Shares) in accordance with the terms and conditions set forth herein (to the extent that he, she or it does not already hold such pro rata portion after the Pre-Closing Demerger) (such steps and any additional steps contemplated therein or thereby collectively,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(such shareholder’s resulting holding of his pro rata portion of the Aggregate Stock Consideration being referred to as his “</w:t>
      </w:r>
      <w:r>
        <w:rPr>
          <w:rFonts w:ascii="Times New Roman" w:cs="Times New Roman" w:eastAsia="Times New Roman" w:hAnsi="Times New Roman"/>
          <w:sz w:val="18"/>
          <w:szCs w:val="18"/>
          <w:u w:val="single" w:color="auto"/>
          <w:color w:val="auto"/>
        </w:rPr>
        <w:t>ASC Holding</w:t>
      </w:r>
      <w:r>
        <w:rPr>
          <w:rFonts w:ascii="Times New Roman" w:cs="Times New Roman" w:eastAsia="Times New Roman" w:hAnsi="Times New Roman"/>
          <w:sz w:val="18"/>
          <w:szCs w:val="18"/>
          <w:color w:val="auto"/>
        </w:rPr>
        <w:t>” and any holding he has of Company Shares otherwise issued, including as envisaged by this agreement, being additional to such ASC Holding) (b) support and, to the extent required under the Articles of Association of the Company or applicable Law, vote in favor of this Agreement, the Ancillary Documents to which the Company is or will be a party and the transactions contemplated hereby and thereby, the Pre-Closing Demerger, the Company Reorganization, the Merger, and the transactions contemplated thereby, (c) enter into any other agreement, certificate or other document determined by the Company or Armada to be necessary to effectuate the intent of this Agreement, the transactions contemplated thereby, including without limitation, the Pre-Closing Demerger, Company Reorganization and the Merger, (d) enter into the Written Consent and any other agreements or documents necessary, required or in connection with the Company Reorganization, the Merger, this Agreement, the Ancillary Documents, or the other transactions contemplated hereby and thereby, and I take, or cause to be taken, any actions necessary to cause certain agreements to be terminated effective as of the Closing;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WHEREAS, following the Pre-Closing Demerger, and the Company Reorganization (i) Rezolve Merger Sub shall be merged with and into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Armada whereupon Rezolve Merger Sub will cease to exist and with Armada surviving the Merger as a subsidiary of the Company (the “Merger”) and</w:t>
      </w:r>
    </w:p>
    <w:p>
      <w:pPr>
        <w:spacing w:after="0" w:line="9" w:lineRule="exact"/>
        <w:rPr>
          <w:sz w:val="20"/>
          <w:szCs w:val="20"/>
          <w:color w:val="auto"/>
        </w:rPr>
      </w:pPr>
    </w:p>
    <w:p>
      <w:pPr>
        <w:ind w:left="120" w:right="120" w:hanging="4"/>
        <w:spacing w:after="0" w:line="260" w:lineRule="auto"/>
        <w:tabs>
          <w:tab w:leader="none" w:pos="37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loan all of its remaining cash in the Trust Account to the Company in exchange for a promissory note, to enable the Company to fund working capital and transaction expenses.</w:t>
      </w:r>
    </w:p>
    <w:p>
      <w:pPr>
        <w:spacing w:after="0" w:line="18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Armada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Issuances</w:t>
      </w:r>
      <w:r>
        <w:rPr>
          <w:rFonts w:ascii="Times New Roman" w:cs="Times New Roman" w:eastAsia="Times New Roman" w:hAnsi="Times New Roman"/>
          <w:sz w:val="18"/>
          <w:szCs w:val="18"/>
          <w:color w:val="auto"/>
        </w:rPr>
        <w:t>” means the number of Equity Securities equal to (i) the Equity Securities issued pursuant to the Reissued Options, plus</w:t>
      </w:r>
    </w:p>
    <w:p>
      <w:pPr>
        <w:spacing w:after="0" w:line="27" w:lineRule="exact"/>
        <w:rPr>
          <w:sz w:val="20"/>
          <w:szCs w:val="20"/>
          <w:color w:val="auto"/>
        </w:rPr>
      </w:pPr>
    </w:p>
    <w:p>
      <w:pPr>
        <w:ind w:left="120" w:right="60" w:hanging="4"/>
        <w:spacing w:after="0" w:line="251" w:lineRule="auto"/>
        <w:tabs>
          <w:tab w:leader="none" w:pos="38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DBLP New Shares which were issued pursuant to the arrangements described and contemplated in Section 3.2(b) (under the heading “Dan Wagner”) and/or (e) related to Daniel Wagner of the Company Disclosure Schedule, plus (iii) the Aperitus Shares plus (iv) the Apeiron New Shares and the Wickens New Shares plus (iv) any other Equity Securities of the Company that are issued or proposed to be issued after the Second Amendment Date and before Closing to any Person including but not limited to any officer, director, employee, consultant, advisor, agent, representative, service provider, partner, member, or equity holder of any Group Company or any of their respective Affiliates, other than as envisaged as part of the transactions in this Agreement including without limitation pursuant to the Pre-Closing Demerger, the Company Reorganization, the PIPE Financing and the Loan Agreements (and the conversion of the loans pursuant thereto) and for the avoidance of doubt the Newly Issued Shares shall not be included as Additional Issuances.</w:t>
      </w:r>
    </w:p>
    <w:p>
      <w:pPr>
        <w:spacing w:after="0" w:line="194"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who directly or indirectly, through one or more intermediaries, controls, is controlled by, or is under common control with, such Person. The term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00"/>
          </w:cols>
          <w:pgMar w:left="320" w:top="455" w:right="47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4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Group</w:t>
      </w:r>
      <w:r>
        <w:rPr>
          <w:rFonts w:ascii="Times New Roman" w:cs="Times New Roman" w:eastAsia="Times New Roman" w:hAnsi="Times New Roman"/>
          <w:sz w:val="18"/>
          <w:szCs w:val="18"/>
          <w:color w:val="auto"/>
        </w:rPr>
        <w:t>” means a group of Persons that elects to, is required to, or otherwise files a Tax Return or pays a Tax as an affiliated group, aggregate group, consolidated group, combined group, unitary group or other group recognized by applicable Tax Law.</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Closing PIPE Proceeds</w:t>
      </w:r>
      <w:r>
        <w:rPr>
          <w:rFonts w:ascii="Times New Roman" w:cs="Times New Roman" w:eastAsia="Times New Roman" w:hAnsi="Times New Roman"/>
          <w:sz w:val="18"/>
          <w:szCs w:val="18"/>
          <w:color w:val="auto"/>
        </w:rPr>
        <w:t>” means the aggregate cash proceeds actually received (or deemed received as agreed among the Parties) by the Company in respect of the PIPE Financing (whether prior to or on the Closing Date). For the avoidance of doubt any cash proceeds actually received (or deemed received as agreed among the Parties) by the Company in respect of any amounts funded under a PIPE Subscription Agreement prior to the Closing Date shall constitute, and be taken into account for purposes of determining, the Aggregate Closing PIPE Proceeds (without, for the avoidance of doubt, giving effect to, or otherwise taking into account, the use of any such proceeds).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Stock Consideration</w:t>
      </w:r>
      <w:r>
        <w:rPr>
          <w:rFonts w:ascii="Times New Roman" w:cs="Times New Roman" w:eastAsia="Times New Roman" w:hAnsi="Times New Roman"/>
          <w:sz w:val="18"/>
          <w:szCs w:val="18"/>
          <w:color w:val="auto"/>
        </w:rPr>
        <w:t>” means a number of the Company Shares (being Shares in the New Company) equal to the quotient obtained by dividing (x) the Enterprise Value, by (y) the Company Share Value.</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means an amount equal to the sum of (i) the aggregate cash proceeds available for release to Armada (or any designee thereof) from the Trust Account in connection with the transactions contemplated hereby as evidenced by the Promissory Note, and (ii) the Aggregate Closing PIPE Proceeds, (after giving effect to all of the Armada Shareholder Redemptions but gross of any fees, expenses, commissions and liabilities, including but not limited to any Armada Expenses or Company Expenses).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AIGL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Employment Agreements, the Investor Rights Agreement, the Restrictive Covenant Agreements, the PIPE Subscription Agreement, the Transaction Support Agreements, the Company Pre-IPO Articles of Association, the Company Articles of Association, the Company Incentive Equity Plan Term Sheet, the Plan of Merger, and each other agreement, document, instrument and/or certificate contemplated by this Agreement executed or to be executed in connection with the transactions contemplated hereby.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collectively, (a) the U.S. Foreign Corrupt Practices Act (FCPA), (b) the UK Bribery Act 2010 and (c) any other applicable anti-bribery or anti-corruption Laws or Orders related to combatting bribery, corruption and money laundering.</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Laws that are designed to prohibit, restrict or regulate actions having the purpose or effect of monopolization or restraint of trade, including the HSR Act.</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“Apeiron New Shares” means the 850,000 Company Shares issued to Apeiron Investment Group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“Aperitus Shares” means Company Shares issued to Aperitus Limited being 10,000,000 Ordinary Shares prior to the Demerger Completion and such number of Ordinary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Closing Payment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Disclosure Schedules</w:t>
      </w:r>
      <w:r>
        <w:rPr>
          <w:rFonts w:ascii="Times New Roman" w:cs="Times New Roman" w:eastAsia="Times New Roman" w:hAnsi="Times New Roman"/>
          <w:sz w:val="18"/>
          <w:szCs w:val="18"/>
          <w:color w:val="auto"/>
        </w:rPr>
        <w:t>” means the disclosure schedules to this Agreement delivered to the Company by Armada on the Original Date.</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Expenses</w:t>
      </w:r>
      <w:r>
        <w:rPr>
          <w:rFonts w:ascii="Times New Roman" w:cs="Times New Roman" w:eastAsia="Times New Roman" w:hAnsi="Times New Roman"/>
          <w:sz w:val="18"/>
          <w:szCs w:val="18"/>
          <w:color w:val="auto"/>
        </w:rPr>
        <w:t>” means, as of any determination time, the aggregate amount of fees, expenses, commissions or other amounts incurred by or on behalf of, and that are due and payable (and not otherwise expressly allocated to a Group Company or any Company Shareholder pursuant to the terms of this Agreement or any Ancillary Document) by Armada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placement agents or other agents or service providers of Armada and (b) any other fees, expenses, commissions or other amounts that are expressly allocated to Armada pursuant to this Agreement or any Ancillary Document. Notwithstanding the foregoing or anything to the contrary herein, Armada Expenses shall not include any Company Expenses nor any Transfer Taxes or other Taxes (except for irrecoverable VAT incurred by Armada on any Armada Expenses).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Financial Statements</w:t>
      </w:r>
      <w:r>
        <w:rPr>
          <w:rFonts w:ascii="Times New Roman" w:cs="Times New Roman" w:eastAsia="Times New Roman" w:hAnsi="Times New Roman"/>
          <w:sz w:val="18"/>
          <w:szCs w:val="18"/>
          <w:color w:val="auto"/>
        </w:rPr>
        <w:t>” means all of the financial statements of Armada included in the Armada SEC Reports.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Fundamental Representations</w:t>
      </w:r>
      <w:r>
        <w:rPr>
          <w:rFonts w:ascii="Times New Roman" w:cs="Times New Roman" w:eastAsia="Times New Roman" w:hAnsi="Times New Roman"/>
          <w:sz w:val="18"/>
          <w:szCs w:val="18"/>
          <w:color w:val="auto"/>
        </w:rPr>
        <w:t xml:space="preserve">” means the representations and warranties made with respect to Armada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(Authority), Section 4.3 (Board Approval),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(Capitalization of Armada), and the first four sentences of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(Trust Account).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Material Adverse Effect</w:t>
      </w:r>
      <w:r>
        <w:rPr>
          <w:rFonts w:ascii="Times New Roman" w:cs="Times New Roman" w:eastAsia="Times New Roman" w:hAnsi="Times New Roman"/>
          <w:sz w:val="18"/>
          <w:szCs w:val="18"/>
          <w:color w:val="auto"/>
        </w:rPr>
        <w:t>” means any change, event, effect or occurrence that, individually or in the aggregate with any other change, event, effect or occurrence, has had or would reasonably be expected to have a material adverse effect on the ability of Armada to consummate the transactions contemplated by this Agreement in accordance with the terms 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7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Armada Non-Party Affiliates</w:t>
      </w:r>
      <w:r>
        <w:rPr>
          <w:rFonts w:ascii="Times New Roman" w:cs="Times New Roman" w:eastAsia="Times New Roman" w:hAnsi="Times New Roman"/>
          <w:sz w:val="17"/>
          <w:szCs w:val="17"/>
          <w:color w:val="auto"/>
        </w:rPr>
        <w:t>” means, collectively, each Armada Related Party and each of the former, current or future Affiliates, Representatives, shareholders, successors or permitted assigns of any Armada Related Party (other than, for the avoidance of doubt, Armada).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40"/>
          </w:cols>
          <w:pgMar w:left="320" w:top="455" w:right="53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 Approval</w:t>
      </w:r>
      <w:r>
        <w:rPr>
          <w:rFonts w:ascii="Times New Roman" w:cs="Times New Roman" w:eastAsia="Times New Roman" w:hAnsi="Times New Roman"/>
          <w:sz w:val="18"/>
          <w:szCs w:val="18"/>
          <w:color w:val="auto"/>
        </w:rPr>
        <w:t>” means, collectively, the approval of each Transaction Proposal by the affirmative vote of the holders of the requisite number of Armada Shares entitled to vote thereon, whether in person or by proxy at the Armada Shareholders Meeting (or any adjournment or postponement thereof), in accordance with the Governing Documents of Armada and applicable Law.</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 Redemption</w:t>
      </w:r>
      <w:r>
        <w:rPr>
          <w:rFonts w:ascii="Times New Roman" w:cs="Times New Roman" w:eastAsia="Times New Roman" w:hAnsi="Times New Roman"/>
          <w:sz w:val="18"/>
          <w:szCs w:val="18"/>
          <w:color w:val="auto"/>
        </w:rPr>
        <w:t>” means the right of the holders of Armada Shares to redeem all or a portion of their Armada Shares (in connection with the transactions contemplated by this Agreement or otherwise) as set forth in Governing Documents of Armada.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Shares</w:t>
      </w:r>
      <w:r>
        <w:rPr>
          <w:rFonts w:ascii="Times New Roman" w:cs="Times New Roman" w:eastAsia="Times New Roman" w:hAnsi="Times New Roman"/>
          <w:sz w:val="18"/>
          <w:szCs w:val="18"/>
          <w:color w:val="auto"/>
        </w:rPr>
        <w:t>” means Armada’s Common Stock with a per share par value of $0.0001 each having the rights set out in the Governing Documents of Armada.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Unit</w:t>
      </w:r>
      <w:r>
        <w:rPr>
          <w:rFonts w:ascii="Times New Roman" w:cs="Times New Roman" w:eastAsia="Times New Roman" w:hAnsi="Times New Roman"/>
          <w:sz w:val="18"/>
          <w:szCs w:val="18"/>
          <w:color w:val="auto"/>
        </w:rPr>
        <w:t>” means each outstanding unit consisting of one Armada Share and one-half of one Public Warrant.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 of the Company”</w:t>
      </w:r>
      <w:r>
        <w:rPr>
          <w:rFonts w:ascii="Times New Roman" w:cs="Times New Roman" w:eastAsia="Times New Roman" w:hAnsi="Times New Roman"/>
          <w:sz w:val="18"/>
          <w:szCs w:val="18"/>
          <w:color w:val="auto"/>
        </w:rPr>
        <w:t xml:space="preserve"> means the articles of association of the Company as in force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 of the Original Company”</w:t>
      </w:r>
      <w:r>
        <w:rPr>
          <w:rFonts w:ascii="Times New Roman" w:cs="Times New Roman" w:eastAsia="Times New Roman" w:hAnsi="Times New Roman"/>
          <w:sz w:val="18"/>
          <w:szCs w:val="18"/>
          <w:color w:val="auto"/>
        </w:rPr>
        <w:t xml:space="preserve"> means the articles of association of the Original Company as in force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 Holding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the Group Companies, as presently conducted, and any activities, services or products incidental or attendant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the SEC in Washington D.C. and commercial banks in New York, New York and London, United Kingdom are open for the general transaction of business.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NewCo</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CBA</w:t>
      </w:r>
      <w:r>
        <w:rPr>
          <w:rFonts w:ascii="Times New Roman" w:cs="Times New Roman" w:eastAsia="Times New Roman" w:hAnsi="Times New Roman"/>
          <w:sz w:val="18"/>
          <w:szCs w:val="18"/>
          <w:color w:val="auto"/>
        </w:rPr>
        <w:t>” means any collective bargaining agreement or other Contract with any labor union, works council, labor organization or employee representative.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xml:space="preserve">” means, without duplication, (a) any success, change of control, retention, transaction bonus, severance or other similar payment or amount to any Person as a result of, or in connection with, this Agreement or the transactions contemplated hereby (including any such payments or similar amounts that may become due and payable based upon the occurrence of one or more additional circumstances, matters or events), and the employer portion of employment, payroll or similar Taxes payable as a result of the foregoing, or (b) any payments made or required to be made pursuant to or in connection with or upon termination of, or any fees, expenses or other payments owing or that will become owing in respect of, any Company Related Party Transaction (in the case of each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regardless of whether paid or payable prior to, at or after the Closing or in connection with or otherwise related to this Agreement or any Ancillary Document).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40"/>
          </w:cols>
          <w:pgMar w:left="320" w:top="455" w:right="53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Company 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xml:space="preserve">” means (a) any transaction or series of transactions under which any Person(s), directly or indirectly, (i) acquires or otherwise purchases the Company or any of its controlled Affiliates or (ii) acquires all or a portion of assets, Equity Securities or businesses of the Company or any of its controlled Affiliates (in the case of each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whether by merger, consolidation, recapitalization, purchase or issuance of Equity Securities, tender offer or otherwise), or (b) any equity or similar investment in the Company or any of its controlled Affiliates. Notwithstanding the foregoing or anything to the contrary herein, none of this Agreement, the Ancillary Documents, the Pre-Closing Demerger or the transactions contemplated hereby or thereby shall constitute a Company Acquisition Proposal.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Articles of Association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means the disclosure schedules to this Agreement delivered to Armada by the Original Company on the Original Date and as updated by the Company on Closing.</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Expenses</w:t>
      </w:r>
      <w:r>
        <w:rPr>
          <w:rFonts w:ascii="Times New Roman" w:cs="Times New Roman" w:eastAsia="Times New Roman" w:hAnsi="Times New Roman"/>
          <w:sz w:val="18"/>
          <w:szCs w:val="18"/>
          <w:color w:val="auto"/>
        </w:rPr>
        <w:t>” means, as of any determination time, the aggregate amount of fees, expenses, commissions or other amounts incurred by or on behalf of, or otherwise payable by, whether or not due, any Group Company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placement agents, brokers, investment bankers, consultants, or other agents, or service providers of any Group Company, (b) all Change of Control Payments, and (d) any other fees, expenses, commissions or other amounts that are expressly allocated to any Group Company pursuant to this Agreement or any Ancillary Document. Company Expenses shall include those fees payable to Marcel Reichart Limited as referred to in Section 3.2(e) of the Disclosure Schedules. Notwithstanding the foregoing or anything to the contrary herein, Company Expenses shall not include any Armada Expenses nor any Transfer Taxes or other Taxes (except for (i) irrecoverable VAT incurred by a Group Company on any Company Expenses and (ii) any Taxes specifically referenced in the definition of Change of Control Payments).</w:t>
      </w:r>
    </w:p>
    <w:p>
      <w:pPr>
        <w:spacing w:after="0" w:line="194"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Sections 3.2(a) to (d)</w:t>
      </w:r>
      <w:r>
        <w:rPr>
          <w:rFonts w:ascii="Times New Roman" w:cs="Times New Roman" w:eastAsia="Times New Roman" w:hAnsi="Times New Roman"/>
          <w:sz w:val="18"/>
          <w:szCs w:val="18"/>
          <w:color w:val="auto"/>
        </w:rPr>
        <w:t xml:space="preserve"> (Capitalization of the Group Companies),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(Absence of Changes),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(Brokers)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(Transactions with Affiliates).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Incentive Equity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00"/>
          </w:cols>
          <w:pgMar w:left="320" w:top="455" w:right="47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computer systems, Software and hardware, including peripherals and ancillary equipment, communication systems, interfaces, platforms, servers, network equipment and any associated proprietary materials, user manuals and other related documentation, including any outsourced systems and processes, in each case, relied on, owned, licensed or leased by a Group Company.</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Intellectual Property Rights owned by any Person (other than a Group Company) that is licensed to or used by any Group Company.</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change, event, effect or occurrence that, individually or in the aggregate with any other change, event, effect or occurrence, has had or would reasonably be expected to have a material adverse effect on (a) the business, assets, results of operations or financial condition of the Group Companies, taken as a whole, or (b) the ability of the Company to consummate the transactions contemplated under this Agreement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shall be taken into account in determining whether a Company Material Adverse Effect has occurred or is reasonably likely to occur: any adverse change, event, effect or occurrence arising after the Original Date from or related to (i) any change or proposed change in or change in the interpretation of any Law or GAAP after the Original Date; (ii) events or conditions generally affecting the industries or geographic areas in which the Group Company operates; (iii) any significant downturn in general economic conditions, including changes in the credit, debt, securities, financial or capital markets (including changes in interest or exchange rates, prices of any security or market index or commodity or any disruption of such markets); (iv) acts of war, sabotage, civil unrest or terrorism, or any escalation or worsening of any such acts of war, sabotage, civil unrest or terrorism, or changes in global, national, regional, state or local political or social conditions; (v) any hurricane, tornado, flood, earthquake, natural disaster, or other acts of God; (vi) epidemics, pandemics or disease outbreaks (including any escalation or general worsening of any such epidemic, pandemic or disease outbreak, including the COVID-19 virus) and provided further that the Pre-Closing Demerger shall not be deemed to amount to a Company Material Adverse Effect.</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Non-Party Affiliates</w:t>
      </w:r>
      <w:r>
        <w:rPr>
          <w:rFonts w:ascii="Times New Roman" w:cs="Times New Roman" w:eastAsia="Times New Roman" w:hAnsi="Times New Roman"/>
          <w:sz w:val="18"/>
          <w:szCs w:val="18"/>
          <w:color w:val="auto"/>
        </w:rPr>
        <w:t>” means, collectively, each Company Related Party and each former, current or future Affiliates, Representatives, successors or permitted assigns of any Company Related Party (other than, for the avoidance of doubt, the Company).</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Offerings</w:t>
      </w:r>
      <w:r>
        <w:rPr>
          <w:rFonts w:ascii="Times New Roman" w:cs="Times New Roman" w:eastAsia="Times New Roman" w:hAnsi="Times New Roman"/>
          <w:sz w:val="18"/>
          <w:szCs w:val="18"/>
          <w:color w:val="auto"/>
        </w:rPr>
        <w:t>” means any and all products or services offered, licensed, provided, sold, distributed, made available or otherwise exploited by or for any Group Company, and any and all products or services under active design or development (or already designed or developed) by or for any Group Company to be released within the next 3 months, including all versions and releases of the foregoing.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shares in the capital of the Company, designated as “Ordinary Shares” pursuant to the Articles of Association of the Company and for all matters relating to the period before the Pre-Closing Demerger shall refer to such shares designated as “Ordinary Shares” of the Original Company and for all matters relating to the period from and after the Demerger Completion shall refer to such shares designated as “Ordinary Shares” of the New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Rights that are owned by the Group Companies.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Pre-IPO Articles of Association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Public Warrant</w:t>
      </w:r>
      <w:r>
        <w:rPr>
          <w:rFonts w:ascii="Times New Roman" w:cs="Times New Roman" w:eastAsia="Times New Roman" w:hAnsi="Times New Roman"/>
          <w:sz w:val="18"/>
          <w:szCs w:val="18"/>
          <w:color w:val="auto"/>
        </w:rPr>
        <w:t>” means each warrant to purchase one Company Share at an issue price of $11.50 per share.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Company Owned Intellectual Property that is registered to any Group Company or the subject of an application for registration in the name of any Group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Reorganization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collectively, the Company Shares and the Company Public Warrants.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Shares</w:t>
      </w:r>
      <w:r>
        <w:rPr>
          <w:rFonts w:ascii="Times New Roman" w:cs="Times New Roman" w:eastAsia="Times New Roman" w:hAnsi="Times New Roman"/>
          <w:sz w:val="18"/>
          <w:szCs w:val="18"/>
          <w:color w:val="auto"/>
        </w:rPr>
        <w:t>” means the series A preferred shares in the capital of the Company, designated as “Series A Shares” pursuant to the Articles of Association of the Company and for all matters relating to the period before the Pre-Closing Demerger shall refer to such shares designated as “Series A Shares” of the Original Company and for all matters relating to the period from and after the Demerger Completion shall refer to such shares designated as “Series A Shares” of the New Company.</w:t>
      </w:r>
    </w:p>
    <w:p>
      <w:pPr>
        <w:spacing w:after="0" w:line="180"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Shareholder Agreement</w:t>
      </w:r>
      <w:r>
        <w:rPr>
          <w:rFonts w:ascii="Times New Roman" w:cs="Times New Roman" w:eastAsia="Times New Roman" w:hAnsi="Times New Roman"/>
          <w:sz w:val="17"/>
          <w:szCs w:val="17"/>
          <w:color w:val="auto"/>
        </w:rPr>
        <w:t>” means the Shareholder Deed, dated as of December 18, 2018, between the Original Company and certain Original Company Shareholders, or such shareholder agreement as may apply in relation to the New Company after the Demerger Completion.</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collectively, the holders of Company Shares as of any determination time at or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Company Series A Shares and the Company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Value</w:t>
      </w:r>
      <w:r>
        <w:rPr>
          <w:rFonts w:ascii="Times New Roman" w:cs="Times New Roman" w:eastAsia="Times New Roman" w:hAnsi="Times New Roman"/>
          <w:sz w:val="18"/>
          <w:szCs w:val="18"/>
          <w:color w:val="auto"/>
        </w:rPr>
        <w:t>” means $10.00.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all Software owned by or licensed to a Group Company.</w:t>
      </w:r>
    </w:p>
    <w:p>
      <w:pPr>
        <w:spacing w:after="0" w:line="225"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non-disclosure agreement, dated as of August 8, 2021, by and between the Company and Armada.</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notice, authorization, qualification, registration, filing, notification, waiver, order, waiting period expiration or termination, consent or approval to be obtained from, filed with or delivered to, a Governmental Entity or other Person, including without limitation with respect to any applicable Antitrust Laws.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agreement, contract, license, lease, obligation, undertaking or other commitment or arrangement (whether written or oral).</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Function</w:t>
      </w:r>
      <w:r>
        <w:rPr>
          <w:rFonts w:ascii="Times New Roman" w:cs="Times New Roman" w:eastAsia="Times New Roman" w:hAnsi="Times New Roman"/>
          <w:sz w:val="18"/>
          <w:szCs w:val="18"/>
          <w:color w:val="auto"/>
        </w:rPr>
        <w:t>” means a controlled function for the purposes of section 59 of FSMA as specified in the FCA Handbook (as applicable) from time to time.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License</w:t>
      </w:r>
      <w:r>
        <w:rPr>
          <w:rFonts w:ascii="Times New Roman" w:cs="Times New Roman" w:eastAsia="Times New Roman" w:hAnsi="Times New Roman"/>
          <w:sz w:val="18"/>
          <w:szCs w:val="18"/>
          <w:color w:val="auto"/>
        </w:rPr>
        <w:t>” means any license of Intellectual Property that provides, as a condition to the use, modification or distribution of such licensed Intellectual Property, that such licensed Intellectual Property, or any other Intellectual Property that is incorporated into, derived from, based on, linked to, or used or distributed with such licensed Intellectual Property, be licensed, distributed, or otherwise made available: (a) in a form other than binary or object code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 source code form); (b) under terms that permit redistribution, reverse engineering, or creation of derivative works or other modification of any of the foregoing Intellectual Property; or (c) without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a license fee. “Copyleft Licenses” include the GNU General Public License, the GNU Lesser General Public License, the Affero General Public License, the Mozilla Public License, the Common Development and Distribution License, the Eclipse Public License and all Creative Commons “sharealike” licenses.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all related strains and sequences), and any evolutions or mutations thereof or related or associated epidemics, pandemic or disease outbreaks.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“Demerger Completion”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“DBLP New Shares” means the 27,246,461 Company Shares issued to DBLP Sea Cow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equity or equity-based compensation, retirement, pension, enhanced redundancy, savings, profit sharing, bonus, commission, overtime, incentive, severance, separation, employment, change in control, retention, deferred compensation, medical, retiree or post-termination health or welfare, salary continuation, fringe or other compensatory plan, program, policy agreement arrangement or Contract that any Group Company maintains, sponsors or contributes to (or is required to contribute to), or under or with respect to which any Group Company has or could reasonably expect to have any Liability.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has the meaning set out in Section 5.18(a).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-7620</wp:posOffset>
            </wp:positionV>
            <wp:extent cx="3549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Value</w:t>
      </w:r>
      <w:r>
        <w:rPr>
          <w:rFonts w:ascii="Times New Roman" w:cs="Times New Roman" w:eastAsia="Times New Roman" w:hAnsi="Times New Roman"/>
          <w:sz w:val="18"/>
          <w:szCs w:val="18"/>
          <w:color w:val="auto"/>
        </w:rPr>
        <w:t>” means $1,600,000,000.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and Orders concerning pollution, protection of the environment, or human health or safety.</w:t>
      </w:r>
    </w:p>
    <w:p>
      <w:pPr>
        <w:spacing w:after="0" w:line="225"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an exchange ratio of one (1) Company Share for every one (1) Armada Share.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means those Company Shares originally in issue at the Original Date and being after the Demerger Completion such number of Company Shares in the New Company as represents an equivalent proportion of the then issued share capital of the New Company immediately after the Pre-Closing Demerger and</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60"/>
          </w:cols>
          <w:pgMar w:left="320" w:top="455" w:right="51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Company Reorganisation as they represented of the issued share capital of the Original Company before the Pre-Closing Demerger and the Company Reorganisation and for the avoidance of doubt excluding (i) the Additional Issuances and (ii) the Newly Issued Shares;</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means any Law or Order related to import and export controls administered and enforced by the European Union, the United Kingdom or United States, including the U.S. Export Administration Regulations, the International Traffic in Arms Regulations such other controls administered by the U.S. Customs and Border Protection.</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 the Payment Services Regulations 2017, the Financial Services and Markets Act 2000 or any similar, successor or replacement authority which takes on any or all of the rights and responsibilities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 Handbook</w:t>
      </w:r>
      <w:r>
        <w:rPr>
          <w:rFonts w:ascii="Times New Roman" w:cs="Times New Roman" w:eastAsia="Times New Roman" w:hAnsi="Times New Roman"/>
          <w:sz w:val="18"/>
          <w:szCs w:val="18"/>
          <w:color w:val="auto"/>
        </w:rPr>
        <w:t>” means the Handbook of Rules and Guidance published by the FCA (as amended from time to time).</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means the Exchange Act, the Securities Act and the other U.S. federal securities laws and the rules and regulations of the SEC promulgated thereunder or otherwise.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FSMA</w:t>
      </w:r>
      <w:r>
        <w:rPr>
          <w:rFonts w:ascii="Times New Roman" w:cs="Times New Roman" w:eastAsia="Times New Roman" w:hAnsi="Times New Roman"/>
          <w:sz w:val="17"/>
          <w:szCs w:val="17"/>
          <w:color w:val="auto"/>
        </w:rPr>
        <w:t>” means the UK Financial Services and Markets Act 2000 and any legislation and regulation made thereunder, all as amended from time to</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from time to time.</w:t>
      </w:r>
    </w:p>
    <w:p>
      <w:pPr>
        <w:spacing w:after="0" w:line="225"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means the legal document(s) by which any Person (other than an individual) establishes its legal existence or which govern its internal affairs. For example, the “Governing Documents” of a U.K. private limited company are its memorandum and articles of association, the “Governing Documents” of a Cayman Islands exempted company are its memorandum and articles of association, and the “Governing Documents” of a U.S. corporation are its certificate or articles of incorporation (or analogous document) and by-laws, the “Governing Documents” of a U.S. limited partnership are its limited partnership agreement and certificate of limited partnership (or analogous document), the “Governing Documents” of a U.S. limited liability company are its operating or limited liability company agreement and certificate of formation (or analogous document).</w:t>
      </w:r>
    </w:p>
    <w:p>
      <w:pPr>
        <w:spacing w:after="0" w:line="173"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spacing w:after="0" w:line="1" w:lineRule="exact"/>
        <w:rPr>
          <w:sz w:val="20"/>
          <w:szCs w:val="20"/>
          <w:color w:val="auto"/>
        </w:rPr>
      </w:pPr>
    </w:p>
    <w:p>
      <w:pPr>
        <w:ind w:left="120" w:right="440" w:hanging="4"/>
        <w:spacing w:after="0" w:line="260" w:lineRule="auto"/>
        <w:tabs>
          <w:tab w:leader="none" w:pos="36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body exercising or entitled to exercise any administrative, executive, judicial, legislative, police, regulatory, or taxing authority or power of any nature, including any arbitral tribunal (public or private) whether supernational, national regional or local.</w:t>
      </w:r>
    </w:p>
    <w:p>
      <w:pPr>
        <w:spacing w:after="0" w:line="18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Original Company and its Subsidiaries or, after the Demerger Completion, the New Company and its Subsidiaries.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hazardous, toxic, explosive or radioactive material, substance, waste or other pollutant that is regulated by, or may give rise to Liability pursuant to, any Environmental Law, including any petroleum products or byproducts, asbestos, lead, polychlorinated biphenyls, per- and poly-fluoroakyl substances, or radon.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as of any time, without duplication, with respect to any Person, the outstanding principal amount of, accrued and unpaid interest on, fees and expenses, and breakage of prepayment penalties or premiums that are payable arising under or in respect of (a) indebtedness for borrowed money (including the current portion thereof), (b) other obligations evidenced by any note, bond, debenture or other debt security,</w:t>
      </w:r>
    </w:p>
    <w:p>
      <w:pPr>
        <w:spacing w:after="0" w:line="2" w:lineRule="exact"/>
        <w:rPr>
          <w:sz w:val="20"/>
          <w:szCs w:val="20"/>
          <w:color w:val="auto"/>
        </w:rPr>
      </w:pPr>
    </w:p>
    <w:p>
      <w:pPr>
        <w:ind w:left="120" w:right="20" w:hanging="4"/>
        <w:spacing w:after="0" w:line="265" w:lineRule="auto"/>
        <w:tabs>
          <w:tab w:leader="none" w:pos="365"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for the deferred purchase price of property or assets, including “earn-outs” and “seller notes” (calculated assuming the maximum amount payable with respect thereto, whether or not contingent), (d) reimbursement and other obligations with respect to letters of credit, bank guarantees, bankers’ acceptances or other similar instruments, in each case, solely to the extent drawn (e) derivative, hedging, swap, foreign exchange or similar arrangements, including swaps, caps, collars, hedges or similar arrangements, in each case, to the extent of the liability in respect of such arrangement as of such time, (f) amounts owed to any holder of equity securities of the Group Companies or to such holder’s Affiliates (other than (1) amounts solely between or among the Group Companies and (2) liabilities under ordinary course of business commercial arrangements, salary, wages and bonuses), and</w:t>
      </w:r>
    </w:p>
    <w:p>
      <w:pPr>
        <w:ind w:left="120" w:right="160" w:hanging="4"/>
        <w:spacing w:after="0" w:line="260" w:lineRule="auto"/>
        <w:tabs>
          <w:tab w:leader="none" w:pos="37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obligations of any other Person of the type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directly or indirectly guaranteed by such Person or secured by any assets of such Person, whether or not such Indebtedness has been assumed by such Person.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Deed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rights and related priority rights protected, created or arising in any jurisdiction or under any international convention, including all (a) patents and patent applications, rights in inventions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trade names, service names, brand names, trade dress rights, logos, get-up, domain names and URLs, corporate names and other source or business identifiers, together with the goodwill associated with any of the foregoing, and all applications, registrations, extensions and renewals of any of the foregoing; (c) copyrights and works of authorship, database and design rights, rights in data, and other sui generis rights, mask work rights and moral rights, rights to sue for passing off and in unfair competition, whether or not registered or published, and all registrations, applications, renewals, extensions and reversions of any of any of the foregoing; (d) rights of privacy and publicity, including rights to the use of names, likenesses, images, voices, signatures and biographical information of real perIs; (e) trade secrets, know-how and confidential and proprietary information, including invention disclosures, inventions and formulae, whether patentable or not; (f) rights in or to Software or other technology; and (g) rights in opposition proceedings and any other intellectual or proprietary rights protectable, arising under or associated with any of the foregoing, including those protected by any Law anywhere in the world.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ITEPA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Key Company Shareholder</w:t>
      </w:r>
      <w:r>
        <w:rPr>
          <w:rFonts w:ascii="Times New Roman" w:cs="Times New Roman" w:eastAsia="Times New Roman" w:hAnsi="Times New Roman"/>
          <w:sz w:val="17"/>
          <w:szCs w:val="17"/>
          <w:color w:val="auto"/>
        </w:rPr>
        <w:t>” means all Company Shareholders that are (a) executive officers, directors, affiliates or founders of the Company or the Company Subsidiaries, including each of their respective family members and (b) 5% or greater holders of voting equity securities of the Company.</w:t>
      </w:r>
    </w:p>
    <w:p>
      <w:pPr>
        <w:spacing w:after="0" w:line="140" w:lineRule="exact"/>
        <w:rPr>
          <w:sz w:val="20"/>
          <w:szCs w:val="20"/>
          <w:color w:val="auto"/>
        </w:rPr>
      </w:pPr>
    </w:p>
    <w:p>
      <w:pPr>
        <w:jc w:val="center"/>
        <w:ind w:right="32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means Dan Wagner, Arthur Yao, Sauvik Banerjjee, Peter Vesco, Salman Ahmed, Mark Turner and Richard Burchill. A-12</w:t>
      </w:r>
    </w:p>
    <w:p>
      <w:pPr>
        <w:sectPr>
          <w:pgSz w:w="11900" w:h="16838" w:orient="portrait"/>
          <w:cols w:equalWidth="0" w:num="1">
            <w:col w:w="11140"/>
          </w:cols>
          <w:pgMar w:left="320" w:top="455" w:right="43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foreign, national or supranational statute, law (including common law), act, statute, ordinance, treaty, rule, code, Order, judgment, injunction, award, decree, writ, regulation or other binding directive or guidance issued, promulgated or enforced by a Governmental Entity having jurisdiction over a given matter including without limitation, any provisions of FSMA, the principles, regulations, rules or guidance set out in the FCA Handbook, any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or in any other county in which a Group Company is incorporated, has any presence or provides any services or carries on any activities, in all cases as amended from time-to-time.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and obligations, whether accrued or fixed, absolute or contingent, known or unknown, matured or unmatured or determined or determinable, including those arising under any Law (including any Environmental Law), Proceeding or Order and those arising under any Contract, agreement, commitment or undertaking.</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introductory paragraph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-7620</wp:posOffset>
            </wp:positionV>
            <wp:extent cx="8470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Time</w:t>
      </w:r>
      <w:r>
        <w:rPr>
          <w:rFonts w:ascii="Times New Roman" w:cs="Times New Roman" w:eastAsia="Times New Roman" w:hAnsi="Times New Roman"/>
          <w:sz w:val="18"/>
          <w:szCs w:val="18"/>
          <w:color w:val="auto"/>
        </w:rPr>
        <w:t>” means 12:01 a.m. Eastern Time on the Closing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has the meaning set out in Section 2.1(c).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29845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98450" cy="8890"/>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Newly Issued Shares</w:t>
      </w:r>
      <w:r>
        <w:rPr>
          <w:rFonts w:ascii="Times New Roman" w:cs="Times New Roman" w:eastAsia="Times New Roman" w:hAnsi="Times New Roman"/>
          <w:sz w:val="18"/>
          <w:szCs w:val="18"/>
          <w:color w:val="auto"/>
        </w:rPr>
        <w:t>” means (i) those 163,265 Company Shares which were issued by the Original Company to Igor Lychagov on 25 January 2023, (ii) 612,245 Company Shares issued to Bradley Wickens on 7 December 2022, (iii) 612,245 Company Shares issued to Apeiron Investment Group Limited on 7 December 2022 and (iv) those 816,326 Company Shares issued to Jeremy San on 16 November 2022 and the references to the numbers of shares in (i), (ii), (iii) and (iv) shall be after the Pre-Closing Demerger and the Company Reorganisation to such number of Company Shares in the New Company as represents an equivalent proportion of the then issued share capital of the New Company immediately after the Pre-Closing Demerger and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0"/>
        <w:spacing w:after="0" w:line="282" w:lineRule="auto"/>
        <w:rPr>
          <w:sz w:val="20"/>
          <w:szCs w:val="20"/>
          <w:color w:val="auto"/>
        </w:rPr>
      </w:pPr>
      <w:r>
        <w:rPr>
          <w:rFonts w:ascii="Times New Roman" w:cs="Times New Roman" w:eastAsia="Times New Roman" w:hAnsi="Times New Roman"/>
          <w:sz w:val="18"/>
          <w:szCs w:val="18"/>
          <w:color w:val="auto"/>
        </w:rPr>
        <w:t>Reorganisation as they represented of the issued share capital of the Original Company before the Pre-Closing Demerger and the Company Reorganisation.).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subject to or licensed, provided or distributed under any open source license (including any Copyleft License), including any license meeting the Open Source Definition (as promulgated by the Open Source Initiative) or the Free Software Definition (as promulgated by the Free Software Foundation), or any substantially similar license.</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outstanding writ, order, judgment, injunction, decision, determination, award, ruling, subpoena, verdict or decree entered, issued or rendered by any Governmental Entity having jurisdiction over such matter.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shares of £0.0001 each in the capital of the Company, designated as “Ordinary Shares” pursuant to the Articles of Association of the Original Company.</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Series A Shares</w:t>
      </w:r>
      <w:r>
        <w:rPr>
          <w:rFonts w:ascii="Times New Roman" w:cs="Times New Roman" w:eastAsia="Times New Roman" w:hAnsi="Times New Roman"/>
          <w:sz w:val="18"/>
          <w:szCs w:val="18"/>
          <w:color w:val="auto"/>
        </w:rPr>
        <w:t>” means the series A preferred shares of £0.0001 each in capital of the Original Company, designated as “Series A Shares” pursuant to the Articles of Association of the Original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collectively, the holders of Original Company Shares as of any determination time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Original Company Series A Shares and the Original Company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Closing Company Financial Statements</w:t>
      </w:r>
      <w:r>
        <w:rPr>
          <w:rFonts w:ascii="Times New Roman" w:cs="Times New Roman" w:eastAsia="Times New Roman" w:hAnsi="Times New Roman"/>
          <w:sz w:val="18"/>
          <w:szCs w:val="18"/>
          <w:color w:val="auto"/>
        </w:rPr>
        <w:t xml:space="preserve">” has the meaning set foI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any approvals, authorizations, clearances, consents, filings, licenses, registrations, permits, easements, Orders, franchises, qualifications, rulings, waivers, variances, certificates, or other form of permission, consent, exemption or authority issued, granted, given or otherwise made available by or under the authority of any Governmental Entity, including without limitation, any Permits issued or granted by or under the FCA, any Permits issued any other countries in which any Group Company is incorporated, has any presence or provides any services or carries on any activities, or any Permits issued or granted by another Governmental Entity in the European Union pursuant to any applicable Law (including, without limitation, Part 4A of FSMA),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in all cases as amended from time-to-time.</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mechanic’s, materialmen’s, carriers’, repairers’ and other similar statutory Liens arising or incurred in the ordinary course of business for amounts that are not yet due and payable or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being contested in good faith by appropriate proceedings and for which sufficient reserves have been established in accordance with GAAP, as applicable, (b) statutory Liens for Taxes, assessments or other governmental charges not yet due and payable as of the Closing Date or which are being contested in good faith by appropriate proceedings and for which sufficient reserves have been established in accordance with GAAP, as applicable,</w:t>
      </w:r>
    </w:p>
    <w:p>
      <w:pPr>
        <w:spacing w:after="0" w:line="2" w:lineRule="exact"/>
        <w:rPr>
          <w:sz w:val="20"/>
          <w:szCs w:val="20"/>
          <w:color w:val="auto"/>
        </w:rPr>
      </w:pPr>
    </w:p>
    <w:p>
      <w:pPr>
        <w:ind w:left="120" w:right="60" w:hanging="4"/>
        <w:spacing w:after="0" w:line="253" w:lineRule="auto"/>
        <w:tabs>
          <w:tab w:leader="none" w:pos="36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w:t>
      </w:r>
    </w:p>
    <w:p>
      <w:pPr>
        <w:spacing w:after="0" w:line="187"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(a) can, alone or when combined with other information, identify a natural person, or (b) is otherwise subject to applicable Laws or any privacy policies of the Company governing personal information.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Subscription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Authorized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Armada Shareholders</w:t>
      </w:r>
      <w:r>
        <w:rPr>
          <w:rFonts w:ascii="Times New Roman" w:cs="Times New Roman" w:eastAsia="Times New Roman" w:hAnsi="Times New Roman"/>
          <w:sz w:val="18"/>
          <w:szCs w:val="18"/>
          <w:color w:val="auto"/>
        </w:rPr>
        <w:t>” means the holders of Armada Shares as of any time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“Pre-Closing Demerger”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Previously-owned Land and Buildings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applicable laws in any jurisdiction relating to privacy or the processing or protection of personal data, including (without limitation) the General Data Protection Regulation (Regulation (EU) 2016/679)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the UK Data Protection Act 2018, the GDPR as it forms part of the laws of England and Wales, Scotland and Northern Ireland by virtue of section 3 of the European Union (Withdrawal) Act 2018, and the e-Privacy Directive (2002/58/EC), and including any predecessor, successor or implementing legislation in respect of the foregoing, and any amendments or re-enactments of the foregoing.</w:t>
      </w:r>
    </w:p>
    <w:p>
      <w:pPr>
        <w:spacing w:after="0" w:line="183"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lawsuit, litigation, action, audit, examination, claim, complaint, charge, investigation, demand, proceeding, suit or arbitration (in each case, whether civil, criminal or administrative and whether public or private) pending by or before or otherwise involving any Governmental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Promised Options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80"/>
          </w:cols>
          <w:pgMar w:left="320" w:top="455" w:right="49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Warrant</w:t>
      </w:r>
      <w:r>
        <w:rPr>
          <w:rFonts w:ascii="Times New Roman" w:cs="Times New Roman" w:eastAsia="Times New Roman" w:hAnsi="Times New Roman"/>
          <w:sz w:val="18"/>
          <w:szCs w:val="18"/>
          <w:color w:val="auto"/>
        </w:rPr>
        <w:t>” means each warrant to purchase one Armada Share at an issue price of $11.50 per share, which are listed on the NASDAQ under the ticker symbol “AACIW.”</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means all leases, sub-leases, licenses, concessions or other agreements, in each case, pursuant to which any Group Company leases or sub-leases any real property (including, without limitation, all amendments, extensions, renewals, guaranties, and other agreements with respect thereto).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Reissued Options</w:t>
      </w:r>
      <w:r>
        <w:rPr>
          <w:rFonts w:ascii="Times New Roman" w:cs="Times New Roman" w:eastAsia="Times New Roman" w:hAnsi="Times New Roman"/>
          <w:sz w:val="18"/>
          <w:szCs w:val="18"/>
          <w:color w:val="auto"/>
        </w:rPr>
        <w:t>” shall mean the options to purchase Company Shares issued following the Closing Date in lieu of the Promised Options.</w:t>
      </w:r>
    </w:p>
    <w:p>
      <w:pPr>
        <w:spacing w:after="0" w:line="225"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 / Proxy Statement</w:t>
      </w:r>
      <w:r>
        <w:rPr>
          <w:rFonts w:ascii="Times New Roman" w:cs="Times New Roman" w:eastAsia="Times New Roman" w:hAnsi="Times New Roman"/>
          <w:sz w:val="17"/>
          <w:szCs w:val="17"/>
          <w:color w:val="auto"/>
        </w:rPr>
        <w:t>” means a registration statement on Form F-4 relating to the transactions contemplated by this Agreement and the Ancillary Documents and containing a joint proxy statement/prospectus of the Company therein, and a proxy statement of Armada.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Group Company</w:t>
      </w:r>
      <w:r>
        <w:rPr>
          <w:rFonts w:ascii="Times New Roman" w:cs="Times New Roman" w:eastAsia="Times New Roman" w:hAnsi="Times New Roman"/>
          <w:sz w:val="18"/>
          <w:szCs w:val="18"/>
          <w:color w:val="auto"/>
        </w:rPr>
        <w:t>” means a Group Company holding a Permit.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Code of Conduct</w:t>
      </w:r>
      <w:r>
        <w:rPr>
          <w:rFonts w:ascii="Times New Roman" w:cs="Times New Roman" w:eastAsia="Times New Roman" w:hAnsi="Times New Roman"/>
          <w:sz w:val="18"/>
          <w:szCs w:val="18"/>
          <w:color w:val="auto"/>
        </w:rPr>
        <w:t>” includes the rules and guidance set out in the code of conduct in the FCA Handbook and related conduct rules and standards.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controlled Affiliates and its and such controlled Affiliates’ respective directors, officers, managers, employees, members, owners, accountants, consultants, advisors, attorneys, agents and other representatives.</w:t>
      </w:r>
    </w:p>
    <w:p>
      <w:pPr>
        <w:spacing w:after="0" w:line="16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Approvals</w:t>
      </w:r>
      <w:r>
        <w:rPr>
          <w:rFonts w:ascii="Times New Roman" w:cs="Times New Roman" w:eastAsia="Times New Roman" w:hAnsi="Times New Roman"/>
          <w:sz w:val="18"/>
          <w:szCs w:val="18"/>
          <w:color w:val="auto"/>
        </w:rPr>
        <w:t>” means the affirmative approval of an Investor Majority (as defined in the Company Shareholder Agreement) and of the Series A Investor Approval (as defined in the articles of association of the Original Company and of the New Company to be adopted as part of the Pre-Closing Demerger and the passing of special resolutions of the Original Company and the Company to approve and authorize the transactions contemplated in this Agreement, including but not limited to the Pre-Closing Demerger and Pre-Closing Reorganization.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“Reserve Shares” means a number of additional Company Shares to be issued on or after Closing as the board of directors of the Original Company or after the Pre-Closing Demerger the New Company may determine and including (but not limited to) 50,000,000 Company Shares provided that after the Pre-Closing Demerger and the Company Reorganisation the reference to 50,000,000 Company Shares shall be to such number of Company Shares in the New Company as represents an equivalent proportion of the then issued share capital of the New Company immediately after the Pre-Closing Demerger and Company Reorganisation as such number would have represented of the issued share capital of the Original Company before the Pre-Closing Demerger and the Company Reorganisation.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 Agreements</w:t>
      </w:r>
      <w:r>
        <w:rPr>
          <w:rFonts w:ascii="Times New Roman" w:cs="Times New Roman" w:eastAsia="Times New Roman" w:hAnsi="Times New Roman"/>
          <w:sz w:val="18"/>
          <w:szCs w:val="18"/>
          <w:color w:val="auto"/>
        </w:rPr>
        <w:t>” has the meaning set out in Section 5.18(b).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-7620</wp:posOffset>
            </wp:positionV>
            <wp:extent cx="36195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Rezolve USA Acquisition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Rezolve USA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that is targeted by comprehensive export, import, financial or investment embargo under any Sanctions Laws (which currently comprise Cuba, Iran, North Korea, Syria, and the Crimea region of Ukraine).</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(i) any Person included on any restricted party list administered by the European Union, the United Kingdom, or the United States, including, without limitation, the UK Consolidated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List of Financial Sanctions Targets, the Consolidated List of Persons, Groups, or Entities Subject to EU Financial Sanctions, and the U.S. Specially Designated Nationals and Block Persons List; (ii) any Person that is ordinarily resident in or organized under the laws of a Sanctioned Country; or</w:t>
      </w:r>
    </w:p>
    <w:p>
      <w:pPr>
        <w:spacing w:after="0" w:line="1" w:lineRule="exact"/>
        <w:rPr>
          <w:sz w:val="20"/>
          <w:szCs w:val="20"/>
          <w:color w:val="auto"/>
        </w:rPr>
      </w:pPr>
    </w:p>
    <w:p>
      <w:pPr>
        <w:ind w:left="440" w:hanging="324"/>
        <w:spacing w:after="0"/>
        <w:tabs>
          <w:tab w:leader="none" w:pos="4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of a Sanctioned Country; or (iv) any Person that is owned or controlled by one or more persons described in (i), (ii), or</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collectively, the Company Disclosure Schedules and the Armada Disclosure Schedules.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Federal Securities Laws and other applicable foreign and domestic securities or similar Laws.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actions that result in an actual, cyber or security incident that has an adverse effect on a Company IT System, Personal Data or any Company trade secret (including any processed, stored, or transmitted thereby or contained therein), including an occurrence that jeopardizes the confidentiality, integrity, or availability of a Company IT System, Personal Data or any Company trade secret. A Security Incident includes incidents of security breaches or intrusions, denial of service, or unauthorized entry, access, collection, use, processing, storage, sharing, distribution, transfer, disclosure, or destruction of, any Company IT Systems, Personal Data or Company trade secrets, or any loss, distribution, compromise or unauthorized disclosure of any of the foregoing.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Function</w:t>
      </w:r>
      <w:r>
        <w:rPr>
          <w:rFonts w:ascii="Times New Roman" w:cs="Times New Roman" w:eastAsia="Times New Roman" w:hAnsi="Times New Roman"/>
          <w:sz w:val="18"/>
          <w:szCs w:val="18"/>
          <w:color w:val="auto"/>
        </w:rPr>
        <w:t>” means a function specified for the purposes of section 63E of FSMA in the FCA Handbook (as applicable) from time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Group</w:t>
      </w:r>
      <w:r>
        <w:rPr>
          <w:rFonts w:ascii="Times New Roman" w:cs="Times New Roman" w:eastAsia="Times New Roman" w:hAnsi="Times New Roman"/>
          <w:sz w:val="18"/>
          <w:szCs w:val="18"/>
          <w:color w:val="auto"/>
        </w:rPr>
        <w:t>” mean the Sponsor and each of its members, directors and officers and each of the directors and officers of Armada.</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limited liability company, partnership or other similar ownership interests thereof is at the time owned or controlled, directly or indirectly,</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20"/>
          </w:cols>
          <w:pgMar w:left="320" w:top="455" w:right="55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have the right to appoint a majority of the Board of Directors of such business entity (other than a corporation). The term “Subsidiary” shall include all Subsidiaries of such Subsidiary.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Entity Governing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U.S.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additions to tax, or additional amounts imposed by any Governmental Entity with respect thereto, whether disputed or not, and including any secondary Liability for any of the aforementioned.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Governmental Entity responsible for the collection, imposition or administration of Taxes or Tax Returns.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Consolidation</w:t>
      </w:r>
      <w:r>
        <w:rPr>
          <w:rFonts w:ascii="Times New Roman" w:cs="Times New Roman" w:eastAsia="Times New Roman" w:hAnsi="Times New Roman"/>
          <w:sz w:val="18"/>
          <w:szCs w:val="18"/>
          <w:color w:val="auto"/>
        </w:rPr>
        <w:t>” means any fiscal unity or Tax consolidation arrangement between two or more companies the effect of which is to treat those companies as a single entity for any Tax purpose.</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returns, declarations, reports, claims for refund, information returns, elections, disclosures, statements, or other documents (including any related or supporting schedules, attachments, statements or information, and including any amendments thereof) filed or required to be filed with a Tax Authority in connection with, or relating to, Taxes.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Pool Percentage</w:t>
      </w:r>
      <w:r>
        <w:rPr>
          <w:rFonts w:ascii="Times New Roman" w:cs="Times New Roman" w:eastAsia="Times New Roman" w:hAnsi="Times New Roman"/>
          <w:sz w:val="18"/>
          <w:szCs w:val="18"/>
          <w:color w:val="auto"/>
        </w:rPr>
        <w:t>” means a number of Company Shares equal to five percent (5%) of the fully diluted issued and outstanding Equity Securities of the Company as of the Closing or such larger percentage as increased pursuant to Section 5.17(b) .</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all transfer, documentary, sales, use, stamp, registration, notarial fees and other similar Taxes and fees incurred in connection with the transactions contemplated by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Armada Expenses</w:t>
      </w:r>
      <w:r>
        <w:rPr>
          <w:rFonts w:ascii="Times New Roman" w:cs="Times New Roman" w:eastAsia="Times New Roman" w:hAnsi="Times New Roman"/>
          <w:sz w:val="18"/>
          <w:szCs w:val="18"/>
          <w:color w:val="auto"/>
        </w:rPr>
        <w:t>” means the Armada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Company Expenses</w:t>
      </w:r>
      <w:r>
        <w:rPr>
          <w:rFonts w:ascii="Times New Roman" w:cs="Times New Roman" w:eastAsia="Times New Roman" w:hAnsi="Times New Roman"/>
          <w:sz w:val="18"/>
          <w:szCs w:val="18"/>
          <w:color w:val="auto"/>
        </w:rPr>
        <w:t>” means the Company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“Wickens New Shares” means the 850,000 Company Shares issued to Bradley Wickens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color w:val="auto"/>
        </w:rPr>
        <w:t>. On the terms and subject to the conditions set forth in this Agreement, the following transactions shall occur:</w:t>
      </w:r>
    </w:p>
    <w:p>
      <w:pPr>
        <w:spacing w:after="0" w:line="229" w:lineRule="exact"/>
        <w:rPr>
          <w:sz w:val="20"/>
          <w:szCs w:val="20"/>
          <w:color w:val="auto"/>
        </w:rPr>
      </w:pPr>
    </w:p>
    <w:p>
      <w:pPr>
        <w:ind w:left="120" w:firstLine="987"/>
        <w:spacing w:after="0" w:line="252" w:lineRule="auto"/>
        <w:tabs>
          <w:tab w:leader="none" w:pos="13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xml:space="preserve">. On the first Business Day following the satisfaction (or, to the extent permitted by applicable Law,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or following the Company Reorganization, at the Merger Closing or at the Closing, as applicable), or on such other date and at such place or time as may be agreed to in writing by Armada and the Company (the “</w:t>
      </w:r>
      <w:r>
        <w:rPr>
          <w:rFonts w:ascii="Times New Roman" w:cs="Times New Roman" w:eastAsia="Times New Roman" w:hAnsi="Times New Roman"/>
          <w:sz w:val="18"/>
          <w:szCs w:val="18"/>
          <w:u w:val="single" w:color="auto"/>
          <w:color w:val="auto"/>
        </w:rPr>
        <w:t>Company Reorganization Date</w:t>
      </w:r>
      <w:r>
        <w:rPr>
          <w:rFonts w:ascii="Times New Roman" w:cs="Times New Roman" w:eastAsia="Times New Roman" w:hAnsi="Times New Roman"/>
          <w:sz w:val="18"/>
          <w:szCs w:val="18"/>
          <w:color w:val="auto"/>
        </w:rPr>
        <w:t xml:space="preserve">”), the Company Shareholders and the Company shall effect the Company Reorganization, pursuant to the terms and subject to the conditions set forth in this Agreement, and the other documents and agreements contemplated thereby. In connection with the Company Reorganization and the Merger (as defined below), the Company Shareholders shall: (i) approve the adoption by the Company of the Memorandum and Articles of Association of the Company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Pre-IPO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Association</w:t>
      </w:r>
      <w:r>
        <w:rPr>
          <w:rFonts w:ascii="Times New Roman" w:cs="Times New Roman" w:eastAsia="Times New Roman" w:hAnsi="Times New Roman"/>
          <w:sz w:val="18"/>
          <w:szCs w:val="18"/>
          <w:color w:val="auto"/>
        </w:rPr>
        <w:t xml:space="preserve">”) to take effect upon re-registration of the Company as a public limited company; and (ii) approve the adoption by the Company of the Memorandum and Articles of Association of the Company attached as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Articles of Association</w:t>
      </w:r>
      <w:r>
        <w:rPr>
          <w:rFonts w:ascii="Times New Roman" w:cs="Times New Roman" w:eastAsia="Times New Roman" w:hAnsi="Times New Roman"/>
          <w:sz w:val="18"/>
          <w:szCs w:val="18"/>
          <w:color w:val="auto"/>
        </w:rPr>
        <w:t xml:space="preserve">”), to become automatically effective on Closing. Notwithstanding anything to the contrary contained herein, no fraction of a Company Security will be issued by the Company by virtue of the Company Reorganization or the transactions contemplated hereby, and each Person who would otherwise be entitled to a fraction of a Company Security (after aggregating all fractional Company Securities that would otherwise be received by such Person) shall instead have the number of Company Securities issued to such Person rounded down in the aggregate to the nearest whole Company Security. It is agreed that (i) the Reserve Shares are to be issued on or after Closing and Additional Issuances may to the extent not already issued, be issued at any time; (ii) any Additional Issuances are to be dilutive of all holders of Equity Securities in the Company from time to time including on Closing and including Armada, any of its equity holders or any of their respective affiliates but subject in the case of the Additional Issuances to the final sentence of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(iii) any Company Shareholder’s holding of Company Shares issued pursuant to the Additional Issuances, or Reserve Shares or as otherwise envisaged in this Agreement shall be additional to his ASC Holding and (iv) for the avoidance of doubt any Company Shares issued after Closing (including without limitation the Reserve Shares) shall be dilutive of all holders of Equity Securities in the Company.</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00"/>
          </w:cols>
          <w:pgMar w:left="320" w:top="455" w:right="47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56"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xml:space="preserve">. Subject to the continuing satisfaction (or, to the extent permitted by applicable Law,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the Merger Closing or the Closing, as applicable),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Merger Effective Time, Rezolve Merger Sub shall be merged with and into Armada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Company Reorganization, the “</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whereupon Rezolve Merger Sub will cease to exist and with Armada surviving the Merger (Armada, as the surviving company (as defined in the DGCL) in the Merger, sometimes being referred to herein as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shall take place on the Merger Closing Date. The date on which the Merger Closing actually takes place is referred to as the “</w:t>
      </w: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On the Merger Closing Date, Armada and Rezolve Merger Sub shall (i) cause the plan of merger with respect to the Merger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substantially in the form as agreed to by the Parties at least five (5) Business Days prior to the Merger Closing Date, to be duly executed and filed with the Secretary of State of the State of Delaware and (ii) make any other filings, recordings or publications required to be made by Armada or Rezolve Merger Sub under the DGCL in connection with the Merger. The Merger shall become effective on the date and at the time of the filing of the Plan of Merger, in accordance with the DGCL (which the Parties agree shall be deemed effective as of 12:01 a.m. eastern standard time on the Merger Closing Date) (such date and time being hereinafter referred to as the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the Merger Effective Time, the Merger shall have the effects specified in the DGCL. Without limiting the generality of the foregoing, and subject thereto, at the Merger Effective Time, all the rights, property of every description including choses in action, and the business, undertaking, goodwill, benefits, immunities and privileges of each of Armada and Rezolve Merger Sub shall immediately vest in the Surviving Entity and the Surviving Entity shall be liable for and subject in the same manner as Armada and Rezolve Merger Sub to all mortgages, charges or security interests and all contracts, obligations, claims, debts and liabilities of Armada and Rezolve Merger Sub in accordance with the DGCL and as provided in this Agreement (including the Contracts entered into by Armada in connection with the IPO).</w:t>
      </w:r>
    </w:p>
    <w:p>
      <w:pPr>
        <w:spacing w:after="0" w:line="187"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33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The directors and officers of Armada as of immediately prior to the Merger Effective Time shall be the directors and officers of the Surviving Entity upon the Merger Effective Time until their respective successors are duly elected or appointed and qualified or until the earlier of their death, resignation or removal in accordance with the Certificate of Incorporation of the Surviving Entity.</w:t>
      </w:r>
    </w:p>
    <w:p>
      <w:pPr>
        <w:spacing w:after="0" w:line="175"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Entity Governing Documents</w:t>
      </w:r>
      <w:r>
        <w:rPr>
          <w:rFonts w:ascii="Times New Roman" w:cs="Times New Roman" w:eastAsia="Times New Roman" w:hAnsi="Times New Roman"/>
          <w:sz w:val="18"/>
          <w:szCs w:val="18"/>
          <w:color w:val="auto"/>
        </w:rPr>
        <w:t>. Without any further action on the part of Armada or Rezolve Merger Sub, the Certificate of Incorporation and Bylaws of Rezolve Merger Sub shall be the Governing Documents of the Surviving Entity (the “</w:t>
      </w:r>
      <w:r>
        <w:rPr>
          <w:rFonts w:ascii="Times New Roman" w:cs="Times New Roman" w:eastAsia="Times New Roman" w:hAnsi="Times New Roman"/>
          <w:sz w:val="18"/>
          <w:szCs w:val="18"/>
          <w:u w:val="single" w:color="auto"/>
          <w:color w:val="auto"/>
        </w:rPr>
        <w:t>Surviving Entity 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at the Merger Effective Time, except that references therein to Rezolve Merger Sub shall be treated as references to the Surviving Corporation.</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Shares</w:t>
      </w:r>
      <w:r>
        <w:rPr>
          <w:rFonts w:ascii="Times New Roman" w:cs="Times New Roman" w:eastAsia="Times New Roman" w:hAnsi="Times New Roman"/>
          <w:sz w:val="18"/>
          <w:szCs w:val="18"/>
          <w:color w:val="auto"/>
        </w:rPr>
        <w:t>. At the Merger Effective Time, by virtue of the Merger and without any action on the part of Armada or Rezolve Merger Sub or the holders of any securities of Armada:</w:t>
      </w:r>
    </w:p>
    <w:p>
      <w:pPr>
        <w:spacing w:after="0" w:line="53" w:lineRule="exact"/>
        <w:rPr>
          <w:rFonts w:ascii="Times New Roman" w:cs="Times New Roman" w:eastAsia="Times New Roman" w:hAnsi="Times New Roman"/>
          <w:sz w:val="18"/>
          <w:szCs w:val="18"/>
          <w:color w:val="auto"/>
        </w:rPr>
      </w:pPr>
    </w:p>
    <w:p>
      <w:pPr>
        <w:ind w:left="1100" w:right="80" w:firstLine="910"/>
        <w:spacing w:after="0" w:line="289" w:lineRule="auto"/>
        <w:tabs>
          <w:tab w:leader="none" w:pos="2297"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Armada Unit issued and outstanding immediately prior to the Merger Effective Time shall be cancelled in exchange for one (1) Company Share and one half of a Company Public Warrant and if any holder has any entitlement to a fraction of a Company Share or Company Public Warrant upon the exchange of all the Armada Units so held by him then that fraction shall be rounded down;</w:t>
      </w:r>
    </w:p>
    <w:p>
      <w:pPr>
        <w:spacing w:after="0" w:line="49" w:lineRule="exact"/>
        <w:rPr>
          <w:rFonts w:ascii="Times New Roman" w:cs="Times New Roman" w:eastAsia="Times New Roman" w:hAnsi="Times New Roman"/>
          <w:sz w:val="17"/>
          <w:szCs w:val="17"/>
          <w:color w:val="auto"/>
        </w:rPr>
      </w:pPr>
    </w:p>
    <w:p>
      <w:pPr>
        <w:ind w:left="1100" w:firstLine="910"/>
        <w:spacing w:after="0" w:line="266" w:lineRule="auto"/>
        <w:tabs>
          <w:tab w:leader="none" w:pos="2287"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Share issued and outstanding immediately prior to the Merger Effective Time shall be cancelled in exchange for one (1) Company Share and if any holder has any entitlement to a fraction of a Company Share upon the exchange of all the Armada Shares so held by him then that fraction shall be rounded down;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40"/>
          </w:cols>
          <w:pgMar w:left="320" w:top="455" w:right="43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300" w:hanging="290"/>
        <w:spacing w:after="0"/>
        <w:tabs>
          <w:tab w:leader="none" w:pos="230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Public Warrant issued and outstanding immediately prior to the Merger Effective Time shall be exchanged for one</w:t>
      </w:r>
    </w:p>
    <w:p>
      <w:pPr>
        <w:spacing w:after="0" w:line="27" w:lineRule="exact"/>
        <w:rPr>
          <w:rFonts w:ascii="Times New Roman" w:cs="Times New Roman" w:eastAsia="Times New Roman" w:hAnsi="Times New Roman"/>
          <w:sz w:val="18"/>
          <w:szCs w:val="18"/>
          <w:color w:val="auto"/>
        </w:rPr>
      </w:pPr>
    </w:p>
    <w:p>
      <w:pPr>
        <w:ind w:left="1100" w:right="300" w:firstLine="7"/>
        <w:spacing w:after="0" w:line="255" w:lineRule="auto"/>
        <w:tabs>
          <w:tab w:leader="none" w:pos="135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Public Warrant (or fraction thereof, as applicable and if any holder has any entitlement to a fraction of a Company Public Warrant upon the exchange of all the Public Warrants so held by him then that fraction shall be rounded down) and shall thereupon be deemed terminated and no longer outstanding.</w:t>
      </w:r>
    </w:p>
    <w:p>
      <w:pPr>
        <w:spacing w:after="0" w:line="186" w:lineRule="exact"/>
        <w:rPr>
          <w:sz w:val="20"/>
          <w:szCs w:val="20"/>
          <w:color w:val="auto"/>
        </w:rPr>
      </w:pPr>
    </w:p>
    <w:p>
      <w:pPr>
        <w:ind w:left="120" w:right="40" w:firstLine="987"/>
        <w:spacing w:after="0" w:line="312" w:lineRule="auto"/>
        <w:tabs>
          <w:tab w:leader="none" w:pos="1326"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Public Warrants, each of the Company Public Warrants shall have, and be subject to, substantially the same terms and conditions set forth in the Public Warrants, except that they shall represent the right to acquire Company Shares in lieu of Armada Shares.</w:t>
      </w:r>
    </w:p>
    <w:p>
      <w:pPr>
        <w:spacing w:after="0" w:line="139" w:lineRule="exact"/>
        <w:rPr>
          <w:rFonts w:ascii="Times New Roman" w:cs="Times New Roman" w:eastAsia="Times New Roman" w:hAnsi="Times New Roman"/>
          <w:sz w:val="17"/>
          <w:szCs w:val="17"/>
          <w:color w:val="auto"/>
        </w:rPr>
      </w:pPr>
    </w:p>
    <w:p>
      <w:pPr>
        <w:jc w:val="both"/>
        <w:ind w:left="120" w:right="240" w:firstLine="987"/>
        <w:spacing w:after="0" w:line="266" w:lineRule="auto"/>
        <w:tabs>
          <w:tab w:leader="none" w:pos="132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Merger Effective Time, all Armada Shares, Armada Units and Public Warrants shall no longer be outstanding and shall automatically be cancelled and shall cease to exist, and each holder of an Armada Share, Armada Unit or Public Warrant shall cease to have any rights with respect thereto, which shall have been exchanged in accordance with Section 2.1(h).</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Closing of the Transactions Contemplated by this Agreement</w:t>
      </w:r>
      <w:r>
        <w:rPr>
          <w:rFonts w:ascii="Times New Roman" w:cs="Times New Roman" w:eastAsia="Times New Roman" w:hAnsi="Times New Roman"/>
          <w:sz w:val="18"/>
          <w:szCs w:val="18"/>
          <w:color w:val="auto"/>
        </w:rPr>
        <w:t>. The closing of the transactions contemplated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on the Merger Closing Date, immediately prior to the Merger Effective Time, electronically by exchange of the closing executed deliverables. The date on which the Closing occurs is referred to in this Agreement as the “</w:t>
      </w:r>
      <w:r>
        <w:rPr>
          <w:rFonts w:ascii="Times New Roman" w:cs="Times New Roman" w:eastAsia="Times New Roman" w:hAnsi="Times New Roman"/>
          <w:sz w:val="18"/>
          <w:szCs w:val="18"/>
          <w:u w:val="single" w:color="auto"/>
          <w:color w:val="auto"/>
        </w:rPr>
        <w:t>Closing Dat</w:t>
      </w:r>
      <w:r>
        <w:rPr>
          <w:rFonts w:ascii="Times New Roman" w:cs="Times New Roman" w:eastAsia="Times New Roman" w:hAnsi="Times New Roman"/>
          <w:sz w:val="18"/>
          <w:szCs w:val="18"/>
          <w:color w:val="auto"/>
        </w:rPr>
        <w:t>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Closing Statement; Aggregate Transaction Proceeds</w:t>
      </w:r>
    </w:p>
    <w:p>
      <w:pPr>
        <w:spacing w:after="0" w:line="229" w:lineRule="exact"/>
        <w:rPr>
          <w:sz w:val="20"/>
          <w:szCs w:val="20"/>
          <w:color w:val="auto"/>
        </w:rPr>
      </w:pPr>
    </w:p>
    <w:p>
      <w:pPr>
        <w:ind w:left="120" w:right="60" w:firstLine="987"/>
        <w:spacing w:after="0" w:line="253" w:lineRule="auto"/>
        <w:tabs>
          <w:tab w:leader="none" w:pos="135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prior to the anticipated Closing Date, Armada shall deliver to the Company a statement (the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Payments Statement</w:t>
      </w:r>
      <w:r>
        <w:rPr>
          <w:rFonts w:ascii="Times New Roman" w:cs="Times New Roman" w:eastAsia="Times New Roman" w:hAnsi="Times New Roman"/>
          <w:sz w:val="18"/>
          <w:szCs w:val="18"/>
          <w:color w:val="auto"/>
        </w:rPr>
        <w:t>”) setting forth (i) Armada’s good faith calculation of the Aggregate Transaction Proceeds, including each subcomponent thereof, and reasonably detailed supporting documentation therefor, and (ii) Armada’s good faith calculation, together with reasonable supporting detail of the amount of Unpaid Armada Expenses (together with invoices evidencing any Unpaid Armada Expenses payable to third parties), calculated in a manner consistent with the applicable definitions and amounts contained in this Agreement. Notwithstanding the foregoing, Armada may update the Armada Closing Payments Statement if any of the calculations or amounts shown therein are incorrect as a result of changes in the number of Armada shareholders participating in the Armada Shareholder Redemption or changes in the Aggregate Closing PIPE Proceeds, and in such event all of the calculations derived from the Armada Closing Payments Statement, shall be updated for all purposes under this Agreement prior to the Closing. Prior to the Armada Shareholders Meeting after the final date for delivery of redemption notices with respect to Armada Shares, Armada shall advise the Company of the number of Armada Shares with respect to which valid requests for redemption were received prior to such final date and not validly withdrawn.</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5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anticipated Closing Date, the Company shall prepare and deliver to Armada (i) an estimated consolidated balance sheet of the Group Companies as of the Measurement Time (the “</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and (ii)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the Company’s good faith calculation, together with reasonable supporting detail, of the amount of Unpaid Company Expenses (together with invoices evidencing any Unpaid Company Expenses payable to third parties) and Unpaid Armada Expenses, in each case, calculated in a manner consistent with the applicable definitions and amounts contained in this Agreement and with the Armada Closing Payments Statement.</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5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delivery of the Armada Closing Payments Statement, Estimated Closing Balance Sheet, and the Closing Statement until the date the Armada Closing Payments Statement, Estimated Closing Balance Sheet, and the Closing Statement are deemed final pursuanIo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each Party shall (i) provide the other Party and its Representatives with reasonable access during reasonable times during normal business hours and upon reasonable prior notice to the books and records of the Group Companies or Armada (as applicable) and to senior management personnel of the Group Companies or Armada (as applicable), in each case to the extent reasonably requested by a Party or any of its Representatives in connection with their review of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Armada Closing Payments Statement, Estimated Closing Balance Sheet, and the Closing Statement, (ii) cooperate with the other Party and its Representatives in connection with their review of the Armada Closing Payments Statement, Estimated Closing Balance Sheet and the Closing Statement and (iii) consider in good faith any potential adjustments raised by the other Party to the Armada Closing Payments Statement, Estimated Closing Balance Sheet, and the Closing Statement and make any corresponding changes to the Armada Closing Payments Statement, Estimated Closing Balance Sheet, and the Closing Statement agreed to by the Company or Armada, as applicable, no later than one (1) Business Day prior to the Closing. Absent manifest error, for all purposes under this Agreement, the final, binding and conclusive calculations of the Armada Closing Payments Statement, Estimated Closing Balance Sheet and the Closing Statement shall be those reflecting the adjustments (if any) made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Promissory Note; Closing Date Cash Payments and Uses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00" w:firstLine="987"/>
        <w:spacing w:after="0" w:line="312" w:lineRule="auto"/>
        <w:tabs>
          <w:tab w:leader="none" w:pos="1356" w:val="left"/>
        </w:tabs>
        <w:numPr>
          <w:ilvl w:val="1"/>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Closing, the Surviving Company shall loan all remaining cash in the Trust Account distributed to Armada to the Company in exchange for a promissory note issued by the Company to Armada substantially in the form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Promissory Note</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120" w:right="100" w:firstLine="987"/>
        <w:spacing w:after="0" w:line="266" w:lineRule="auto"/>
        <w:tabs>
          <w:tab w:leader="none" w:pos="1366"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or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Closing, but subject to the satisfaction or waiver in writing of those conditions), at the Closing and in consideration for the transactions contemplated herein, the Parties shall disburse all Aggregate Transaction Proceeds in the following order of priority:</w:t>
      </w:r>
    </w:p>
    <w:p>
      <w:pPr>
        <w:spacing w:after="0" w:line="67" w:lineRule="exact"/>
        <w:rPr>
          <w:rFonts w:ascii="Times New Roman" w:cs="Times New Roman" w:eastAsia="Times New Roman" w:hAnsi="Times New Roman"/>
          <w:sz w:val="18"/>
          <w:szCs w:val="18"/>
          <w:color w:val="auto"/>
        </w:rPr>
      </w:pPr>
    </w:p>
    <w:p>
      <w:pPr>
        <w:jc w:val="both"/>
        <w:ind w:left="560" w:right="220" w:firstLine="419"/>
        <w:spacing w:after="0" w:line="261" w:lineRule="auto"/>
        <w:tabs>
          <w:tab w:leader="none" w:pos="119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pay, at the Closing, (i) on behalf of the Group Companies, all Unpaid Company Expenses and (ii) on behalf of Armada, all Unpaid Armada Expenses, in each case, by wire transfer of immediately available funds on behalf of the Persons that incurred such Unpaid Armada Expenses and Unpaid Company Expenses or by whom such Unpaid Armada Expenses and Unpaid Company Expenses are payable; and</w:t>
      </w:r>
    </w:p>
    <w:p>
      <w:pPr>
        <w:spacing w:after="0" w:line="71"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24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any remaining amount of Aggregate Transaction Proceeds shall be funded as primary capital to the Company or its Subsidiaries (including for working capital, growth and other general corporate purposes).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Exchange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73" w:lineRule="auto"/>
        <w:tabs>
          <w:tab w:leader="none" w:pos="1356"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As promptly as reasonably practicable following the Original Date, but in no event later than fifteen (15) Business Days prior to the Merger Closing Date, the Company and Armada shall appoint an exchange agent reasonably acceptable to the Company and Armada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(it being understood and agreed, for the avoidance of doubt, that Continental Stock Transfer &amp; Trust Company (or any of its Affiliates) shall be deemed to be acceptable to the Company and Armada) and enter into an exchange agent agreement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the Exchange Agent for the purpose of facilitating the transactions contemplated by this Agreement (including the provisions of any information, or the entry into of any agreements or documentation, necessary or advisable, as determined in good faith by Armada or the Company, or otherwise required for the Exchange Agent to fulfill its duties as the Exchange Agent in connection with the transactions contemplated hereby).</w:t>
      </w:r>
    </w:p>
    <w:p>
      <w:pPr>
        <w:spacing w:after="0" w:line="171" w:lineRule="exact"/>
        <w:rPr>
          <w:rFonts w:ascii="Times New Roman" w:cs="Times New Roman" w:eastAsia="Times New Roman" w:hAnsi="Times New Roman"/>
          <w:sz w:val="17"/>
          <w:szCs w:val="17"/>
          <w:color w:val="auto"/>
        </w:rPr>
      </w:pPr>
    </w:p>
    <w:p>
      <w:pPr>
        <w:ind w:left="120" w:firstLine="987"/>
        <w:spacing w:after="0" w:line="258" w:lineRule="auto"/>
        <w:tabs>
          <w:tab w:leader="none" w:pos="136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Exchange Procedures</w:t>
      </w:r>
      <w:r>
        <w:rPr>
          <w:rFonts w:ascii="Times New Roman" w:cs="Times New Roman" w:eastAsia="Times New Roman" w:hAnsi="Times New Roman"/>
          <w:sz w:val="18"/>
          <w:szCs w:val="18"/>
          <w:color w:val="auto"/>
        </w:rPr>
        <w:t>. The Exchange Agent Agreement shall provide that the Exchange Agent shall in conjunction with the registrar to the Company immediately upon the Merger Effective Time, update the register of members of the Company to reflect the Merger based on the register of members of Armada immediately prior to the Merger. In furtherance of the foregoing, as promptly as practicable after the Merger Closing, the Company shall use its reasonable best efforts to cause the Exchange Agent to mail to each holder of Armada Units (if any), Armada Shares, and Public Warrants a request for each such holder to surrender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40"/>
          </w:cols>
          <w:pgMar w:left="320" w:top="455" w:right="43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its certificates or any applicable instruction letter, broker letter or other verification or evidence of title to such Armada Units (if any), Armada Shares, and Public Warrants or an affidavit with suitable bond or indemnity in respect thereof. Within two (2) Business Days after the Merger Effective Time (but in no event prior to the Merger Effective Time) the holder of such Armada Units, Armada Shares, and Public Warrants, as applicable, shall be entitled to receive, and the Company shall cause the Exchange Agent to deliver, respectively, evidence in book-entry form of the Company Shares, and the Company Public Warrants issued to such holders in accordance with the provisions of Section 2.1(h) and this </w:t>
      </w:r>
      <w:r>
        <w:rPr>
          <w:rFonts w:ascii="Times New Roman" w:cs="Times New Roman" w:eastAsia="Times New Roman" w:hAnsi="Times New Roman"/>
          <w:sz w:val="18"/>
          <w:szCs w:val="18"/>
          <w:u w:val="single" w:color="auto"/>
          <w:color w:val="auto"/>
        </w:rPr>
        <w:t>Section 2.6(b).</w:t>
      </w:r>
    </w:p>
    <w:p>
      <w:pPr>
        <w:spacing w:after="0" w:line="17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Armada, the Group Companies and the Exchange Agent shall be entitled to deduct and withhold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deducted and withheld) from any amount payable pursuant to this Agreement such amounts as are required to be deducted and withheld under applicable Tax Law. To the extent that amounts are so withheld or deducted, such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 to the extent permitted by applicable Law.</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GROUP</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COMPANIES</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For the purposes of this Article III, so far as the context requires, where a warranty and/or representation is given in respect of a Group Company, a reference to any legal term for any action, remedy, procedure, judicial proceeding, legal document, legal status or legal concept shall be deemed to include what most nearly approximates in the relevant jurisdiction for the Group Company in question. 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as set forth in the Company Disclosure Schedules, (i) the Original Company represented and warranted to Armada as of the Original Date (other than as to Sections 3.1(b) and 3.1(d) and represents and warrants to Armada as of the Second Amendment Date and (ii) the New Company shall represent and warrant to Armada of the Closing as set out in this Article III.</w:t>
      </w:r>
    </w:p>
    <w:p>
      <w:pPr>
        <w:spacing w:after="0" w:line="18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respect of the representations and warranties given by the Original Company to Armada as of the Original Date and as of the Second Amendment Date, all references to “Company” in this Article III should read as the “Original Company” on the basis the Pre-Closing Demerger had not occurred on the Original Date or the Second Amendment Date, including that the New Company was not incorporated on the Original Date. In respect of the representations and warranties to be given by the New Company to Armada as of the Closing, then assuming the Demerger Completion will have then occurred they are given as at the Closing by the New Company on the basis that the Pre-Closing Demerger will have occurred prior to Closing and that the Original Company will have ceased to be a Group Company prior to Closing and that accordingly references to the Company, the Group and a Group Company refer to the New Company and its subsidiaries after the Demerger Completion save to the extent that any of the representations and warranties refer back to the position as at the Original Date or before the Demerger Completion in which case they shall refer to the Original Company and the Group (or a Group Company) consisting of the Original Company and its subsidiaries.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and Qualification.</w:t>
      </w:r>
    </w:p>
    <w:p>
      <w:pPr>
        <w:spacing w:after="0" w:line="229" w:lineRule="exact"/>
        <w:rPr>
          <w:sz w:val="20"/>
          <w:szCs w:val="20"/>
          <w:color w:val="auto"/>
        </w:rPr>
      </w:pPr>
    </w:p>
    <w:p>
      <w:pPr>
        <w:ind w:left="120" w:firstLine="987"/>
        <w:spacing w:after="0" w:line="258" w:lineRule="auto"/>
        <w:tabs>
          <w:tab w:leader="none" w:pos="135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Group Company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of the Company Disclosure Schedules sets forth the jurisdiction of formation or organization (as applicable) for each Group Company. Each Group Company has the requisite corporate, limited liability company or other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00"/>
          </w:cols>
          <w:pgMar w:left="320" w:top="455" w:right="47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applicable business entity power and authority to own, lease and operate its properties and to carry on its businesses as presently conducted, except where the failure to have such power or authority would not be material to the Company, any of its Subsidiaries or the Business.</w:t>
      </w:r>
    </w:p>
    <w:p>
      <w:pPr>
        <w:spacing w:after="0" w:line="162" w:lineRule="exact"/>
        <w:rPr>
          <w:sz w:val="20"/>
          <w:szCs w:val="20"/>
          <w:color w:val="auto"/>
        </w:rPr>
      </w:pPr>
    </w:p>
    <w:p>
      <w:pPr>
        <w:ind w:left="120" w:right="320" w:firstLine="987"/>
        <w:spacing w:after="0" w:line="282" w:lineRule="auto"/>
        <w:tabs>
          <w:tab w:leader="none" w:pos="136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Closing and conditional upon completion of the Pre-Closing Demerger, the New Company will be the parent company of the Group and the Original Company will have ceased to be a Group Company.</w:t>
      </w:r>
    </w:p>
    <w:p>
      <w:pPr>
        <w:spacing w:after="0" w:line="161" w:lineRule="exact"/>
        <w:rPr>
          <w:rFonts w:ascii="Times New Roman" w:cs="Times New Roman" w:eastAsia="Times New Roman" w:hAnsi="Times New Roman"/>
          <w:sz w:val="18"/>
          <w:szCs w:val="18"/>
          <w:color w:val="auto"/>
        </w:rPr>
      </w:pPr>
    </w:p>
    <w:p>
      <w:pPr>
        <w:jc w:val="both"/>
        <w:ind w:left="120" w:right="100" w:firstLine="987"/>
        <w:spacing w:after="0" w:line="261" w:lineRule="auto"/>
        <w:tabs>
          <w:tab w:leader="none" w:pos="13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Governing Documents of the Original Company and the Company Shareholder Agreement have been made available to Armada, in each case, as amended and in effect as of the Original Date. The Governing Documents of the Original Company and the Company Shareholder Agreement are in full force and effect so far as it relates to the Original Company, and the Original Company is not in material breach or material violation of any provision set forth in its Governing Documents or the Company Shareholder Agreement.</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Closing true and complete copies of the Governing Documents of the New Company have been made available to Armada, the Governing Documents of the New Company are in full force and effect, and the New Company is not in material breach or material violation of any provision set forth in its Governing Documents.</w:t>
      </w:r>
    </w:p>
    <w:p>
      <w:pPr>
        <w:spacing w:after="0" w:line="175" w:lineRule="exact"/>
        <w:rPr>
          <w:rFonts w:ascii="Times New Roman" w:cs="Times New Roman" w:eastAsia="Times New Roman" w:hAnsi="Times New Roman"/>
          <w:sz w:val="18"/>
          <w:szCs w:val="18"/>
          <w:color w:val="auto"/>
        </w:rPr>
      </w:pPr>
    </w:p>
    <w:p>
      <w:pPr>
        <w:ind w:left="120" w:firstLine="987"/>
        <w:spacing w:after="0" w:line="281" w:lineRule="auto"/>
        <w:tabs>
          <w:tab w:leader="none" w:pos="1356"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be material to the Company, any of its Subsidiaries or the Business.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Capitalization of the Group Companies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1" w:lineRule="auto"/>
        <w:tabs>
          <w:tab w:leader="none" w:pos="1356"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changes to the extent permitted by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resulting from the issuance, grant, transfer or disposition of Equity Securities of the Company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the Company issued and outstanding, and (ii) the identity of the Persons that are the record owners thereof.</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9" w:lineRule="auto"/>
        <w:tabs>
          <w:tab w:leader="none" w:pos="1366"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Equity Securities of the Company have been duly authorized and validly issued and are fully paid and non-assessable. The Equity Securities of the Company (1) were not issued in violation of the Governing Documents of the Company, the Company Shareholder Agreement or any other Contract to which the Company is party or bound, (2) were not issued in violation of any preemptive rights, call option, right of first refusal or first offer, subscription rights, transfer restrictions or similar rights of any Person and (3) have been offered, sold and issued in compliance with applicable Law, including Securities Laws. The Company has no outstanding (x) equity appreciation, phantom equity or profit participation rights or</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restricted stock, restricted stock units, phantom stock, warrants, purchase rights, subscription rights, conversion rights, exchange rights,</w:t>
      </w:r>
    </w:p>
    <w:p>
      <w:pPr>
        <w:spacing w:after="0" w:line="9" w:lineRule="exact"/>
        <w:rPr>
          <w:rFonts w:ascii="Times New Roman" w:cs="Times New Roman" w:eastAsia="Times New Roman" w:hAnsi="Times New Roman"/>
          <w:sz w:val="18"/>
          <w:szCs w:val="18"/>
          <w:color w:val="auto"/>
        </w:rPr>
      </w:pPr>
    </w:p>
    <w:p>
      <w:pPr>
        <w:ind w:left="1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Except as set out in the Company Shareholder Agreement and the Governing Documents of the Company, there are no voting trusts, proxies or other Contracts</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with respect to the voting or transfer of the Company’s Equity Securities.  All of the Equity Securities of the Company have been issued in accordance with all applicable Securities Laws, and are not issued in breach or violation of any preemptive rights or Contract. The Company does not have any outstanding bonds, debentures, notes or other obligations the holders of which have the right to vote (or are convertible into or exercisable for securities having the right to vote) with the equity holders of Company on any matter. No issued and outstanding shares of any of the Equity Securities of Company are held in treasury.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53" w:lineRule="auto"/>
        <w:tabs>
          <w:tab w:leader="none" w:pos="135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All of the Equity Securities of each Subsidiary of the Company have been issued in accordance with all applicable Securities Laws, and are not issued in breach or violation of any preemptive rights or Contract. No Subsidiary of the Company has any outstanding bonds, debentures, notes or other obligations the holders of which have the right to vote (or are convertible into or exercisable for securities having the right to vote) with the members of such Subsidiary of the Company on any matter. No issued and outstanding shares of any of the Equity Securities of any Subsidiary of the Company are held in treasury.</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of the Company Disclosure Schedules sets forth a list of all Change of Control Payments of the Group Companies.</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3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xml:space="preserve"> of the Company Disclosure Schedules sets forth a list of all Indebtedness of the Group Companies that is material to the business of the Group Companies taken as a whole as of the Original Date (being where the Indebtedness for a single item is in excess of £200,000 and/or where accumulated Indebtedness owed to a certain party is in excess of £200,000), including the principal amount of such Indebtedness, the outstanding balance as of the Original Date, and the debtor and the creditor thereof.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authority to execute and deliver this Agreement and each Ancillary Document to which it is or will be a party, to perform its obligations hereunder and thereunder and to consummate the transactions contemplated hereby and thereby. The execution and delivery of this Agreement, the Ancillary Documents to which the Company is or will be a party and the consummation of the transactions contemplated hereby and thereby have been (or, in the case of any Ancillary Document entered into after the Original Date, will be upon execution thereof) duly authorized by all necessary corporate (or other similar) action on the part of the Company. The execution, delivery and performance by the Company of this Agreement and each Ancillary Document to which it is a party and the consummation of the Transactions have been (as relates to this Agreement) or will be (as relates to the Ancillary Documents) validly authorized and approved by all requisite entity, stockholder, shareholder and member action and no other proceeding on the part of the Company or any of its members is necessary to authorize this Agreement or any Ancillary Document to which it is or will be a party subject to the exceptions set out in Section 3.5(a). This Agreement and each Ancillary Document to which the Company is or will be a party has been or will be, upon execution thereof, as applicable, duly and validly executed and delivered by the Company and constitutes or will constitute, upon execution and delivery thereof, as applicable, a valid, legal and binding agreement of the Company (assuming that this Agreement and the Ancillary Documents to which the Company is or will be a party are or will be upon execution thereof, as applicable, duly authorized, executed and delivered by the other Persons party thereto), enforceable against the Company in accordance with its terms (subject to applicable bankruptcy, insolvency, reorganization, moratorium or other Laws affecting generally the enforcement of creditors’ rights and subject to general principles of equity).</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52" w:lineRule="auto"/>
        <w:tabs>
          <w:tab w:leader="none" w:pos="136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by resolutions duly adopted by unanimous vote of those voting at a meeting duly called and held and not subsequently rescinded or modified in any way, or by unanimous written consent, has duly (a) determined that this Agreement and the Pre-Closing Reorganization are fair to and in the best interests of the Company, its stockholders and its Subsidiaries and most likely to promote the success of the Company for the benefits of its members taken as a whole, (b) approved this Agreement and the Pre-Closing Reorganization and the Pre-Closing Demerger and declared their advisability, and (c) recommended that the stockholders of the Company approve and adopt this Agreement and approve the Pre-Closing Reorganization and directed that this Agreement and the transactions contemplated hereby (including the Pre-Closing Reorganization)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be submitted for consideration by the Original Company’s stockholders. The Requisite Approvals (collectively,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are the only votes of the holders of any class or series of capital stock of the Original Company or the New Company (as appropriate) necessary to adopt this Agreement and approve the Transactions together with in the case of the Pre-Completion Demerger the approval of the liquidator of the Original Company and such further approvals, court orders or proceedings as may be required by statute and subject to the provisions of sections 110 to 116 Insolvency Act 1986. The Written Consent, if executed and delivered, would qualify as the Company Stockholder Approval for the Transactions (but not the Pre-Closing Demerger)_and subject as aforesaid no additional approval or vote from any holders of any class or series of capital stock of the Company would then be necessary to adopt this Agreement and approve the Transactions (other than the Pre-Closing Demerger). For the purpose of the Pre-Closing Demerger it is noted that</w:t>
      </w:r>
    </w:p>
    <w:p>
      <w:pPr>
        <w:spacing w:after="0" w:line="89" w:lineRule="exact"/>
        <w:rPr>
          <w:rFonts w:ascii="Times New Roman" w:cs="Times New Roman" w:eastAsia="Times New Roman" w:hAnsi="Times New Roman"/>
          <w:sz w:val="18"/>
          <w:szCs w:val="18"/>
          <w:color w:val="auto"/>
        </w:rPr>
      </w:pPr>
    </w:p>
    <w:p>
      <w:pPr>
        <w:ind w:left="1100" w:right="240" w:firstLine="910"/>
        <w:spacing w:after="0" w:line="282" w:lineRule="auto"/>
        <w:tabs>
          <w:tab w:leader="none" w:pos="2217"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special resolution is required to wind up the Original Company and a separate special resolution under section 110(3) (a) of the Insolvency Act 1986 is also required;</w:t>
      </w:r>
    </w:p>
    <w:p>
      <w:pPr>
        <w:spacing w:after="0" w:line="53"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liquidator of the Original Company; and</w:t>
      </w:r>
    </w:p>
    <w:p>
      <w:pPr>
        <w:spacing w:after="0" w:line="117" w:lineRule="exact"/>
        <w:rPr>
          <w:rFonts w:ascii="Times New Roman" w:cs="Times New Roman" w:eastAsia="Times New Roman" w:hAnsi="Times New Roman"/>
          <w:sz w:val="18"/>
          <w:szCs w:val="18"/>
          <w:color w:val="auto"/>
        </w:rPr>
      </w:pPr>
    </w:p>
    <w:p>
      <w:pPr>
        <w:ind w:left="1100" w:right="720" w:firstLine="910"/>
        <w:spacing w:after="0" w:line="282" w:lineRule="auto"/>
        <w:tabs>
          <w:tab w:leader="none" w:pos="2317"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is subject to the provisions of statute including without limitation sections 110 to 116 Insolvency Act 1986.</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Financial Statements;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Armada true, correct and complete copies of (i) the audited consolidated balance sheet of the Group Companies (as measured at each of the financial position dates) as of December 31, 2020, December 31, 2021, and December 31, 2022 and related consolidated profit and loss accounts, statements of changes in equity and statements of cash flows, with the related notes and schedules required by GAAP for the fiscal year then ended and an accompanying audit report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(ii) the unaudited condensed, consolidated balance sheet of the Group Companies as of March 31, 2023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and related unaudited condensed, consolidated profit and loss account, statement of changes in equity and statement of cash flows with the selected note disclosures for the period then ended, and include comparative interim statements for the same period in the prior fiscal year (except that the requirement for the comparative balance sheet information may be met by presenting the year-end balance sheet)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the Unaudited Financial Statements, together with the Audited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each of which are attached as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Schedules. The Unaudited Financial Statements shall all be prepared in accordance with GAAP.</w:t>
      </w:r>
    </w:p>
    <w:p>
      <w:pPr>
        <w:spacing w:after="0" w:line="194" w:lineRule="exact"/>
        <w:rPr>
          <w:rFonts w:ascii="Times New Roman" w:cs="Times New Roman" w:eastAsia="Times New Roman" w:hAnsi="Times New Roman"/>
          <w:sz w:val="18"/>
          <w:szCs w:val="18"/>
          <w:color w:val="auto"/>
        </w:rPr>
      </w:pPr>
    </w:p>
    <w:p>
      <w:pPr>
        <w:ind w:left="120" w:right="80" w:firstLine="987"/>
        <w:spacing w:after="0" w:line="272" w:lineRule="auto"/>
        <w:tabs>
          <w:tab w:leader="none" w:pos="1366" w:val="left"/>
        </w:tabs>
        <w:numPr>
          <w:ilvl w:val="1"/>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(including the notes thereto) (A) were prepared in accordance with applicable laws using the accounting policies, principles, estimation techniques, measurement bases, practices and procedures as the Group Companies have used historically on a consistent basis; (B) in relation to the Audited Financial Statements (i) comply with accounting standards in force at the date to which they were prepared; and</w:t>
      </w:r>
    </w:p>
    <w:p>
      <w:pPr>
        <w:spacing w:after="0" w:line="1" w:lineRule="exact"/>
        <w:rPr>
          <w:rFonts w:ascii="Times New Roman" w:cs="Times New Roman" w:eastAsia="Times New Roman" w:hAnsi="Times New Roman"/>
          <w:sz w:val="17"/>
          <w:szCs w:val="17"/>
          <w:color w:val="auto"/>
        </w:rPr>
      </w:pPr>
    </w:p>
    <w:p>
      <w:pPr>
        <w:ind w:left="120" w:hanging="4"/>
        <w:spacing w:after="0" w:line="255" w:lineRule="auto"/>
        <w:tabs>
          <w:tab w:leader="none" w:pos="38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Audited Financial Statements give a true and fair view of the assets and liabilities and state of affairs of the relevant Group Company (and, in relation to the consolidated financial statements of the Company, of the Group Companies as a whole) as of the relevant date to which they are made up and of the profit or loss and cash flows the relevant Group Company (and, in relation to the consolidated</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00"/>
          </w:cols>
          <w:pgMar w:left="320" w:top="455" w:right="47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financial statements of the Company, of the Group Companies as a whole) for the financial year or other period ended on the date to which they are made up; and (C) in relation to the Unaudited Financial Statements, (i) have been prepared with due care and attention and on a basis consistent with that used in preparing the Audited Financial Statements and (ii) are not misleading and give a fair view of the assets and liabilities of the relevant Group Company (and, in relation to the consolidated financial statements of the Company, of the Group Companies as a whole) as of the relevant date to which they are made up.</w:t>
      </w:r>
    </w:p>
    <w:p>
      <w:pPr>
        <w:spacing w:after="0" w:line="183" w:lineRule="exact"/>
        <w:rPr>
          <w:sz w:val="20"/>
          <w:szCs w:val="20"/>
          <w:color w:val="auto"/>
        </w:rPr>
      </w:pPr>
    </w:p>
    <w:p>
      <w:pPr>
        <w:ind w:left="120" w:firstLine="987"/>
        <w:spacing w:after="0" w:line="266" w:lineRule="auto"/>
        <w:tabs>
          <w:tab w:leader="none" w:pos="1356"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(x) the audited consolidated balance sheets of the Group Companies as of December 31, 2020, December 31, 2021 and December 31, 2022 and related consolidated statements of comprehensive income, statement of changes in equity and statement of cash flows for the period from 1 January 2021, to 31 December 2022 and the fiscal years then ended with the related notes and schedules required by GAAP for the fiscal year then ended (the financial statements described in this </w:t>
      </w:r>
      <w:r>
        <w:rPr>
          <w:rFonts w:ascii="Times New Roman" w:cs="Times New Roman" w:eastAsia="Times New Roman" w:hAnsi="Times New Roman"/>
          <w:sz w:val="17"/>
          <w:szCs w:val="17"/>
          <w:u w:val="single" w:color="auto"/>
          <w:color w:val="auto"/>
        </w:rPr>
        <w:t>clause (x)</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Closing Company Audited Financial Statements</w:t>
      </w:r>
      <w:r>
        <w:rPr>
          <w:rFonts w:ascii="Times New Roman" w:cs="Times New Roman" w:eastAsia="Times New Roman" w:hAnsi="Times New Roman"/>
          <w:sz w:val="17"/>
          <w:szCs w:val="17"/>
          <w:color w:val="auto"/>
        </w:rPr>
        <w:t xml:space="preserve">”), when delivered following the Original Date in accordance with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xml:space="preserve"> and (y) the other financial statements or similar reports required to be included in the Registration Statement / Proxy Statement or any other filings to be made by the Group Companies with the SEC in connection with the transactions contemplated in this Agreement or any other Ancillary Document (the financial statements described in this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Other Closing Company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Statements</w:t>
      </w:r>
      <w:r>
        <w:rPr>
          <w:rFonts w:ascii="Times New Roman" w:cs="Times New Roman" w:eastAsia="Times New Roman" w:hAnsi="Times New Roman"/>
          <w:sz w:val="17"/>
          <w:szCs w:val="17"/>
          <w:color w:val="auto"/>
        </w:rPr>
        <w:t xml:space="preserve">”), when delivered following the Original Date in accordance with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(i) will be prepared in accordance with GAAP applied on a consistent basis throughout the periods indicated (except, in the case of any audited financial statements, as may be specifically indicated in the notes thereto and subject to, in the case of any unaudited financial statements, normal year end audit adjustments (none of which are expected to be material, individually or in the aggregate) and the absence of notes thereto), (ii) will fairly present, in all material respects, the financial position, results of operations, stockholders’ deficit and cash flows of the Group Companies as at the date thereof and for the period indicated therein (subject to, in the case of any unaudited financial statements, normal year end audit adjustments (none of which are expected to be material, individually or in the aggregate)),</w:t>
      </w:r>
    </w:p>
    <w:p>
      <w:pPr>
        <w:spacing w:after="0" w:line="9" w:lineRule="exact"/>
        <w:rPr>
          <w:rFonts w:ascii="Times New Roman" w:cs="Times New Roman" w:eastAsia="Times New Roman" w:hAnsi="Times New Roman"/>
          <w:sz w:val="17"/>
          <w:szCs w:val="17"/>
          <w:color w:val="auto"/>
        </w:rPr>
      </w:pPr>
    </w:p>
    <w:p>
      <w:pPr>
        <w:ind w:left="120" w:right="60" w:hanging="4"/>
        <w:spacing w:after="0" w:line="253" w:lineRule="auto"/>
        <w:tabs>
          <w:tab w:leader="none" w:pos="43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audited financial statements, will be audited in accordance with the standards of the PCAOB and will contain an unqualified report of the Company’s auditors with respect to such financial statements in accordance with PCAOB standards, and (iv) will comply in all material respects with the applicable accounting requirements and with the rules and regulations of the SEC, the Exchange Act and the Securities Act in effect as of the date of such delivery (including Regulation S-X or Regulation S-K, to the extent applicable).</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76" w:lineRule="auto"/>
        <w:tabs>
          <w:tab w:leader="none" w:pos="1366" w:val="left"/>
        </w:tabs>
        <w:numPr>
          <w:ilvl w:val="1"/>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have any Liabilities except (i) as set forth as a liability or a contra-asset on the face of the Latest Balance Sheet or expressly disclosed in the Financial Statements or the accounts for the Company and its subsidiaries as included in the Registration Statement or</w:t>
      </w:r>
    </w:p>
    <w:p>
      <w:pPr>
        <w:ind w:left="120" w:right="60" w:hanging="4"/>
        <w:spacing w:after="0" w:line="255" w:lineRule="auto"/>
        <w:tabs>
          <w:tab w:leader="none" w:pos="38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or (iii) any Liability incurred in the ordinary course of business .</w:t>
      </w:r>
    </w:p>
    <w:p>
      <w:pPr>
        <w:spacing w:after="0" w:line="185"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56"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for borrowed money of any Group Company is due and payable and no security over any of the assets of any Group Company is now enforceable, whether by virtue of the stated maturity date of the Indebtedness having been reached or otherwise; and no Group Company has received any written notice (whose terms have not been fully complied with and/or carried out) from any creditor of that Group Company, intimating the enforcement of any security which it may hold over any assets of that Group Company.</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33"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and the Closing Company Audited Financial Statements, have maintained books and records of the Group Companies in the ordinary course of business that are accurate in all material respects and reflect the revenues, expenses, assets and liabilities of the Group Companies in all material respects.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87"/>
        <w:spacing w:after="0" w:line="261" w:lineRule="auto"/>
        <w:tabs>
          <w:tab w:leader="none" w:pos="136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no Group Company has received any written complaint, allegation, assertion or claim that there is (i) “significant deficiency” in the internal controls over financial reporting of the Group Companies, (ii) a “material weakness” in the internal controls over financial reporting of the Group Companies or (iii) fraud, whether or not material, that involves management or other employees of the Group Companies who have a significant role in the internal controls over financial reporting of the Group Companies.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consent, approval or authorization of, or designation, declaration or filing with, any Governmental Entity or any other Person is required on the part of the Company or any of its Subsidiaries with respect to the Company’s execution, delivery or performance of its obligations under this Agreement or the Ancillary Documents to which the Company is or will be party or the consummation of the transactions contemplated hereby or thereby, except for (i)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 such filings with and approvals of NASDAQ to permit the Company Securities to be issued in connection with the transactions contemplated by this Agreement and the other Ancillary Documents to be listed on NASDAQ, (iii) such filings and approvals required in connection with the Pre-Closing Demerger and the Pre-Closing Reorganization, (iv) with respect to the adoption of the Company Pre-IPO Articles of Association and the Company Articles of Association, either (a) the passing of a special resolution of the Company at a duly convened general meeting of the Company or (b) the passing of a special resolution of the Company by a written resolution of the holders of Company Shares by members representing at least 75% of the total voting rights of eligible members entitled to vote on such matter (it being understood and agreed that such vote shall have been obtained prior to (A) the Company Reorganization Date in the case of the Company Pre-IPO Articles of Association and (B) Merger Effective Time in the case of the Company Articles of Association), or (C) those Consents set forth on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Company Disclosure Schedules.</w:t>
      </w:r>
    </w:p>
    <w:p>
      <w:pPr>
        <w:spacing w:after="0" w:line="19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by the Original Company or the New Company of this Agreement or any Ancillary Documents to which it is or will be a party, the performance by the Original Company or the New Company of its obligations hereunder or thereunder or the consummation by the Original Company or the New Company of the transactions contemplated hereby or thereby will, directly or indirectly (with or without due notice or lapse of time or both) (i) result in a violation or breach of any provision of the relevant Company’s Governing Documents or the Company Shareholder Agreement, (ii) result in a violation or breach of, or constitute a default or give rise to any right of termination, Consent, cancellation, amendment, modification, suspension, revocation or acceleration under, any of the terms, conditions or provisions of (A) any Material Contract to which any relevant Group Company is a party or (B) any Material Permits, (iii) conflict with, violate, or constitute a breach under, any Order or applicable Law to which any relevant Group Company or any of its properties or assets are subject or bound or (iv) result in the creation of any Lien (other than any Permitted Liens) upon any of the assets or properties or Equity Securities of any relevant Group Company.</w:t>
      </w:r>
    </w:p>
    <w:p>
      <w:pPr>
        <w:spacing w:after="0" w:line="18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Group Companies has all Permits (the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that are required to own, lease or operate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and assets and to conduct its business as currently conducted in compliance with all applicable Laws. Each Material Permit is in full force and effect in accordance with its terms and no written notice of revocation, cancellation, restriction or termination of any Material Permit has been received by any Group Company. The Group Companies (including, for the avoidance of doubt, each of their respective directors, officers, employees, contractors or agents) are in compliance with each Material Permit. No application or notice relating to a Material Permit made by any Group Company or a director, officer, employee, contractor or agent of any Group Company has been refused.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6" w:lineRule="auto"/>
        <w:tabs>
          <w:tab w:leader="none" w:pos="135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sets forth a list of the following Contracts to which a Group Company is, as of the Original Date, a party (the Contracts required to be set forth on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00" w:right="180" w:firstLine="910"/>
        <w:spacing w:after="0" w:line="282" w:lineRule="auto"/>
        <w:tabs>
          <w:tab w:leader="none" w:pos="221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of any Group Company or to the placing of a Lien (other than a Permitted Lien) on any material assets or properties of any Group Company in excess of £1,000,000;</w:t>
      </w:r>
    </w:p>
    <w:p>
      <w:pPr>
        <w:spacing w:after="0" w:line="53" w:lineRule="exact"/>
        <w:rPr>
          <w:rFonts w:ascii="Times New Roman" w:cs="Times New Roman" w:eastAsia="Times New Roman" w:hAnsi="Times New Roman"/>
          <w:sz w:val="18"/>
          <w:szCs w:val="18"/>
          <w:color w:val="auto"/>
        </w:rPr>
      </w:pPr>
    </w:p>
    <w:p>
      <w:pPr>
        <w:ind w:left="1100" w:right="60" w:firstLine="910"/>
        <w:spacing w:after="0" w:line="266" w:lineRule="auto"/>
        <w:tabs>
          <w:tab w:leader="none" w:pos="226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£1,000,000;</w:t>
      </w:r>
    </w:p>
    <w:p>
      <w:pPr>
        <w:spacing w:after="0" w:line="67" w:lineRule="exact"/>
        <w:rPr>
          <w:rFonts w:ascii="Times New Roman" w:cs="Times New Roman" w:eastAsia="Times New Roman" w:hAnsi="Times New Roman"/>
          <w:sz w:val="18"/>
          <w:szCs w:val="18"/>
          <w:color w:val="auto"/>
        </w:rPr>
      </w:pPr>
    </w:p>
    <w:p>
      <w:pPr>
        <w:jc w:val="both"/>
        <w:ind w:left="1100" w:right="40" w:firstLine="910"/>
        <w:spacing w:after="0" w:line="266" w:lineRule="auto"/>
        <w:tabs>
          <w:tab w:leader="none" w:pos="231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£1,000,000;</w:t>
      </w:r>
    </w:p>
    <w:p>
      <w:pPr>
        <w:spacing w:after="0" w:line="67" w:lineRule="exact"/>
        <w:rPr>
          <w:rFonts w:ascii="Times New Roman" w:cs="Times New Roman" w:eastAsia="Times New Roman" w:hAnsi="Times New Roman"/>
          <w:sz w:val="18"/>
          <w:szCs w:val="18"/>
          <w:color w:val="auto"/>
        </w:rPr>
      </w:pPr>
    </w:p>
    <w:p>
      <w:pPr>
        <w:ind w:left="1100" w:right="80" w:firstLine="910"/>
        <w:spacing w:after="0" w:line="266" w:lineRule="auto"/>
        <w:tabs>
          <w:tab w:leader="none" w:pos="230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joint venture (equity-based or otherwise), strategic alliance, material profit-sharing, partnership, revenue sharing, Contract or (B) Contract with respect to material Company Licensed Intellectual Property and which in any case accounts for more than 5% of the revenue of the Company in the last 12 months;</w:t>
      </w:r>
    </w:p>
    <w:p>
      <w:pPr>
        <w:spacing w:after="0" w:line="67" w:lineRule="exact"/>
        <w:rPr>
          <w:rFonts w:ascii="Times New Roman" w:cs="Times New Roman" w:eastAsia="Times New Roman" w:hAnsi="Times New Roman"/>
          <w:sz w:val="18"/>
          <w:szCs w:val="18"/>
          <w:color w:val="auto"/>
        </w:rPr>
      </w:pPr>
    </w:p>
    <w:p>
      <w:pPr>
        <w:ind w:left="1100" w:right="220" w:firstLine="910"/>
        <w:spacing w:after="0" w:line="258" w:lineRule="auto"/>
        <w:tabs>
          <w:tab w:leader="none" w:pos="225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is material to the business of the Group Companies taken as a whole that (A) limits or purports to limit, in any material respect, the freedom of any Group Company to engage or compete in any line of business or with any Person or in any area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any material respect;</w:t>
      </w:r>
    </w:p>
    <w:p>
      <w:pPr>
        <w:spacing w:after="0" w:line="75" w:lineRule="exact"/>
        <w:rPr>
          <w:rFonts w:ascii="Times New Roman" w:cs="Times New Roman" w:eastAsia="Times New Roman" w:hAnsi="Times New Roman"/>
          <w:sz w:val="18"/>
          <w:szCs w:val="18"/>
          <w:color w:val="auto"/>
        </w:rPr>
      </w:pPr>
    </w:p>
    <w:p>
      <w:pPr>
        <w:ind w:left="1100" w:right="320" w:firstLine="910"/>
        <w:spacing w:after="0" w:line="282" w:lineRule="auto"/>
        <w:tabs>
          <w:tab w:leader="none" w:pos="230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any future capital commitment or capital expenditure (or series of capital expenditures) by any Group Company in an amount in excess of (A) £1,000,000 annually or (B) £10,000,000 over the life of the agreement;</w:t>
      </w:r>
    </w:p>
    <w:p>
      <w:pPr>
        <w:spacing w:after="0" w:line="53" w:lineRule="exact"/>
        <w:rPr>
          <w:rFonts w:ascii="Times New Roman" w:cs="Times New Roman" w:eastAsia="Times New Roman" w:hAnsi="Times New Roman"/>
          <w:sz w:val="18"/>
          <w:szCs w:val="18"/>
          <w:color w:val="auto"/>
        </w:rPr>
      </w:pPr>
    </w:p>
    <w:p>
      <w:pPr>
        <w:jc w:val="both"/>
        <w:ind w:left="1100" w:right="60" w:firstLine="910"/>
        <w:spacing w:after="0" w:line="261" w:lineRule="auto"/>
        <w:tabs>
          <w:tab w:leader="none" w:pos="235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standard indemnification provisions in Contracts entered in the ordinary course of business with customers or suppliers, any Contract requiring any Group Company to guarantee the Liabilities of any Person (other than the Company or a Subsidiary) or pursuant to which any Person (other than the Company or a Subsidiary) has guaranteed the Liabilities of a Group Company, in each case in excess of £1,000,000;</w:t>
      </w:r>
    </w:p>
    <w:p>
      <w:pPr>
        <w:spacing w:after="0" w:line="71" w:lineRule="exact"/>
        <w:rPr>
          <w:rFonts w:ascii="Times New Roman" w:cs="Times New Roman" w:eastAsia="Times New Roman" w:hAnsi="Times New Roman"/>
          <w:sz w:val="18"/>
          <w:szCs w:val="18"/>
          <w:color w:val="auto"/>
        </w:rPr>
      </w:pPr>
    </w:p>
    <w:p>
      <w:pPr>
        <w:ind w:left="1100" w:right="40" w:firstLine="910"/>
        <w:spacing w:after="0" w:line="266" w:lineRule="auto"/>
        <w:tabs>
          <w:tab w:leader="none" w:pos="240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has, directly or indirectly, made or agreed to make any loan, advance, or assignment of payment to any Person or made any capital contribution to, or other investment in, any Person, in each case in excess of £1,000,000;</w:t>
      </w:r>
    </w:p>
    <w:p>
      <w:pPr>
        <w:spacing w:after="0" w:line="67"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required to be disclosed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Schedules;</w:t>
      </w:r>
    </w:p>
    <w:p>
      <w:pPr>
        <w:spacing w:after="0" w:line="117" w:lineRule="exact"/>
        <w:rPr>
          <w:rFonts w:ascii="Times New Roman" w:cs="Times New Roman" w:eastAsia="Times New Roman" w:hAnsi="Times New Roman"/>
          <w:sz w:val="18"/>
          <w:szCs w:val="18"/>
          <w:color w:val="auto"/>
        </w:rPr>
      </w:pPr>
    </w:p>
    <w:p>
      <w:pPr>
        <w:ind w:left="1100" w:right="20" w:firstLine="910"/>
        <w:spacing w:after="0" w:line="282" w:lineRule="auto"/>
        <w:tabs>
          <w:tab w:leader="none" w:pos="225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under which any Group Company grants to any Person any right of first refusal, right of first negotiation, option to purchase, option to license or any other similar Intellectual Property Rights;</w:t>
      </w:r>
    </w:p>
    <w:p>
      <w:pPr>
        <w:spacing w:after="0" w:line="53" w:lineRule="exact"/>
        <w:rPr>
          <w:rFonts w:ascii="Times New Roman" w:cs="Times New Roman" w:eastAsia="Times New Roman" w:hAnsi="Times New Roman"/>
          <w:sz w:val="18"/>
          <w:szCs w:val="18"/>
          <w:color w:val="auto"/>
        </w:rPr>
      </w:pPr>
    </w:p>
    <w:p>
      <w:pPr>
        <w:ind w:left="1100" w:firstLine="910"/>
        <w:spacing w:after="0" w:line="266" w:lineRule="auto"/>
        <w:tabs>
          <w:tab w:leader="none" w:pos="230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providing for the invention, creation, conception or other development of any Intellectual Property (A) by the Company, any Subsidiary of the Company, for any third party, (B) by any third party for the Company, any Subsidiary of the Company, or (C) jointly by the Company, any Subsidiary of the Company, and any third party;</w:t>
      </w:r>
    </w:p>
    <w:p>
      <w:pPr>
        <w:spacing w:after="0" w:line="67" w:lineRule="exact"/>
        <w:rPr>
          <w:rFonts w:ascii="Times New Roman" w:cs="Times New Roman" w:eastAsia="Times New Roman" w:hAnsi="Times New Roman"/>
          <w:sz w:val="18"/>
          <w:szCs w:val="18"/>
          <w:color w:val="auto"/>
        </w:rPr>
      </w:pPr>
    </w:p>
    <w:p>
      <w:pPr>
        <w:ind w:left="1100" w:right="200" w:firstLine="910"/>
        <w:spacing w:after="0" w:line="282" w:lineRule="auto"/>
        <w:tabs>
          <w:tab w:leader="none" w:pos="235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providing for the assignment or transfer of any ownership interest in any Intellectual Property by (A) the Company, any Subsidiary of the Company, to any third party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00" w:hanging="293"/>
        <w:spacing w:after="0"/>
        <w:tabs>
          <w:tab w:leader="none" w:pos="14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 party to the Company, any Subsidiary of the Company other than the grant of licenses in the ordinary course of business;</w:t>
      </w:r>
    </w:p>
    <w:p>
      <w:pPr>
        <w:spacing w:after="0" w:line="117" w:lineRule="exact"/>
        <w:rPr>
          <w:rFonts w:ascii="Times New Roman" w:cs="Times New Roman" w:eastAsia="Times New Roman" w:hAnsi="Times New Roman"/>
          <w:sz w:val="18"/>
          <w:szCs w:val="18"/>
          <w:color w:val="auto"/>
        </w:rPr>
      </w:pPr>
    </w:p>
    <w:p>
      <w:pPr>
        <w:ind w:left="1100" w:right="20" w:firstLine="910"/>
        <w:spacing w:after="0" w:line="256" w:lineRule="auto"/>
        <w:tabs>
          <w:tab w:leader="none" w:pos="2407"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pursuant to which (A) any right, license, permission, consent or covenant not to sue with respect to any Intellectual Property is granted to the Company or any Subsidiary of the Company, by any third party or (B) any right, license, permission, consent or covenant not to sue with respect to any Intellectual Property is granted by the Company or any Subsidiary of the Company, to any third party, in each case (A) and (B), other than Contracts for any “off-the-shelf”, “shrink-wrap” or “click-wrap” Software that is generally commercially available on standard and unmodified terms for an aggregate fee, royalty or other consideration of no more than £500,000;</w:t>
      </w:r>
    </w:p>
    <w:p>
      <w:pPr>
        <w:spacing w:after="0" w:line="79" w:lineRule="exact"/>
        <w:rPr>
          <w:rFonts w:ascii="Times New Roman" w:cs="Times New Roman" w:eastAsia="Times New Roman" w:hAnsi="Times New Roman"/>
          <w:sz w:val="18"/>
          <w:szCs w:val="18"/>
          <w:color w:val="auto"/>
        </w:rPr>
      </w:pPr>
    </w:p>
    <w:p>
      <w:pPr>
        <w:ind w:left="1100" w:firstLine="910"/>
        <w:spacing w:after="0" w:line="261" w:lineRule="auto"/>
        <w:tabs>
          <w:tab w:leader="none" w:pos="2397"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(A) governing the terms of, or otherwise related to, the employment, engagement or services of any current director, manager, officer, employee, individual independent contractor or other service provider of a Group Company whose annual base salary (or, in the case of an independent contractor, annual base compensation) is in excess of £500,000, or (B) providing for any Change of Control Payment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w:t>
      </w:r>
    </w:p>
    <w:p>
      <w:pPr>
        <w:spacing w:after="0" w:line="71" w:lineRule="exact"/>
        <w:rPr>
          <w:rFonts w:ascii="Times New Roman" w:cs="Times New Roman" w:eastAsia="Times New Roman" w:hAnsi="Times New Roman"/>
          <w:sz w:val="18"/>
          <w:szCs w:val="18"/>
          <w:color w:val="auto"/>
        </w:rPr>
      </w:pPr>
    </w:p>
    <w:p>
      <w:pPr>
        <w:ind w:left="1100" w:right="240" w:firstLine="910"/>
        <w:spacing w:after="0" w:line="261" w:lineRule="auto"/>
        <w:tabs>
          <w:tab w:leader="none" w:pos="2347"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for the disposition of any material portion of the assets or business of any Group Company or for the acquisition by any Group Company of the assets or business of any other Person, or (B) under which any Group Company has any continuing obligation with respect to an “earn-out”, contingent purchase price or other contingent or deferred payment obligation, in excess of £1,000,000;</w:t>
      </w:r>
    </w:p>
    <w:p>
      <w:pPr>
        <w:spacing w:after="0" w:line="71" w:lineRule="exact"/>
        <w:rPr>
          <w:rFonts w:ascii="Times New Roman" w:cs="Times New Roman" w:eastAsia="Times New Roman" w:hAnsi="Times New Roman"/>
          <w:sz w:val="18"/>
          <w:szCs w:val="18"/>
          <w:color w:val="auto"/>
        </w:rPr>
      </w:pPr>
    </w:p>
    <w:p>
      <w:pPr>
        <w:ind w:left="1100" w:firstLine="910"/>
        <w:spacing w:after="0" w:line="266" w:lineRule="auto"/>
        <w:tabs>
          <w:tab w:leader="none" w:pos="2397"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Contract, (A) the performance of which would be reasonably likely to involve any material payments after the Original Date, (B) with a Governmental Entity or (C) that imposes or is reasonably likely to impose, at any time in the future, any material, non-monetary obligations on any Group Company (or Armada after the Closing); and</w:t>
      </w:r>
    </w:p>
    <w:p>
      <w:pPr>
        <w:spacing w:after="0" w:line="67" w:lineRule="exact"/>
        <w:rPr>
          <w:rFonts w:ascii="Times New Roman" w:cs="Times New Roman" w:eastAsia="Times New Roman" w:hAnsi="Times New Roman"/>
          <w:sz w:val="18"/>
          <w:szCs w:val="18"/>
          <w:color w:val="auto"/>
        </w:rPr>
      </w:pPr>
    </w:p>
    <w:p>
      <w:pPr>
        <w:jc w:val="both"/>
        <w:ind w:left="1100" w:right="160" w:firstLine="910"/>
        <w:spacing w:after="0" w:line="266" w:lineRule="auto"/>
        <w:tabs>
          <w:tab w:leader="none" w:pos="2447"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the performance of which requires either (A) annual payments to or from any Group Company in excess of £1,000,000 or (B) aggregate payments to or from any Group Company in excess of £10,000,000 over the life of the agreement and, in each case, that is not terminable by the applicable Group Company without penalty upon less than ninety (90) days’ prior written notice.</w:t>
      </w:r>
    </w:p>
    <w:p>
      <w:pPr>
        <w:spacing w:after="0" w:line="176" w:lineRule="exact"/>
        <w:rPr>
          <w:sz w:val="20"/>
          <w:szCs w:val="20"/>
          <w:color w:val="auto"/>
        </w:rPr>
      </w:pPr>
    </w:p>
    <w:p>
      <w:pPr>
        <w:ind w:left="120" w:right="80" w:firstLine="987"/>
        <w:spacing w:after="0" w:line="254" w:lineRule="auto"/>
        <w:tabs>
          <w:tab w:leader="none" w:pos="13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Material Contract is a valid and binding obligation on the applicable Group Company and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Armada true and complete copies of all Material Contracts in effect as of the Original Date, including any and all exhibits, schedules and amendments thereto.</w:t>
      </w:r>
    </w:p>
    <w:p>
      <w:pPr>
        <w:spacing w:after="0" w:line="188" w:lineRule="exact"/>
        <w:rPr>
          <w:sz w:val="20"/>
          <w:szCs w:val="20"/>
          <w:color w:val="auto"/>
        </w:rPr>
      </w:pPr>
    </w:p>
    <w:p>
      <w:pPr>
        <w:jc w:val="both"/>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During the period beginning on the date of the Latest Balance Sheet and ending on the Second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 no Company Material Adverse Effect has occurred, (b) except as expressly contemplated by this Agreement, any Ancillary Document or in connection with the transactions contemplated hereby and thereby, the Group Companies have conducted their businesses in the ordinary and normal course in all material respects, and (c) no Group Company has taken any action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is (and since January 1, 2019 there has been) no Proceeding pending or, to the Company’s knowledge,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or involving any Group Company or any Group Company’s officers,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00"/>
          </w:cols>
          <w:pgMar w:left="320" w:top="455" w:right="47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directors, employees, contractors or agents (in their capacity as such) or (in respect of activities performed by a Person on behalf of a Group Company) any Person for whose acts or defaults any Group Company may be vicariously liable which, if adversely decided or resolved, has been or would reasonably be expected to be, individually or in the aggregate, material to the Group Companies, taken as a whole and there are to the Company’s knowledge no existing circumstances likely to give rise to any such Proceeding. Neither the Group Companies nor any of their respective properties or assets is subject to any material Order. As of the Original Date, except as would not reasonably be expected to be material to the Company or any of its Subsidiaries, there are no Proceedings by a Group Company pending against any other Person.</w:t>
      </w:r>
    </w:p>
    <w:p>
      <w:pPr>
        <w:spacing w:after="0" w:line="183"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Each Group Company (a) conducts (and since January 1, 2016 has conducted) its business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all Laws and Orders applicable to such Group Company and is not in violation of any such Law or Order and (b) has not received any written communications or any other communications from a Governmental Entity which is outstanding and that alleges that such Group Company is not in compliance with any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is not and would not reasonably be expected to be, individually or in the aggregate, material to the Group Companies, taken as a whole.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Employee Plans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300" w:firstLine="987"/>
        <w:spacing w:after="0" w:line="289" w:lineRule="auto"/>
        <w:tabs>
          <w:tab w:leader="none" w:pos="1356"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3.11(a)</w:t>
      </w:r>
      <w:r>
        <w:rPr>
          <w:rFonts w:ascii="Times New Roman" w:cs="Times New Roman" w:eastAsia="Times New Roman" w:hAnsi="Times New Roman"/>
          <w:sz w:val="17"/>
          <w:szCs w:val="17"/>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Armada with true and complete copies of the material documents pursuant to which the plan is maintained, funded and administered.</w:t>
      </w:r>
    </w:p>
    <w:p>
      <w:pPr>
        <w:spacing w:after="0" w:line="157" w:lineRule="exact"/>
        <w:rPr>
          <w:rFonts w:ascii="Times New Roman" w:cs="Times New Roman" w:eastAsia="Times New Roman" w:hAnsi="Times New Roman"/>
          <w:sz w:val="17"/>
          <w:szCs w:val="17"/>
          <w:color w:val="auto"/>
        </w:rPr>
      </w:pPr>
    </w:p>
    <w:p>
      <w:pPr>
        <w:ind w:left="120" w:firstLine="987"/>
        <w:spacing w:after="0" w:line="261" w:lineRule="auto"/>
        <w:tabs>
          <w:tab w:leader="none" w:pos="136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Company’s knowledge, threatened, material claims or Proceedings with respect to any Employee Benefit Plan (other than routine claims for benefits) that are material to the Group Companies, taken as a whole. With respect to each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179" w:lineRule="exact"/>
        <w:rPr>
          <w:rFonts w:ascii="Times New Roman" w:cs="Times New Roman" w:eastAsia="Times New Roman" w:hAnsi="Times New Roman"/>
          <w:sz w:val="18"/>
          <w:szCs w:val="18"/>
          <w:color w:val="auto"/>
        </w:rPr>
      </w:pPr>
    </w:p>
    <w:p>
      <w:pPr>
        <w:ind w:left="120" w:firstLine="987"/>
        <w:spacing w:after="0" w:line="268" w:lineRule="auto"/>
        <w:tabs>
          <w:tab w:leader="none" w:pos="1356"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and the consummation of the transactions contemplated by this Agreement will not materially (alone or in combination with any other event) under existing contractual provisions to which the Company is party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 or</w:t>
      </w:r>
    </w:p>
    <w:p>
      <w:pPr>
        <w:spacing w:after="0" w:line="2" w:lineRule="exact"/>
        <w:rPr>
          <w:rFonts w:ascii="Times New Roman" w:cs="Times New Roman" w:eastAsia="Times New Roman" w:hAnsi="Times New Roman"/>
          <w:sz w:val="17"/>
          <w:szCs w:val="17"/>
          <w:color w:val="auto"/>
        </w:rPr>
      </w:pPr>
    </w:p>
    <w:p>
      <w:pPr>
        <w:ind w:left="120" w:right="180" w:hanging="4"/>
        <w:spacing w:after="0" w:line="260" w:lineRule="auto"/>
        <w:tabs>
          <w:tab w:leader="none" w:pos="42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termination of any current director, manager, officer, employee, individual independent contractor or other service provider of any of the Group Companies.</w:t>
      </w:r>
    </w:p>
    <w:p>
      <w:pPr>
        <w:spacing w:after="0" w:line="18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Key Employee will, as a result of the consummation of the transactions contemplated by this Agreement, and otherwise than as expressly contemplated by this Agreement, be entitled to receive any payment or benefit to which he/she would not otherwise have been entitled or be entitled to treat either such event as amounting to a breach of his/her terms and conditions of employment or treat him/herself as dismissed or released from any obligation.</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5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that is required to be registered with HM Revenue &amp; Customs, has been registered with HM Revenue &amp; Customs. No Employee Benefit Plan has any material unfunded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60"/>
          </w:cols>
          <w:pgMar w:left="320" w:top="455" w:right="51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70" w:lineRule="auto"/>
        <w:rPr>
          <w:sz w:val="20"/>
          <w:szCs w:val="20"/>
          <w:color w:val="auto"/>
        </w:rPr>
      </w:pPr>
      <w:r>
        <w:rPr>
          <w:rFonts w:ascii="Times New Roman" w:cs="Times New Roman" w:eastAsia="Times New Roman" w:hAnsi="Times New Roman"/>
          <w:sz w:val="17"/>
          <w:szCs w:val="17"/>
          <w:color w:val="auto"/>
        </w:rPr>
        <w:t>underfunded Liabilities.  No Benefit Plan in relation to the Group Companies in the UK provides retirement benefits which are not “money purchase benefits” as defined in section 181 of the UK Pension Schemes Act 1993. Each Group Company in the UK: (i) has at all times complied with its auto-enrolment obligations under the UK Pensions Act 2008; (ii) has not at any time employed a member of, or been associated or connected (as defined in section 51(3) of the UK Pensions Act 2004) with an employer which employed a member of, an occupational defined benefit pension scheme; and</w:t>
      </w:r>
    </w:p>
    <w:p>
      <w:pPr>
        <w:spacing w:after="0" w:line="3" w:lineRule="exact"/>
        <w:rPr>
          <w:sz w:val="20"/>
          <w:szCs w:val="20"/>
          <w:color w:val="auto"/>
        </w:rPr>
      </w:pPr>
    </w:p>
    <w:p>
      <w:pPr>
        <w:ind w:left="120" w:right="80" w:hanging="4"/>
        <w:spacing w:after="0" w:line="255" w:lineRule="auto"/>
        <w:tabs>
          <w:tab w:leader="none" w:pos="43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at any time employed an employee who has a right to pension benefits which are not benefits for old age, invalidity or survivors as a result of the transfer of his contract of employment from another employer under the UK Transfer of Undertakings (Protection of Employment) Regulations 2006.</w:t>
      </w:r>
    </w:p>
    <w:p>
      <w:pPr>
        <w:spacing w:after="0" w:line="182"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 Except as is not and would not reasonably be expected to be, individually or in the aggregate, material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Group Companies, taken as a whole:</w:t>
      </w:r>
    </w:p>
    <w:p>
      <w:pPr>
        <w:spacing w:after="0" w:line="159" w:lineRule="exact"/>
        <w:rPr>
          <w:sz w:val="20"/>
          <w:szCs w:val="20"/>
          <w:color w:val="auto"/>
        </w:rPr>
      </w:pPr>
    </w:p>
    <w:p>
      <w:pPr>
        <w:ind w:left="120" w:right="200" w:firstLine="987"/>
        <w:spacing w:after="0" w:line="282" w:lineRule="auto"/>
        <w:tabs>
          <w:tab w:leader="none" w:pos="135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have received any written communication or other communication from any Governmental Entity or any other Person regarding any actual, alleged, or potential violation of, or Liability under, any Environmental Laws.</w:t>
      </w:r>
    </w:p>
    <w:p>
      <w:pPr>
        <w:spacing w:after="0" w:line="161"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6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since January 1, 2016 there has been) no Proceeding pending or, to the Company’s knowledge, threatened against or involving any Group Company in respect to any Environmental Laws.</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312" w:lineRule="auto"/>
        <w:tabs>
          <w:tab w:leader="none" w:pos="1356"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Group Company has manufactured, released, stored or disposed, of, so as to give rise to contamination by, or exposure of any Person to, any Hazardous Substances, in each case in a manner that has given or would give rise to Liabilities of the Group under Environmental Law.</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sets forth a true and complete list of (i) all currently issued or pending Company Registered Intellectual Property, and (ii) Company Licensed Intellectual Property that is material to the business of the Group Companies, in each case, as of the Second Amendment Date.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lists, for each item of Company Registered Intellectual Property as of the Second Amendment Date (A) the record owner of such item, (B) the jurisdiction(s) in which such item has been issued or registered or filed, and (C) the issuance, registration or application date, as applicable, for such item.</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Original Date, all necessary fees and filings due with respect to any Company Registered Intellectual Property have been submitted to the relevant intellectual property office or Governmental Entity and Internet domain name registrars to maintain such Company Registered Intellectual Property in full force and effect. As of the Original Date,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There are no (and since January 1, 2016 there have been no) material Proceedings pending, including litigations, interference, re-examination, </w:t>
      </w:r>
      <w:r>
        <w:rPr>
          <w:rFonts w:ascii="Times New Roman" w:cs="Times New Roman" w:eastAsia="Times New Roman" w:hAnsi="Times New Roman"/>
          <w:sz w:val="18"/>
          <w:szCs w:val="18"/>
          <w:i w:val="1"/>
          <w:iCs w:val="1"/>
          <w:color w:val="auto"/>
        </w:rPr>
        <w:t>inter parties</w:t>
      </w:r>
      <w:r>
        <w:rPr>
          <w:rFonts w:ascii="Times New Roman" w:cs="Times New Roman" w:eastAsia="Times New Roman" w:hAnsi="Times New Roman"/>
          <w:sz w:val="18"/>
          <w:szCs w:val="18"/>
          <w:color w:val="auto"/>
        </w:rPr>
        <w:t xml:space="preserve"> review, reissue, opposition, nullity, or cancellation proceedings pending that relate to any of the Company Registered Intellectual Property and no such material Proceedings are threatened by any Governmental Entity or any other Person and, to the Company’s knowledge, there are no existing circumstances likely to give rise to any such Proceedings.</w:t>
      </w:r>
    </w:p>
    <w:p>
      <w:pPr>
        <w:spacing w:after="0" w:line="188"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Company exclusively, legally and beneficially owns all right, title and interest in and to all material Company Owned Intellectual Property, free and clear of all Liens or obligations to others (other than Permitted Liens) and is not held jointly or in common with any other Person. No Group Company has transferred ownership of, or granted any exclusive license with respect to, any material Company Owned Intellectual Property to any other Person.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060"/>
          </w:cols>
          <w:pgMar w:left="320" w:top="455" w:right="51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firstLine="987"/>
        <w:spacing w:after="0" w:line="312" w:lineRule="auto"/>
        <w:tabs>
          <w:tab w:leader="none" w:pos="1366"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3.13(d)</w:t>
      </w:r>
      <w:r>
        <w:rPr>
          <w:rFonts w:ascii="Times New Roman" w:cs="Times New Roman" w:eastAsia="Times New Roman" w:hAnsi="Times New Roman"/>
          <w:sz w:val="17"/>
          <w:szCs w:val="17"/>
          <w:color w:val="auto"/>
        </w:rPr>
        <w:t xml:space="preserve"> of the Company Disclosure Schedules sets forth a list of all current Contracts for Company Licensed Intellectual Property that are material to the business of the Group Companies as of the Original Date, excluding any licenses to off-the-shelf software.</w:t>
      </w:r>
    </w:p>
    <w:p>
      <w:pPr>
        <w:spacing w:after="0" w:line="139" w:lineRule="exact"/>
        <w:rPr>
          <w:rFonts w:ascii="Times New Roman" w:cs="Times New Roman" w:eastAsia="Times New Roman" w:hAnsi="Times New Roman"/>
          <w:sz w:val="17"/>
          <w:szCs w:val="17"/>
          <w:color w:val="auto"/>
        </w:rPr>
      </w:pPr>
    </w:p>
    <w:p>
      <w:pPr>
        <w:ind w:left="120" w:right="200" w:firstLine="987"/>
        <w:spacing w:after="0" w:line="261" w:lineRule="auto"/>
        <w:tabs>
          <w:tab w:leader="none" w:pos="135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Group Company has enforceable rights under all Contracts for Company Licensed Intellectual Property to use, sell, license and otherwise exploit (as the case may be) the relevant Company Licensed Intellectual Property to the extent required by the applicable Group Company to conduct its business in the ordinary course, no written notice having been given on either side to terminate the Contracts, and the obligations of all parties to such Contracts have been fully complied with.</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3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Intellectual Property and the Company Licensed Intellectual Property, constitutes all of the material Intellectual Property Rights used by the Group Companies in the operation of their respective businesses, and all Intellectual Property Rights necessary and sufficient to enable the Group Companies to conduct their respective businesses as currently conducted in all material respects, and all such Company Owned Intellectual Property and Company Licensed Intellectual Property shall be available for use immediately after the Closing Date by each Group Company on terms and conditions substantially identical to those under which each Group Company owned or used such Company Owned Intellectual Property and Company Licensed Intellectual Property as at the Original Date.</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Registered Intellectual Property and the Company Owned Intellectual Property is valid, subsisting and enforceable.</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55"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Company’s directors, employees, consultants, advisors and independent contractors who independently or jointly contributed to or otherwise participated in the authorship, invention, creation, improvement, modification or development of any Company Owned Intellectual Property (each such person, a “</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have agreed or are otherwise legally bound, to maintain and protect the trade secrets and confidential information of all Group Companies. Each Creator has entered into a written agreement with the relevant Group Company pursuant to which such Company Owned Intellectual Property is owned by the relevant Group Company absolutely and all such Creators have waived or assigned to such Group Company all Intellectual Property Rights authored, invented, created, improved, modified or developed by such person in the course of such Creator’s employment or other engagement with such Group Company.</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2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taken all reasonable steps to safeguard and maintain the secrecy of any trade secrets, know-how and other confidential information owned by each Group Company. Without limiting the foregoing, no Group Company has knowingly disclosed any trade secrets, know-how or confidential information to any other Person unless such disclosure was under an appropriate written non-disclosure agreement or other obligation of confidentiality containing appropriate limitations on use, reproduction and disclosure. There has been no violation or unauthorized access to or disclosure of any trade secrets, know-how or confidential information of or in the possession each Group Company, or of any written obligations with respect to such.</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Owned Intellectual Property and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79" w:lineRule="exact"/>
        <w:rPr>
          <w:rFonts w:ascii="Times New Roman" w:cs="Times New Roman" w:eastAsia="Times New Roman" w:hAnsi="Times New Roman"/>
          <w:sz w:val="18"/>
          <w:szCs w:val="18"/>
          <w:color w:val="auto"/>
        </w:rPr>
      </w:pPr>
    </w:p>
    <w:p>
      <w:pPr>
        <w:ind w:left="120" w:right="480" w:firstLine="987"/>
        <w:spacing w:after="0" w:line="261"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conduct of the business of the Group Companies offered, marketed, licensed, provided, sold, distributed or otherwise exploited by the Group Companies nor the design, development, manufacturing, reproduction, use, marketing, offer for sale, sale, importation, exportation, distribution, maintenance or other exploitation of any Company Owned Intellectual Property infringes, constitutes or results from an unauthorized use or misappropriation of or otherwise violates any Intellectual Property Rights of any other Person and no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written notice or allegation that is still outstanding has been received by the Group Companies that the Group Companies are infringing any Intellectual Property Rights of any other Person.</w:t>
      </w:r>
    </w:p>
    <w:p>
      <w:pPr>
        <w:spacing w:after="0" w:line="162" w:lineRule="exact"/>
        <w:rPr>
          <w:sz w:val="20"/>
          <w:szCs w:val="20"/>
          <w:color w:val="auto"/>
        </w:rPr>
      </w:pPr>
    </w:p>
    <w:p>
      <w:pPr>
        <w:ind w:left="120" w:right="40" w:firstLine="987"/>
        <w:spacing w:after="0" w:line="258" w:lineRule="auto"/>
        <w:tabs>
          <w:tab w:leader="none" w:pos="132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there is no material Proceeding pending nor has any Group Company received any written communications or any other communications (i) alleging that a Group Company has infringed or misappropriated or otherwise violated any Intellectual Property Rights of any other Person, (ii) challenging the validity, enforceability, use or exclusive ownership of any Company Owned Intellectual Property or (iii) inviting any Group Company to take a license under any Patent or other Intellectual Property or consider the applicability of any Patents or other Intellectual Property to any products or services of the Group Companies or to the conduct of the business of the Group Companies.</w:t>
      </w:r>
    </w:p>
    <w:p>
      <w:pPr>
        <w:spacing w:after="0" w:line="183"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41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Person is infringing or misappropriating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disclosed or delivered to any escrow agent or any other Person, other than employees or contractors who are subject to confidentiality obligations, any of the source code that is Company Owned Intellectual Property, and no other Person has the right, contingent or otherwise, to obtain access to or use any such source code. No event has occurred, and no circumstance or condition exists at the Original Date that will, or could reasonably be expected to, result in the delivery, license or disclosure of any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87" w:lineRule="exact"/>
        <w:rPr>
          <w:rFonts w:ascii="Times New Roman" w:cs="Times New Roman" w:eastAsia="Times New Roman" w:hAnsi="Times New Roman"/>
          <w:sz w:val="18"/>
          <w:szCs w:val="18"/>
          <w:color w:val="auto"/>
        </w:rPr>
      </w:pPr>
    </w:p>
    <w:p>
      <w:pPr>
        <w:ind w:left="120" w:right="520" w:firstLine="987"/>
        <w:spacing w:after="0" w:line="266" w:lineRule="auto"/>
        <w:tabs>
          <w:tab w:leader="none" w:pos="136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used, modified or distributed Open Source Software in a manner that would require any element of the Company Owned Intellectual Property to be disclosed or distributed in source code form, licensed for the purpose of making derivative works, attributable to a third party, restricted from commercial use or redistributable at no or minimal charge.</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Software is or has become subject to any Open Source Software license and no Open Source Software is or has been included, incorporated or embedded in, linked to, combined or distributed with or used in the delivery, or provision of any Company Software or in any Company Offering, in each case, in a manner that subjects any Company Software or Company Offering to any Copyleft License (or that requires or purports to require any Company Person to grant any Intellectual Property License with respect to Patents).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written Open Source Software policies of any Group Company are listed in </w:t>
      </w:r>
      <w:r>
        <w:rPr>
          <w:rFonts w:ascii="Times New Roman" w:cs="Times New Roman" w:eastAsia="Times New Roman" w:hAnsi="Times New Roman"/>
          <w:sz w:val="18"/>
          <w:szCs w:val="18"/>
          <w:u w:val="single" w:color="auto"/>
          <w:color w:val="auto"/>
        </w:rPr>
        <w:t>Section 3.13(s)</w:t>
      </w:r>
      <w:r>
        <w:rPr>
          <w:rFonts w:ascii="Times New Roman" w:cs="Times New Roman" w:eastAsia="Times New Roman" w:hAnsi="Times New Roman"/>
          <w:sz w:val="18"/>
          <w:szCs w:val="18"/>
          <w:color w:val="auto"/>
        </w:rPr>
        <w:t xml:space="preserve"> of the Company Disclosure Schedule, and complete and accurate copies thereof have been delivered to Armada.</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deviation from or violation of such policies with respect to Open Source Software by the Company.</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4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3.13(u)</w:t>
      </w:r>
      <w:r>
        <w:rPr>
          <w:rFonts w:ascii="Times New Roman" w:cs="Times New Roman" w:eastAsia="Times New Roman" w:hAnsi="Times New Roman"/>
          <w:sz w:val="18"/>
          <w:szCs w:val="18"/>
          <w:color w:val="auto"/>
        </w:rPr>
        <w:t xml:space="preserve"> of the Company Disclosure Schedule, no Group Company nor any of their employees (in their capacity as such) is a contributor, committer or submitter with respect to any open source projects.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u w:val="single" w:color="auto"/>
          <w:color w:val="auto"/>
        </w:rPr>
        <w:t>Labor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66" w:lineRule="auto"/>
        <w:tabs>
          <w:tab w:leader="none" w:pos="13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Schedules sets forth a true and complete list of all employees, independent contractors and other service providers of each Group Company as of November 30, 2021. The Group Companies have provided true and complete copies of the contracts of employment or engagement pursuant to which the Key Employees are employed or engaged. All other employees of the Group</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080"/>
          </w:cols>
          <w:pgMar w:left="320" w:top="455" w:right="49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Companies are employed under the template contracts of employment disclosed in the Company Disclosure Schedules and true and complete copies of all such templates have been provided to Armada by the Company. Copies of all Group Companies staff handbooks have been disclosed in the Company Disclosure Schedules and true and complete copies of all such handbooks and related policies and procedures have been provided to Armada by the Company.</w:t>
      </w:r>
    </w:p>
    <w:p>
      <w:pPr>
        <w:spacing w:after="0" w:line="180" w:lineRule="exact"/>
        <w:rPr>
          <w:sz w:val="20"/>
          <w:szCs w:val="20"/>
          <w:color w:val="auto"/>
        </w:rPr>
      </w:pPr>
    </w:p>
    <w:p>
      <w:pPr>
        <w:ind w:left="120" w:right="40" w:firstLine="987"/>
        <w:spacing w:after="0" w:line="254"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Group Companies (A) has any material Liability for any arrears of wages or other compensation for services (including salaries, wage premiums, commissions, fees or bonuses), or any penalties, fines, interest, or other sums for failure to pay or delinquency in paying such compensation other than for amounts due for the current monthly period, and (B) has any material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(ii) the Group Companies have withheld all amounts required by applicable Law or by agreement to be withheld from wages, salaries and other payments to employees or independent contractors or other service providers of each Group Company, except as has not and would not reasonably be expected to result in, individually or in the aggregate, material Liability to the Group Companies; and (iii) the Group Companies have correctly classified all employees or independent contractors or other service providers of each Group Company.</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or bound by any CBA and no employees of any Group Company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There has been no actual or, to the Company’s knowledge, threatened unfair labor practice charges, material grievances, arbitrations, strikes, lockouts, work stoppages, or other material labor disputes against or affecting any Group Company. There have been no labor organizing activities with respect to any employees of any Group Company.</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3.14(d)</w:t>
      </w:r>
      <w:r>
        <w:rPr>
          <w:rFonts w:ascii="Times New Roman" w:cs="Times New Roman" w:eastAsia="Times New Roman" w:hAnsi="Times New Roman"/>
          <w:sz w:val="18"/>
          <w:szCs w:val="18"/>
          <w:color w:val="auto"/>
        </w:rPr>
        <w:t xml:space="preserve"> of the Company Disclosure Schedules sets forth relevant details of all material employee layoffs, facility closure or shutdown (whether voluntary or by Order), reduction-in-force, furlough, temporary layoff, material work schedule change or reduction in hours, or reduction in salary or wages has occurred since January 1, 2020 or is currently contemplated, planned or announced, including as a result of COVID-19 or any Law, Order, directive, guideline or recommendation by any Governmental Entity in connection with or in response to COVID-19.</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offer of a contract of employment or engagement has been made by any Group Company to any person who, if employed or engaged, would be a Key Employee of a Group Company, which has not yet been accepted, or which has been accepted but the individual’s employment or engagement has not commenced. No Key Employee of a Group Company has given or received notice terminating his contract of employment, nor so far as the Company is aware, is any such notice pending or threatened.</w:t>
      </w:r>
    </w:p>
    <w:p>
      <w:pPr>
        <w:spacing w:after="0" w:line="179"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3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six years, no Group Company has been a party to a relevant transfer (as defined in the Transfer of Undertakings (Protection of Employment Regulations) 2006) and, within this period, none of its employees or former employees has transferred to a Group Company under any such regulations.</w:t>
      </w:r>
    </w:p>
    <w:p>
      <w:pPr>
        <w:spacing w:after="0" w:line="17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(g) The entry into and performance of this Agreement will not:</w:t>
      </w:r>
    </w:p>
    <w:p>
      <w:pPr>
        <w:spacing w:after="0" w:line="117" w:lineRule="exact"/>
        <w:rPr>
          <w:sz w:val="20"/>
          <w:szCs w:val="20"/>
          <w:color w:val="auto"/>
        </w:rPr>
      </w:pPr>
    </w:p>
    <w:p>
      <w:pPr>
        <w:ind w:left="2220" w:hanging="210"/>
        <w:spacing w:after="0"/>
        <w:tabs>
          <w:tab w:leader="none" w:pos="222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payment or other benefit to any officer or employee of any Group Company;</w:t>
      </w:r>
    </w:p>
    <w:p>
      <w:pPr>
        <w:spacing w:after="0" w:line="117" w:lineRule="exact"/>
        <w:rPr>
          <w:rFonts w:ascii="Times New Roman" w:cs="Times New Roman" w:eastAsia="Times New Roman" w:hAnsi="Times New Roman"/>
          <w:sz w:val="18"/>
          <w:szCs w:val="18"/>
          <w:color w:val="auto"/>
        </w:rPr>
      </w:pPr>
    </w:p>
    <w:p>
      <w:pPr>
        <w:ind w:left="1100" w:right="220" w:firstLine="910"/>
        <w:spacing w:after="0" w:line="282" w:lineRule="auto"/>
        <w:tabs>
          <w:tab w:leader="none" w:pos="2267"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employee of any Group Company to give notice to terminate his contract of employment or to any additional period of notice;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40"/>
          </w:cols>
          <w:pgMar w:left="320" w:top="455" w:right="43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firstLine="910"/>
        <w:spacing w:after="0" w:line="282" w:lineRule="auto"/>
        <w:tabs>
          <w:tab w:leader="none" w:pos="2317"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(having made no enquiry), result in any employees of any Group Company giving notice to terminate their employment; or</w:t>
      </w:r>
    </w:p>
    <w:p>
      <w:pPr>
        <w:spacing w:after="0" w:line="53"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adversely affect any Group Company’s employee relations.</w:t>
      </w:r>
    </w:p>
    <w:p>
      <w:pPr>
        <w:spacing w:after="0" w:line="2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Schedules sets forth a list of all material policies or programs of self-insurance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property, fire and casualty, product liability, workers’ compensation and other forms of insurance owned or held by any Group Company as of the Original Date.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Company Disclosure Schedules also sets forth a list of all material (i) outstanding claims made by the Company, its Subsidiaries or any other Person under each such policy since January 1, 2019 or (ii) Proceedings under each such policy since January 1, 2019. All such policies are in full force and effect, all premiums due and payable thereon as of the Original Date have been paid in full as of the Original Date, and true and complete copies of all such policies have been made available to Armada. As of the Original Date any Group Company has not received any threatened termination of any such insurance policies. As of the Original Date, no claim by any Group Company is pending under any such policies as to which coverage has been denied or disputed, by the underwriters thereof, except as is not and would not reasonably be expected to be, individually or in the aggregate, material to the Group Companies, taken as a whole. With respect to each such insurance policy to which any member of any Group Company is a beneficiary, the policy is, to the Company’s knowledge, legal, valid, binding and enforceable against such member of any Group Company in accordance with its terms and, except for policies that have expired under their terms in the ordinary course.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6" w:lineRule="auto"/>
        <w:tabs>
          <w:tab w:leader="none" w:pos="135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prepared and timely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5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66"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5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rulings, clearances or similar agreements have been entered into with or issued by any Tax Authority with respect to a Group Company which agreement, clearance or ruling would be effective after the Closing Date.</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Taxes on any assets of the Group Companies other than Permitted Liens.</w:t>
      </w:r>
    </w:p>
    <w:p>
      <w:pPr>
        <w:spacing w:after="0" w:line="27"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 has been a member of an Affiliated Group filing a consolidated U.S. federal income Tax Return (other than a group the common parent of which was a Group Company), (ii) is, so far as the Company is aware, liable to pay any material Tax in consequence of the failure by any other Person (other than a Group Company)to discharge such Tax in circumstances where such other Person is primarily liable for such Tax, or (iii) is or has been a member of any Tax Consolidation (other than solely with other Group Companies).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987"/>
        <w:spacing w:after="0" w:line="282" w:lineRule="auto"/>
        <w:tabs>
          <w:tab w:leader="none" w:pos="136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2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any Tax allocation, Tax sharing or Tax indemnity or similar agreements (other than one that is included in a Contract entered into in the ordinary course of business that is not primarily related to Taxes) which could reasonably be expected to result in a material liability of a Group Company after the Closing Date.</w:t>
      </w:r>
    </w:p>
    <w:p>
      <w:pPr>
        <w:spacing w:after="0" w:line="17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tax resident only in its jurisdiction of incorporation.</w:t>
      </w:r>
    </w:p>
    <w:p>
      <w:pPr>
        <w:spacing w:after="0" w:line="22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subject to a corporate income tax in a country other than the jurisdiction of its tax residence as a result of having a permanent establishment or an office or fixed place of business in that country, and no Group Company (other than Rezolve Mobile Commerce Inc) is engaged in a trade or business within the United States.</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2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claimed any Tax credits or benefitted from any Tax deferrals granted by any Tax Authority with respect to the COVID-19 pandemic for which repayment or other liability is owed, or is likely to be owed, after the Closing Date.</w:t>
      </w:r>
    </w:p>
    <w:p>
      <w:pPr>
        <w:spacing w:after="0" w:line="161" w:lineRule="exact"/>
        <w:rPr>
          <w:rFonts w:ascii="Times New Roman" w:cs="Times New Roman" w:eastAsia="Times New Roman" w:hAnsi="Times New Roman"/>
          <w:sz w:val="18"/>
          <w:szCs w:val="18"/>
          <w:color w:val="auto"/>
        </w:rPr>
      </w:pPr>
    </w:p>
    <w:p>
      <w:pPr>
        <w:ind w:left="120" w:right="380" w:firstLine="987"/>
        <w:spacing w:after="0" w:line="266" w:lineRule="auto"/>
        <w:tabs>
          <w:tab w:leader="none" w:pos="141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no Group Company has been required to provide a United Kingdom Tax Authority with any information pursuant to Part 7 of the Finance Act 2004 (as amended) or any related regulations (DOTAS) or any equivalent or similar regime in the jurisdiction in which it is established.</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or securities issued by a Group Company (including any Company Shares) to an officer or employee (or prospective or former officer or employee) of a Group Company and which constitute “restricted securities” within the meaning of section 423 of the Income Tax (Earnings and Pensions) Act 2003 (“</w:t>
      </w:r>
      <w:r>
        <w:rPr>
          <w:rFonts w:ascii="Times New Roman" w:cs="Times New Roman" w:eastAsia="Times New Roman" w:hAnsi="Times New Roman"/>
          <w:sz w:val="18"/>
          <w:szCs w:val="18"/>
          <w:u w:val="single" w:color="auto"/>
          <w:color w:val="auto"/>
        </w:rPr>
        <w:t>ITEPA</w:t>
      </w:r>
      <w:r>
        <w:rPr>
          <w:rFonts w:ascii="Times New Roman" w:cs="Times New Roman" w:eastAsia="Times New Roman" w:hAnsi="Times New Roman"/>
          <w:sz w:val="18"/>
          <w:szCs w:val="18"/>
          <w:color w:val="auto"/>
        </w:rPr>
        <w:t>”) are the subject of a valid election under section 431(1) ITEPA (or are deemed to be so subject, as a result of section 431A or otherwise), or are not subject to sections 426 to 430 ITEPA by virtue of section 430A, or were acquired for not less than their “IUMV” (as defined in section 428 ITEPA).</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provided adequate reserves in accordance with GAAP in the most recent financial statements of such Group Company for any material Taxes of such Group Company that have not been paid, whether or not shown as being due on any Tax Return.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under Section 481(c) of the Code (or any corresponding or similar provision of state, local or foreign income Tax Law);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intercompany transaction or any excess loss account described in Treasury Regulations under Section 1502 of the Code (or any corresponding or similar provision of state, local or foreign income Tax Law) entered into or created on or prior to the Closing Date; or (v) prepaid amount received or deferred revenue accrued on or prior to the Closing Date.</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in any year for which the applicable statute of limitations remains open distributed stock of another person, or has had its stock distributed by another person, in a transaction that was purported or intended to be governed in whole or in part by Section 355 or Section 361 of the Code.</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engaged in or entered into a “listed transaction” within the meaning of Treasury Regulation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1.6011-4(b)(2).</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 Each Group Company is classified as an association taxable as a corporation for U.S. federal income tax purposes.</w:t>
      </w:r>
    </w:p>
    <w:p>
      <w:pPr>
        <w:spacing w:after="0" w:line="22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3.17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(which fees shall be the sole responsibility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broker, finder, investment banker or other Person is entitled to any brokerage fee, finders’ fee or other commission in connection with the transactions contemplated by this Agreement based upon arrangements made by or on behalf of the Company or any of its controlled Affiliates for which any of the Group Companies has any obligation.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b w:val="1"/>
          <w:bCs w:val="1"/>
          <w:u w:val="single" w:color="auto"/>
          <w:color w:val="auto"/>
        </w:rPr>
        <w:t>Real and Personal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560" w:firstLine="987"/>
        <w:spacing w:after="0" w:line="258" w:lineRule="auto"/>
        <w:tabs>
          <w:tab w:leader="none" w:pos="135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owned by any of the Group Companies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No Group Company has the benefit of any agreement for sale, agreement for lease, option, right of pre-emption, right of first refusal or any other right of acquisition in relation to any real property. The Group Companies’ possession and quiet enjoyment of the Owned Real Property has not been materially disturbed and there are no material disputes with respect to any Real Property Lease.</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leased by any of the Group Companies, or used or occupied pursuant to a license or any other contractual relationship by any of the Group Companies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all Real Property Leases pursuant to which any Group Company is a tenant, licensee, landlord or licensor as of the Original Date. True and complete copies of all such Real Property Leases have been made available to Armada.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under any Real Property Lease, and no event has occurred which (with or without notice or lapse of time or both) would constitute a material breach or default by a Group Company under any Real Property Lease or would permit termination of, or a material modification or acceleration thereof, by the counterparty to any Real Property Lease. The Group Companies’ possession and quiet enjoyment of the Leased Real Property under any Real Property Lease has not been materially disturbed, and there are no material disputes to which a Group Company is party with respect to any Real Property Lease. There are no fees or charges payable in connection with any Leased Real Property by a Group Company which are in the process of being reviewed.</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5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by any Group Company of the Owned Real Property and the Leased Real Property for the various purposes for which it is presently being used by such Company is permitted under all applicable Laws, including zoning or is a lawful nonconforming use, and is not subject to outstanding variances or special use permits. All improvements, additions and/or other alterations made by any Group Company are in material compliance with all applicable Laws, including those pertaining to zoning and building, are in good repair and condition (ordinary wear and tear excepted) and in relation to the Leased Real Properties, are otherwise in a state of repair and condition which is consistent and in full compliance with the relevant Group Companies’ obligations under the Real Property Leases.</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and no other company that was at any time a Subsidiary of any Group Company, has any actual or contingent liability in respect of Previously-owned Land and Buildings. No Group Company, and no other company that was at any time a Subsidiary of any Group Company, has given any guarantee or indemnity for any liability relating to any Previously-owned Land and Buildings or any other land or buildings. For the purposes of this paragraph “</w:t>
      </w:r>
      <w:r>
        <w:rPr>
          <w:rFonts w:ascii="Times New Roman" w:cs="Times New Roman" w:eastAsia="Times New Roman" w:hAnsi="Times New Roman"/>
          <w:sz w:val="18"/>
          <w:szCs w:val="18"/>
          <w:u w:val="single" w:color="auto"/>
          <w:color w:val="auto"/>
        </w:rPr>
        <w:t>Previously-owned Land and Buildings</w:t>
      </w:r>
      <w:r>
        <w:rPr>
          <w:rFonts w:ascii="Times New Roman" w:cs="Times New Roman" w:eastAsia="Times New Roman" w:hAnsi="Times New Roman"/>
          <w:sz w:val="18"/>
          <w:szCs w:val="18"/>
          <w:color w:val="auto"/>
        </w:rPr>
        <w:t>” shall mean any land and/or buildings that have, at any time before the Original Date, been owned (under whatever tenure) and/or occupied and/or used by any Group Company but which are either: (i) no longer owned, occupied or used by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00"/>
          </w:cols>
          <w:pgMar w:left="320" w:top="455" w:right="47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Group Company; or (ii) are owned, occupied or used by such Group Company but pursuant to a different lease, license, transfer or conveyance.</w:t>
      </w:r>
    </w:p>
    <w:p>
      <w:pPr>
        <w:spacing w:after="0" w:line="2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3.19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Schedules sets forth all Contracts between (a) any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on the one hand, and (b) any officer, director, partner, member, manager, registered equity holder or Affiliate of any Group Company (other than, for the avoidance of doubt, any other Group Company) or any immediate family member of the foregoing Persons, on the other hand (each Person identified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other than (i) Contracts with respect to a Company Related Party’s employment with (including benefit plans and other ordinary course compensation from) any of the Group Companies entered into in the ordinary course of business,</w:t>
      </w:r>
    </w:p>
    <w:p>
      <w:pPr>
        <w:spacing w:after="0" w:line="3" w:lineRule="exact"/>
        <w:rPr>
          <w:sz w:val="20"/>
          <w:szCs w:val="20"/>
          <w:color w:val="auto"/>
        </w:rPr>
      </w:pPr>
    </w:p>
    <w:p>
      <w:pPr>
        <w:jc w:val="both"/>
        <w:ind w:left="120" w:right="300" w:hanging="4"/>
        <w:spacing w:after="0" w:line="265" w:lineRule="auto"/>
        <w:tabs>
          <w:tab w:leader="none" w:pos="385" w:val="left"/>
        </w:tabs>
        <w:numPr>
          <w:ilvl w:val="0"/>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Ancillary Document, and (iii) immaterial Contracts entered into in the ordinary course by the applicable Group Company and the applicable Company Related Party. No Company Related Party (A) owns any interest in any material asset or property used in any Group Company’s business,</w:t>
      </w:r>
    </w:p>
    <w:p>
      <w:pPr>
        <w:ind w:lef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possesses, directly or indirectly, any material financial interest in, or is, or is a director or executive officer of, any Person which is a material supplier, vendor, partner, customer, lessor or other material business relation of any Group Company or (C) owes any material amount to, or is owed any material amount by, any Group Company (other than accrued compensation, employee benefits, employee or director expense reimbursement, in each case, in the ordinary course of business).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b w:val="1"/>
          <w:bCs w:val="1"/>
          <w:u w:val="single" w:color="auto"/>
          <w:color w:val="auto"/>
        </w:rPr>
        <w:t>Data Privacy and Security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20" w:firstLine="987"/>
        <w:spacing w:after="0" w:line="258" w:lineRule="auto"/>
        <w:tabs>
          <w:tab w:leader="none" w:pos="135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implemented adequate written policies and procedures consistent with its obligations under Privacy Laws and maintains and enforced such policies and procedures. Each Group Company is in all material respects in compliance with all applicable requirements of the Privacy Laws. No Group Company has received any written notice, order, complaint or other correspondence from any Governmental Entity or other person alleging a breach of, or non-compliance with, the Privacy Laws and so far as the Company is aware no circumstances exist which are likely to result in any such notice, order, complaint or other correspondence being sent, served, given or made.</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owns or has a valid, subsisting and enforceable license to use the Company IT Systems as necessary to operate the business of each Group Company as currently conducted or as conducted as at Closing, and such Company IT Systems shall be owned or available for use by each Group Company following the Closing on terms and conditions substantially identical to those under which each such Group Company owned or used such Company IT Systems as at the Original Date. Except as is not and would not reasonably be expected to be, individually or in the aggregate, material to the operation of the business of the Group Companies, taken as a whole, all Company IT Systems are: (i) free from any defect, bug, virus or programming, design or documentation error, and (ii) in good working condition in all respects to effectively perform all information technology operations necessary for the operation of the Business in accordance with the specifications applicable to them (except for ordinary wear and tear), including for the avoidance of doubt, those under applicable Law. Since January 1, 2020, there have not been any failures, breakdowns, bugs in, security breaches, unauthorized access or use or continued substandard performance of any Company IT Systems or unauthorized acquisition, destruction, damage, disclosure, loss, corruption, alteration or use of any data which have materially disrupted the operations of the Company.</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(i) security measures, procedures or policies in place that are consistent with current industry practice to:</w:t>
      </w:r>
    </w:p>
    <w:p>
      <w:pPr>
        <w:spacing w:after="0" w:line="27" w:lineRule="exact"/>
        <w:rPr>
          <w:rFonts w:ascii="Times New Roman" w:cs="Times New Roman" w:eastAsia="Times New Roman" w:hAnsi="Times New Roman"/>
          <w:sz w:val="18"/>
          <w:szCs w:val="18"/>
          <w:color w:val="auto"/>
        </w:rPr>
      </w:pPr>
    </w:p>
    <w:p>
      <w:pPr>
        <w:jc w:val="both"/>
        <w:ind w:left="120" w:right="20" w:hanging="4"/>
        <w:spacing w:after="0" w:line="290" w:lineRule="auto"/>
        <w:tabs>
          <w:tab w:leader="none" w:pos="335"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the Company IT Systems and any data held on such Company IT Systems; and (ii) prevent unauthorized access or the introduction of viruses or similar destructive code; and (ii) carried out regular reviews of the Company IT Systems and has remedied any weaknesses detected by such reviews.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00"/>
          </w:cols>
          <w:pgMar w:left="320" w:top="455" w:right="47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987"/>
        <w:spacing w:after="0" w:line="281" w:lineRule="auto"/>
        <w:tabs>
          <w:tab w:leader="none" w:pos="1366"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agreements relating to the Company IT Systems are provided under written agreements to which a Group Company is a party, and in respect of each such agreement: (i) it is in full force and effect, no notice having been given to terminate it; (ii) neither entering into, nor compliance with nor completion of, this Agreement will, or is likely to entitle a party to terminate, vary or make a claim under it; and (iii) the obligations of the Company or to the Company’s knowledge any other party under it have been complied with and no disputes have arisen in respect of it.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b w:val="1"/>
          <w:bCs w:val="1"/>
          <w:u w:val="single" w:color="auto"/>
          <w:color w:val="auto"/>
        </w:rPr>
        <w:t>Compliance with International Trade &amp; Anti-Corruption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80" w:firstLine="987"/>
        <w:spacing w:after="0" w:line="266" w:lineRule="auto"/>
        <w:tabs>
          <w:tab w:leader="none" w:pos="135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since January 1, 2016: (i) is or has been a Sanctioned Person, or (ii) is conducting or has conducted business directly or indirectly with any Sanctioned Person.</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has (i) made, offered, promised, paid or received any unlawful bribes, kickbacks or other similar payments to or from any Person, including without limitation, any government official (ii) made or paid any contributions, directly or indirectly, to a domestic or foreign political party or candidate in violation of applicable law or (iii) otherwise engaged in any activity, practice or conduct in violation of any Anti-Corruption Laws, Export Control Laws or Sanctions Laws.</w:t>
      </w:r>
    </w:p>
    <w:p>
      <w:pPr>
        <w:spacing w:after="0" w:line="183"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5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has been the subject or target of any investigation, inquiry or enforcement Proceedings by any Governmental Entity regarding any offence, alleged offence, or potential offence of any Anti-Corruption Laws, Export Control Laws or Sanctions Laws, and no such investigation, inquiry or Proceedings is threatened or pending, and there are no circumstances likely to give rise to any such investigation, inquiry or Proceedings.</w:t>
      </w:r>
    </w:p>
    <w:p>
      <w:pPr>
        <w:spacing w:after="0" w:line="17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the Group Companies for inclusion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 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b w:val="1"/>
          <w:bCs w:val="1"/>
          <w:u w:val="single" w:color="auto"/>
          <w:color w:val="auto"/>
        </w:rPr>
        <w:t>Regulatory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727"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Group Company is conducting, and has conducted, its business in compliance with all applicable Law in each case except as is not and would not reasonably be expected to be, individually or in the aggregate, material to the Group Companies, taken as a whole and (B) each Group Company has in place and operates contractual arrangements with all outsourced providers of services to it in compliance with all applicable Law in each case, in all material respects.</w:t>
      </w:r>
    </w:p>
    <w:p>
      <w:pPr>
        <w:spacing w:after="0" w:line="71" w:lineRule="exact"/>
        <w:rPr>
          <w:rFonts w:ascii="Times New Roman" w:cs="Times New Roman" w:eastAsia="Times New Roman" w:hAnsi="Times New Roman"/>
          <w:sz w:val="18"/>
          <w:szCs w:val="18"/>
          <w:color w:val="auto"/>
        </w:rPr>
      </w:pPr>
    </w:p>
    <w:p>
      <w:pPr>
        <w:ind w:left="560" w:right="380" w:firstLine="948"/>
        <w:spacing w:after="0" w:line="289" w:lineRule="auto"/>
        <w:tabs>
          <w:tab w:leader="none" w:pos="1777" w:val="left"/>
        </w:tabs>
        <w:numPr>
          <w:ilvl w:val="1"/>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Regulated Group Company has complied in all material respects with its financial resources, capital adequacy and professional indemnity insurance obligations and requirements as required by applicable Law and all applicable material indemnity insurance policies are in full force and effect, and there have been no claims made by or in respect of any Group Company under any of them.</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80" w:firstLine="948"/>
        <w:spacing w:after="0" w:line="266" w:lineRule="auto"/>
        <w:tabs>
          <w:tab w:leader="none" w:pos="182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Group Company receives or holds any “client money” (as defined in the FCA Handbook), and (B) no Regulated Group Company has any received written or other notice that any business has been carried on, or is being carried on, in violation of any provisions of the FCA Handbook.</w:t>
      </w:r>
    </w:p>
    <w:p>
      <w:pPr>
        <w:spacing w:after="0" w:line="6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at all times maintained adequate policies, procedures, systems and controls in accordance with</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w:t>
      </w:r>
    </w:p>
    <w:p>
      <w:pPr>
        <w:spacing w:after="0" w:line="98"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76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been a party to or alleged to have been party to any act or deliberate failure to act, which would result in any regulatory sanctions being threatened against or imposed upon that Group Company or the Group Companies.</w:t>
      </w:r>
    </w:p>
    <w:p>
      <w:pPr>
        <w:spacing w:after="0" w:line="162" w:lineRule="exact"/>
        <w:rPr>
          <w:sz w:val="20"/>
          <w:szCs w:val="20"/>
          <w:color w:val="auto"/>
        </w:rPr>
      </w:pPr>
    </w:p>
    <w:p>
      <w:pPr>
        <w:ind w:left="120" w:right="20" w:firstLine="987"/>
        <w:spacing w:after="0" w:line="255" w:lineRule="auto"/>
        <w:tabs>
          <w:tab w:leader="none" w:pos="136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Regulated Activity</w:t>
      </w:r>
      <w:r>
        <w:rPr>
          <w:rFonts w:ascii="Times New Roman" w:cs="Times New Roman" w:eastAsia="Times New Roman" w:hAnsi="Times New Roman"/>
          <w:sz w:val="18"/>
          <w:szCs w:val="18"/>
          <w:color w:val="auto"/>
        </w:rPr>
        <w:t>. No Group Company carries on, or purports to carry on, and has not at any time carried on or purported to carry on, any financial services activities within the scope of any regulatory regime in any jurisdiction, nor has it contravened any Law or regulations relating to the provision of financial services in any such jurisdiction. Except for the Regulated Group Companies, no Group Company carries on, or purports to carry on, and has not at any time carried on or purported to carry on, any activity for which a Permit is required (including, without limitation, a Permit under FSMA or FCA). No Group Company (nor any director, officer, employee, contractor, or agent of the Company or Person discharging a Controlled Function or Specified Function or who is subject to a Regulatory Code of Conduct in respect of any Regulated Group Company (in each case, in their capacity as such)) has contravened, in any material respect, any provision of FSMA, the FCA or of any regulations made thereunder.</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3.24 </w:t>
      </w:r>
      <w:r>
        <w:rPr>
          <w:rFonts w:ascii="Times New Roman" w:cs="Times New Roman" w:eastAsia="Times New Roman" w:hAnsi="Times New Roman"/>
          <w:sz w:val="18"/>
          <w:szCs w:val="18"/>
          <w:b w:val="1"/>
          <w:bCs w:val="1"/>
          <w:u w:val="single" w:color="auto"/>
          <w:color w:val="auto"/>
        </w:rPr>
        <w:t>Investigation; No Other Representations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20" w:firstLine="987"/>
        <w:spacing w:after="0" w:line="258" w:lineRule="auto"/>
        <w:tabs>
          <w:tab w:leader="none" w:pos="135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Armada and (ii) it has been furnished with or given access to such documents and information about Armada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83"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Armada or any other Person, either express or implied, and the Company, on its own behalf and on behalf of its Representatives, acknowledges, represents, warrants and agrees that,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the Ancillary Documents to which it is or will be a party, neither Armada nor any other Person makes or has made any representation or warranty, either express or implied, in connection with or related to this Agreement, the Ancillary Documents or the transactions contemplated hereby or thereby.</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3.25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TO THE COMPANY OR ANY OF ITS REPRESENTATIVES OF ANY DOCUMENTATION OR OTHER INFORMATION (INCLUDING ANY FINANCIAL PROJECTIONS OR OTHER SUPPLEMENTAL DATA), THE COMPANY ACKNOWLEDGES AND AGREES THAT, EXCEPT AS OTHERWISE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ANCILLARY DOCUMENTS, NEITHER ARMADA NOR ANY OTHER PERSON MAKES, AND ARMADA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ARMADA THAT HAVE BEEN MADE AVAILABLE TO THE COMPANY OR ANY OF ITS REPRESENTATIVES OR IN</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ANY PRESENTATION OF THE BUSINESS AND AFFAIRS OF ARMADA BY OR ON BEHALF OF THE MANAGEMENT OF ARMADA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OTHER PERSON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ANCILLARY DOCUMENTS, THE COMPANY ACKNOWLEDGES AND AGREES THAT ANY COST ESTIMATES, PROJECTIONS OR OTHER PREDICTIONS, ANY DATA, ANY FINANCIAL INFORMATION OR ANY MEMORANDA OR OFFERING MATERIALS OR PRESENTATIONS, INCLUDING ANY OFFERING MEMORANDUM OR SIMILAR MATERIALS MADE AVAILABLE BY OR ON BEHALF OF ARMADA ARE NOT AND SHALL NOT BE DEEMED TO BE OR TO INCLUDE REPRESENTATIONS OR WARRANTIES OF ARMADA, AND ARE NOT AND SHALL NOT BE DEEMED TO BE RELIED UPON BY THE COMPANY OR ANY OTHER PERSON IN EXECUTING, DELIVERING OR PERFORMING THIS AGREEMENT, THE ANCILLARY DOCUMENTS OR THE TRANSACTIONS CONTEMPLATED HEREBY OR THEREBY.</w:t>
      </w:r>
    </w:p>
    <w:p>
      <w:pPr>
        <w:spacing w:after="0" w:line="3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ARMADA</w:t>
      </w:r>
    </w:p>
    <w:p>
      <w:pPr>
        <w:spacing w:after="0" w:line="20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 as set forth on the Armada Disclosure Schedules, or (b) except as set forth in any Armada SEC Reports filed prior to the Original Date (excluding any disclosures in any “risk factors” section that do not constitute statements of fact, disclosures in any forward-looking statements, disclaimers and other disclosures that are generally cautionary, predictive or forward-looking in nature, whether or not appearing in such section), Armada, hereby represents and warrants to the Company, as of the Original Date, as follows: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6" w:lineRule="auto"/>
        <w:tabs>
          <w:tab w:leader="none" w:pos="135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is an exempted company,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Armada has the requisite corporate, limited liability company or other applicable business entity power and authority to own, lease and operate its properties and to carry on its business as presently conducted, except where the failure to have such power or authority would not have an Armada Material Adverse Effect.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Armada has the requisite exempted company, corporate, limited liability company or other similar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this Agreement and each Ancillary Document to which it is or will be a party, to perform its obligations hereunder and thereunder, and to consummate the transactions contemplated hereby and thereby. Subject to the receipt of the Armada Shareholder Approval, the execution and delivery of this Agreement, the Ancillary Documents to which Armada is or will be a party and the consummation of the transactions contemplated hereby and thereby have been (or, in the case of any Ancillary Document entered into after the Original Date, will be upon execution thereof) duly authorized by all necessary exempted company, corporate, limited liability company or other similar action on the part of Armada. This Agreement has been and each Ancillary Document to which Armada is or will be a party will be, upon execution thereof, duly and validly executed and delivered by Armada and constitutes or will constitute, upon execution thereof, as applicable, a valid, legal and binding agreement of Armada (assuming this Agreement has been and the Ancillary Documents to which Armada is or will be a party are or will be, upon execution thereof, as applicable, duly authorized, executed and delivered by the other Persons party hereto or thereto), enforceable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060"/>
          </w:cols>
          <w:pgMar w:left="320" w:top="455" w:right="51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against Armada in accordance with their terms (subject to applicable bankruptcy, insolvency, reorganization, moratorium or other Laws affecting generally the enforcement of creditors’ rights and subject to general principles of equity).</w:t>
      </w:r>
    </w:p>
    <w:p>
      <w:pPr>
        <w:spacing w:after="0" w:line="15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Board Approval</w:t>
      </w:r>
      <w:r>
        <w:rPr>
          <w:rFonts w:ascii="Times New Roman" w:cs="Times New Roman" w:eastAsia="Times New Roman" w:hAnsi="Times New Roman"/>
          <w:sz w:val="18"/>
          <w:szCs w:val="18"/>
          <w:color w:val="auto"/>
        </w:rPr>
        <w:t>. The Armada Board approval (including any required committee or subgroup of such board), by unanimous vote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voting at a meeting duly called and held and not subsequently rescinded or modified in any way has (a) determined that the Transaction Proposals are in the best interest of Armada and its shareholders and declared it advisable, to enter into this Agreement and the Ancillary Documents and to consummate the transaction contemplated hereby and thereby, (b) approved the execution, delivery and performance by Armada of this Agreement, the Ancillary Documents to which Armada is or will be a party and the transactions contemplated hereby and thereby and (c) resolved to recommend, among other things, that the holders of Armada Shares vote in favor of the approval of this Agreement and the transactions contemplated by this Agreement, and directed that this Agreement and the transactions contemplated hereby, be submitted for consideration by the shareholders of Armada at the Armada Shareholders Meeting.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987"/>
        <w:spacing w:after="0" w:line="269" w:lineRule="auto"/>
        <w:tabs>
          <w:tab w:leader="none" w:pos="1356" w:val="left"/>
        </w:tabs>
        <w:numPr>
          <w:ilvl w:val="1"/>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or authorization of, or designation, declaration or filing with, any Governmental Entity is required on the part of Armada with respect to Armada’s execution, delivery or performance of its obligations under this Agreement or the Ancillary Documents to which it is or will be party or the consummation of the transactions contemplated hereby or thereby, except for (i)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w:t>
      </w:r>
    </w:p>
    <w:p>
      <w:pPr>
        <w:spacing w:after="0" w:line="2" w:lineRule="exact"/>
        <w:rPr>
          <w:rFonts w:ascii="Times New Roman" w:cs="Times New Roman" w:eastAsia="Times New Roman" w:hAnsi="Times New Roman"/>
          <w:sz w:val="17"/>
          <w:szCs w:val="17"/>
          <w:color w:val="auto"/>
        </w:rPr>
      </w:pPr>
    </w:p>
    <w:p>
      <w:pPr>
        <w:ind w:left="120" w:hanging="4"/>
        <w:spacing w:after="0" w:line="253" w:lineRule="auto"/>
        <w:tabs>
          <w:tab w:leader="none" w:pos="38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filings with and approvals of NASDAQ to permit the Company Shares to be issued in connection with the transactions contemplated by this Agreement and the other Ancillary Documents to be listed on NASDAQ, (iii) such filings and approvals required in connection with the Pre-Closing Reorganization, (iv) the Armada Shareholder Approval, (v) the Consents set forth on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Armada Disclosure Schedules, and (vi) any other consents, approvals, authorizations, designations, declarations, waivers or filings, the absence of which would not have an Armada Material Adverse Effect.</w:t>
      </w:r>
    </w:p>
    <w:p>
      <w:pPr>
        <w:spacing w:after="0" w:line="186"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by Armada of this Agreement or any Ancillary Document to which it is or will be a party, the performance by Armada of its obligations hereunder or thereunder or the consummation by Armada of the transactions contemplated hereby or thereby will, directly or indirectly (with or without due notice or lapse of time or both) (i) result in a violation or breach of any provision of the Governing Documents of Armada, (ii) result in a violation or breach of, or constitute a default or give rise to any right of termination, Consent, cancellation, amendment, modification, suspension, revocation or acceleration under, any of the terms, conditions or provisions of any Armada Material Contract to which Armada is a party, (iii) violate, or constitute a breach under, any Order or applicable Law to which Armada or any of its properties or assets are subject or bound or (iv) result in the creation of any Lien (other than Permitted Liens) upon any of the assets or properties of Armada,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an Armada Material Adverse Effect.</w:t>
      </w:r>
    </w:p>
    <w:p>
      <w:pPr>
        <w:spacing w:after="0" w:line="18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for fees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Armada Disclosure Schedules, no broker, finder, investment banker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is entitled to any brokerage fee, finders’ fee or other commission in connection with the transactions contemplated by this Agreement based upon arrangements made by or on behalf of Armada for which Armada has any obligation.</w:t>
      </w:r>
    </w:p>
    <w:p>
      <w:pPr>
        <w:spacing w:after="0" w:line="171"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Armada in writing expressly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inclusion or 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20"/>
          </w:cols>
          <w:pgMar w:left="320" w:top="455"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Armada makes no representation with respect to any “risk factors” that do not constitute statements of fact, disclosures in any forward-looking statements, disclaimers and other disclosures that are generally cautionary, predictive or forward-looking in nature, in each case, supplied by or on behalf of Armada for inclusion in, or relating to information to be included in, the Registration Statement / Proxy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Capitalization of Armada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of the Armada Disclosure Schedules sets forth a true and complete statement of the number and class or series (as applicable) of the issued and outstanding Armada Shares and Public Warrants as of the Original Date. All outstanding Equity Securities of Armada (except to the extent such concepts are not applicable under the applicable Law of Armada’s jurisdiction of organization, incorporation or formation, as applicable, or other applicable Law) immediately prior to the consummation of the Pre-Closing Reorganization have been duly authorized and validly issued and are fully paid and non-assessable. Such Equity Securities (i) were not issued in violation of the Governing Documents of Armada and (ii) are not subject to any preemptive rights, call option, right of first refusal, subscription rights, transfer restrictions or similar rights of any Person (other than transfer restrictions under applicable Securities Laws or under the Governing Documents of Armada) and were not issued in violation of any preemptive rights, call option, right of first refusal, subscription rights, transfer restrictions or similar rights of any Person.</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by this Agreement, the Ancillary Documents, the Armada SEC Reports or the transactions contemplated hereby or thereby or as otherwise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issued, granted or entered into, as applicable,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there are no outstanding (A) equity appreciation, phantom equity or profit participation rights or (B) options, restricted stock, phantom stock, warrants, purchase rights, subscription rights, conversion rights, exchange rights, calls, puts, rights of first refusal or first offer or other Contracts that could require Armada, and except as expressly contemplated by this Agreement, the Ancillary Documents or the transactions contemplated hereby or thereby or as otherwise mutually agreed in writing by the Company and Armada, as applicable, there is no obligation of Armada, to issue, sell or otherwise cause to become outstanding or to acquire, repurchase or redeem any Equity Securities or securities convertible into or exchangeable for Equity Securities of Armada.</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SEC Filings</w:t>
      </w:r>
      <w:r>
        <w:rPr>
          <w:rFonts w:ascii="Times New Roman" w:cs="Times New Roman" w:eastAsia="Times New Roman" w:hAnsi="Times New Roman"/>
          <w:sz w:val="18"/>
          <w:szCs w:val="18"/>
          <w:color w:val="auto"/>
        </w:rPr>
        <w:t>. Armada has timely filed or furnished all statements, forms, reports and documents required to be filed or furnished by it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Original Date with the SEC pursuant to U.S. Federal Securities Laws since its initial public offering (collectively, including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forms, reports and documents filed or furnished by it in connection with and subsequent to its IPO, and together with any exhibits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schedules thereto and other information incorporated therein, and as they have been supplemented, modified or amended since the time of filing,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Armada SEC Reports</w:t>
      </w:r>
      <w:r>
        <w:rPr>
          <w:rFonts w:ascii="Times New Roman" w:cs="Times New Roman" w:eastAsia="Times New Roman" w:hAnsi="Times New Roman"/>
          <w:sz w:val="17"/>
          <w:szCs w:val="17"/>
          <w:color w:val="auto"/>
        </w:rPr>
        <w:t>”), and, as of the Closing, will have filed or furnished all other statements, forms, reports and other documents required to be filed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furnished by it subsequent to the Original Date with the SEC pursuant to Federal Securities Laws through the Closing (collectively, and together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exhibits and schedules thereto and other information incorporated therein, and as they have been supplemented, modified or amended since the time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filing, but excluding the Registration Statement / Proxy Statement, the “</w:t>
      </w:r>
      <w:r>
        <w:rPr>
          <w:rFonts w:ascii="Times New Roman" w:cs="Times New Roman" w:eastAsia="Times New Roman" w:hAnsi="Times New Roman"/>
          <w:sz w:val="18"/>
          <w:szCs w:val="18"/>
          <w:u w:val="single" w:color="auto"/>
          <w:color w:val="auto"/>
        </w:rPr>
        <w:t>Additional Armada SEC Reports</w:t>
      </w:r>
      <w:r>
        <w:rPr>
          <w:rFonts w:ascii="Times New Roman" w:cs="Times New Roman" w:eastAsia="Times New Roman" w:hAnsi="Times New Roman"/>
          <w:sz w:val="18"/>
          <w:szCs w:val="18"/>
          <w:color w:val="auto"/>
        </w:rPr>
        <w:t>”). Each of the Armada SEC Reports,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respective dates of filing, and as of the date of any amendment or filing that superseded the initial filing, complied and each of the Additional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SEC Reports, as of their respective dates of filing, and as of the date of any amendment or filing that superseded the initial filing, will comply,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all material respects with the applicable requirements of the Federal Securities Laws (including, as applicable, the Sarbanes-Oxley Act and any rules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regulations promulgated thereunder) applicable to the Armada SEC Reports or the Additional Armada SEC Reports. As of their respective dates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filing, the Armada SEC Reports did not contain any untrue statement of a material fact or omit to state a material fact required to be stated therein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necessary to make the statements therein, in light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00"/>
          </w:cols>
          <w:pgMar w:left="320" w:top="455" w:right="47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of the circumstances under which they were made or will be made, as applicable, not misleading (for purposes of the Additional Armada SEC Reports, assuming that the representation and warranty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is true and correct in all respects with respect to all information supplied by or on behalf of Group Companies expressly for inclusion or incorporation by reference therein). As of the Original Date, there are no outstanding or unresolved comments in comment letters received from the SEC with respect to the Armada SEC Reports. To the knowledge of Armada, none of the Armada SEC Reports or the Additional Armada SEC Reports is subject to ongoing SEC review or investigation.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Since the IPO and ending on the Original Date, no Armada Material Adverse Effect has occurred.</w:t>
      </w:r>
    </w:p>
    <w:p>
      <w:pPr>
        <w:spacing w:after="0" w:line="225"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As of the Original Date, Armada has an amount in cash in the Trust Account equal to at least $150,000,000.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and in accordance with, that certain Investment Management Trust Agreement, dated August 12, 2021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between Armada and Continental Stock Transfer &amp; Trust Company,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 Trust Agreement has not been amended or modified and is valid in full force and effect and is enforceable in accordance with its terms, except as limited by applicable bankruptcy, insolvency, reorganization, moratorium and other Laws of general application affecting enforcement of creditors’ rights generally, by general equitable principles. There are no separate agreements, side letters or other agreements or understandings (whether written or unwritten, express or implied) that would cause the description of the Trust Agreement in the Armada SEC Reports or the Additional Armada SEC Reports to be inaccurate in any material respect or, to Armada’s knowledge, that would entitle any Person to any portion of the funds in the Trust t Account (other than (i) in respect of deferred underwriting commissions or Taxes, (ii) the Pre-Closing Armada Shareholders who shall have elected to redeem their Armada Shares pursuant to the Governing Documents of Armada or (iii) if Armada fails to complete a business combination within the allotted time period set forth in the Governing Documents of Armada and liquidates the Trust Account, subject to the terms of the Trust Agreement, Armada (in limited amounts to permit Armada to pay the expenses of the Trust Account’s liquidation, dissolution and winding up of Armada) and then the Pre-Closing Armada Shareholders). Prior to the Closing, none of the funds held in the Trust Account are permitted to be released, except in the circumstances described in the Governing Documents of Armada and the Trust Agreement. As of the Original Date, Armada has performed all material obligations required to be performed by it to date, and is not in material default, under the Trust Agreement, and, to Armada’s knowledge, no event has occurred which (with due notice or lapse of time or both) would constitute a material default under the Trust Agreement. As of the Original Date, there are no Proceedings pending with respect to the Trust Account. Since December 1, 2021, Armada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w:t>
      </w:r>
    </w:p>
    <w:p>
      <w:pPr>
        <w:spacing w:after="0" w:line="12" w:lineRule="exact"/>
        <w:rPr>
          <w:sz w:val="20"/>
          <w:szCs w:val="20"/>
          <w:color w:val="auto"/>
        </w:rPr>
      </w:pPr>
    </w:p>
    <w:p>
      <w:pPr>
        <w:ind w:left="120" w:hanging="4"/>
        <w:spacing w:after="0" w:line="251" w:lineRule="auto"/>
        <w:tabs>
          <w:tab w:leader="none" w:pos="41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deferred underwriting commissions or Taxes or (B) to the Pre-Closing Armada Shareholders who have elected to redeem their Armada Shares pursuant to the Governing Documents of Armada, each in accordance with the terms of and as set forth in the Trust Agreement), Armada shall have no further obligation under either the Trust Agreement or the Governing Documents of Armada to liquidate or distribute any assets held in the Trust Account, and the Trust Agreement shall terminate in accordance with its terms. As of the Original Date, assuming the accuracy of the representations and warranties of the Company contained herein and compliance by the Company with its obligations hereunder, other than in respect of Armada Shareholder Redemptions, Armada has no reason to believe that any of the conditions to the use of funds in the Trust Account will not be satisfied or funds available in the Trust Account will not be available to the Company on the Closing Date, assuming the Promissory Note is validly issued as contemplated herein.</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00"/>
          </w:cols>
          <w:pgMar w:left="320" w:top="455" w:right="47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Listing</w:t>
      </w:r>
      <w:r>
        <w:rPr>
          <w:rFonts w:ascii="Times New Roman" w:cs="Times New Roman" w:eastAsia="Times New Roman" w:hAnsi="Times New Roman"/>
          <w:sz w:val="18"/>
          <w:szCs w:val="18"/>
          <w:color w:val="auto"/>
        </w:rPr>
        <w:t>. The issued and outstanding Armada Units are registered pursuant to Section 12(b) of the Exchange Act and are listed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on the NASDAQ under the symbol “AACIU”. The issued and outstanding Armada Shares are registered pursuant to Section 12(b) of the Exchange Act and are listed for trading on the NASDAQ under the symbol “AACI.” The issued and outstanding Public Warrants are registered pursuant to Section 12(b) of the Exchange Act and are listed for trading on the NASDAQ under the symbol “AACIW.” There is no Proceeding pending or, to the knowledge of Armada, threatened in writing against Armada by the NASDAQ or the SEC with respect to any intention by such entity to deregister the Armada Units, the Armada Shares or the Public Warrants or terminate the listing of Armada on the NASDAQ. None of Armada or any of its Affiliates has taken any action in an attempt to terminate the registration of the Armada Units, the Armada Shares or the Public Warrants under the Exchange Act. Armada is not in violation of any of the rules and regulations or applicable continuing listing requirements of the NASDAQ.</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Armada 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80" w:firstLine="987"/>
        <w:spacing w:after="0" w:line="282" w:lineRule="auto"/>
        <w:tabs>
          <w:tab w:leader="none" w:pos="135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Armada SEC Reports include true and complete copies of each “material contract” (as such term is defined in Regulation S-K of the SEC) to which Armada is party (the “</w:t>
      </w:r>
      <w:r>
        <w:rPr>
          <w:rFonts w:ascii="Times New Roman" w:cs="Times New Roman" w:eastAsia="Times New Roman" w:hAnsi="Times New Roman"/>
          <w:sz w:val="18"/>
          <w:szCs w:val="18"/>
          <w:u w:val="single" w:color="auto"/>
          <w:color w:val="auto"/>
        </w:rPr>
        <w:t>Armada Material Contracts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Material Contract is in full force and effect and, to the knowledge of Armada, is valid and binding upon and enforceable against each of the parties thereto (subject to applicable bankruptcy, insolvency, reorganization, moratorium or other Laws affecting generally the enforcement of creditors’ rights and subject to general principles of equity).</w:t>
      </w:r>
    </w:p>
    <w:p>
      <w:pPr>
        <w:spacing w:after="0" w:line="1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Armada Disclosure Schedules sets forth all Contracts between (a) Armada,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 hand, and (b) any officer, director, employee, partner, member, manager, direct or indirect equityholder or Affiliate of Armada or the Sponsor, on the other hand (each Person identified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Armada Related Party</w:t>
      </w:r>
      <w:r>
        <w:rPr>
          <w:rFonts w:ascii="Times New Roman" w:cs="Times New Roman" w:eastAsia="Times New Roman" w:hAnsi="Times New Roman"/>
          <w:sz w:val="18"/>
          <w:szCs w:val="18"/>
          <w:color w:val="auto"/>
        </w:rPr>
        <w:t xml:space="preserve">”), other than (i) Contracts with respect to an Armada Related Party’s employment with, or the provision of services to, Armada entered into in the ordinary course of business (including benefit plans, indemnification arrangements and other ordinary course compensation) (ii) Contracts with respect to a Pre-Closing Armada Shareholder’s or a holder of Public Warrants’ status as a holder of Armada Shares or Public Warrants, as applicable, and (iii) Contracts entered into after the Original Date that are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No Armada Related Party (A) owns any interest in any material asset or property used in the business of Armada, (B) possesses, directly or indirectly, any material financial interest in, or is a director or executive officer of, any Person which is a material client, supplier, vendor, partner, customer, lessor or other material business relation of Armada or (C) owes any material amount to, or is owed any material amount by, Armada (other than accrued compensation, employee benefits, employee or director expense reimbursement, in each case, in the ordinary course of business or pursuant to a transaction entered into after the Original Date that is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Armada Related Party Transactions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As of the Original Date, there is (and since its organization, incorporation or formation, as applicable, there has been)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pending or, to Armada’s knowledge, threatened against or involving Armada that, if adversely decided or resolved, would be material to Armada, taken as a whole. As of the Original Date, neither Armada nor any of its properties or assets is subject to any material Order. As of the Original Date, there are no material Proceedings by Armada pending against any other Person.</w:t>
      </w:r>
    </w:p>
    <w:p>
      <w:pPr>
        <w:spacing w:after="0" w:line="176"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Armada (a) conducts (and since its organization, incorporation or formation, as applicable,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its business in accordance with all Laws and Orders applicable to Armada and is not in violation of any such Law or Order, including any Law or Order related to COVID-19 and (b) has not received any written communications or any other communications from a</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Governmental Entity that alleges that Armada is not in compliance with any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is not and would not reasonably be expected to be, individually or in the aggregate, material to Armada, taken as a whole.</w:t>
      </w:r>
    </w:p>
    <w:p>
      <w:pPr>
        <w:spacing w:after="0" w:line="15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Business Activities</w:t>
      </w:r>
      <w:r>
        <w:rPr>
          <w:rFonts w:ascii="Times New Roman" w:cs="Times New Roman" w:eastAsia="Times New Roman" w:hAnsi="Times New Roman"/>
          <w:sz w:val="18"/>
          <w:szCs w:val="18"/>
          <w:color w:val="auto"/>
        </w:rPr>
        <w:t>. Since its incorporation, Armada has not conducted any business activities other than the activities (a)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or related to its incorporation or continuing corporate (or similar) existence, (b) directed toward the accomplishment of a business combination, including those incident or related to or incurred in connection with the negotiation, preparation or execution of this Agreement or any Ancillary Documents, the performance of its covenants or agreements in this Agreement or any Ancillary Document or the consummation of the transactions contemplated hereby or thereby or (c) those that are administrative, ministerial or otherwise immaterial in nature. Except as set forth in Armada’s Governing Documents, there is no Contract binding upon Armada or to which Armada is a party which has or would reasonably be expected to have the effect of prohibiting or materially impairing any business practice of Armada, any acquisition of property by Armada or the conduct of business by Armada (including, in each case, following the Closing).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4.17 </w:t>
      </w:r>
      <w:r>
        <w:rPr>
          <w:rFonts w:ascii="Times New Roman" w:cs="Times New Roman" w:eastAsia="Times New Roman" w:hAnsi="Times New Roman"/>
          <w:sz w:val="18"/>
          <w:szCs w:val="18"/>
          <w:b w:val="1"/>
          <w:bCs w:val="1"/>
          <w:u w:val="single" w:color="auto"/>
          <w:color w:val="auto"/>
        </w:rPr>
        <w:t>Internal Controls; Listing;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not taken any action prohibited by Section 402 of the Sarbanes-Oxley Act.</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initial public offering, Armada has complied in all material respects with all applicable listing and corporate governance rules and regulations of NASDAQ. The classes of securities representing issued and outstanding Armada Shares are registered pursuant to Section 12(b) of the Exchange Act and are listed for trading on NASDAQ. As of the Original Date, there is no material Proceeding pending or, to Armada’s knowledge, threatened against Armada by NASDAQ or the SEC with respect to any intention by such entity to deregister Armada Shares or prohibit or terminate the listing of Armada Shares on NASDAQ. Armada has not taken any action that is designed to terminate the registration of Armada Shares under the Exchange Act.</w:t>
      </w:r>
    </w:p>
    <w:p>
      <w:pPr>
        <w:spacing w:after="0" w:line="187" w:lineRule="exact"/>
        <w:rPr>
          <w:rFonts w:ascii="Times New Roman" w:cs="Times New Roman" w:eastAsia="Times New Roman" w:hAnsi="Times New Roman"/>
          <w:sz w:val="18"/>
          <w:szCs w:val="18"/>
          <w:color w:val="auto"/>
        </w:rPr>
      </w:pPr>
    </w:p>
    <w:p>
      <w:pPr>
        <w:ind w:left="120" w:right="200" w:firstLine="987"/>
        <w:spacing w:after="0" w:line="271" w:lineRule="auto"/>
        <w:tabs>
          <w:tab w:leader="none" w:pos="1356"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Armada SEC Reports contain true and complete copies of the applicable Armada Financial Statements. The Armada Financial Statements (i) fairly present in all material respects the financial position of Armada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Armada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73" w:lineRule="exact"/>
        <w:rPr>
          <w:rFonts w:ascii="Times New Roman" w:cs="Times New Roman" w:eastAsia="Times New Roman" w:hAnsi="Times New Roman"/>
          <w:sz w:val="17"/>
          <w:szCs w:val="17"/>
          <w:color w:val="auto"/>
        </w:rPr>
      </w:pPr>
    </w:p>
    <w:p>
      <w:pPr>
        <w:ind w:left="120" w:right="60" w:firstLine="987"/>
        <w:spacing w:after="0" w:line="258" w:lineRule="auto"/>
        <w:tabs>
          <w:tab w:leader="none" w:pos="136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Armada’s assets. Armada maintains and, for all periods covered by the Armada Financial Statements, has maintained books and records of Armada in the ordinary course of business that are accurate and complete and reflect the revenues, expenses, assets and liabilities of Armada in all material respects.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4.18 </w:t>
      </w:r>
      <w:r>
        <w:rPr>
          <w:rFonts w:ascii="Times New Roman" w:cs="Times New Roman" w:eastAsia="Times New Roman" w:hAnsi="Times New Roman"/>
          <w:sz w:val="18"/>
          <w:szCs w:val="18"/>
          <w:b w:val="1"/>
          <w:bCs w:val="1"/>
          <w:u w:val="single" w:color="auto"/>
          <w:color w:val="auto"/>
        </w:rPr>
        <w:t>No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720" w:firstLine="987"/>
        <w:spacing w:after="0" w:line="282" w:lineRule="auto"/>
        <w:tabs>
          <w:tab w:leader="none" w:pos="135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Liabilities (a)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of the Armada Disclosure Schedules, (b) incurred in connection with the negotiation, preparation or execution of this Agreement or any Ancillary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40"/>
          </w:cols>
          <w:pgMar w:left="320" w:top="455" w:right="43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Document, the performance of its covenants or agreements in this Agreement or any Ancillary Document or the consummation of the transactions contemplated hereby or thereby (including, for the avoidance of doubt, the Armada Expenses and any Liabilities arising out of, or related to, any Proceeding related to this Agreement, the Ancillary Documents or the transactions contemplated hereby or thereby, including any shareholder demand or other shareholder Proceedings (including derivative claims) arising out of, or related to, any of the foregoing), (c) set forth or disclosed in the Armada Financial Statements, (d) that have arisen since the date of the most recent balance sheet included in the Armada SEC Reports in the ordinary course of business, (e) that are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incurred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or (f) that are not, and would not reasonably be expected to be, individually or in the aggregate, material to Armada, taken as a whole, Armada does not have any Liabilities.</w:t>
      </w:r>
    </w:p>
    <w:p>
      <w:pPr>
        <w:spacing w:after="0" w:line="189" w:lineRule="exact"/>
        <w:rPr>
          <w:sz w:val="20"/>
          <w:szCs w:val="20"/>
          <w:color w:val="auto"/>
        </w:rPr>
      </w:pPr>
    </w:p>
    <w:p>
      <w:pPr>
        <w:jc w:val="both"/>
        <w:ind w:left="120" w:right="120" w:firstLine="987"/>
        <w:spacing w:after="0" w:line="266" w:lineRule="auto"/>
        <w:tabs>
          <w:tab w:leader="none" w:pos="136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Closing, Armada will have repaid and/or settled and/or discharged all outstanding Liabilities that it owes to any Person (including, without limitation, the liabilities set out or disclosed in the Armada Disclosure Schedules and Armada Financial Statements and any liabilities in respect of tax whether or not actually due for payment).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4.19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jc w:val="both"/>
        <w:ind w:left="120" w:right="460" w:firstLine="987"/>
        <w:spacing w:after="0" w:line="266" w:lineRule="auto"/>
        <w:tabs>
          <w:tab w:leader="none" w:pos="135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prepared and timely filed all material Tax Returns required to have been filed by it, all such Tax Returns are true and complete in all material respects and prepared in compliance in all material respects with all applicable Laws and Orders, and Armada has paid all material Taxes required to have been paid by it regardless of whether shown on a Tax Return.</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is not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61" w:lineRule="exact"/>
        <w:rPr>
          <w:rFonts w:ascii="Times New Roman" w:cs="Times New Roman" w:eastAsia="Times New Roman" w:hAnsi="Times New Roman"/>
          <w:sz w:val="18"/>
          <w:szCs w:val="18"/>
          <w:color w:val="auto"/>
        </w:rPr>
      </w:pPr>
    </w:p>
    <w:p>
      <w:pPr>
        <w:ind w:left="120" w:right="460" w:firstLine="987"/>
        <w:spacing w:after="0" w:line="266" w:lineRule="auto"/>
        <w:tabs>
          <w:tab w:leader="none" w:pos="136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Original Date, other than as set forth in or provided by this Agreement or any Ancillary Document, so far as Armada is aware, there are no facts, circumstances or plans that, either alone or in combination, would reasonably be expected to prevent the transactions contemplated by this Agreement from qualifying for the Intended Tax Treatment.</w:t>
      </w:r>
    </w:p>
    <w:p>
      <w:pPr>
        <w:spacing w:after="0" w:line="17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4.20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Except as otherwise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modified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Armada Disclosure Schedule), Armada hereby expressly disclaims and negates, any other express or implied representation or warranty whatsoever (whether at Law or in equity) with respect to Armada, its respective affiliates, and any matter relating to any of them, including their affairs, the condition, value or quality of the assets, liabilities, financial condition or results of operations, or with respect to the accuracy or completeness of any other information made available to the Company, its affiliates or any of their respective Representatives by, or on behalf of, Armada, and any such representations or warranties are expressly disclaimed. Without limiting the generality of the foregoing, except as expressly set forth in this Agreement, neither Armada nor any other person on behalf of Armada has made or makes, any representation or warranty, whether express or implied, with respect to any projections, forecasts, estimates or budgets made available to the Company, its affiliates or any of their respective Representatives of future revenues, future results of operations (or any component thereof), future cash flows or future financial condition (or any component thereof) of Armada (including the reasonableness of the assumptions underlying any of the foregoing), whether or not included in any management presentation or in any other information made available to the Company, its affiliates or any of their respective Representatives or any other person, and that any such representations or warranties are expressly disclaimed.</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00"/>
          </w:cols>
          <w:pgMar w:left="320" w:top="455" w:right="47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4.21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TO ARMADA OR ANY OF ITS REPRESENTATIVES OF ANY DOCUMENTATION OR OTHER INFORMATION (INCLUDING ANY FINANCIAL PROJECTIONS OR OTHER SUPPLEMENTAL DATA), ARMADA ACKNOWLEDGES AND AGREES THAT, EXCEPT AS OTHERWISE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ANCILLARY DOCUMENTS, THE COMPANY DOES NOT MAKE,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OF EACH GROUP COMPANY THAT HAVE BEEN MADE AVAILABLE TO ARMADA OR ANY OF ITS REPRESENTATIVES OR IN ANY PRESENTATION OF THE BUSINESS AND AFFAIRS OF THE COMPANY BY OR ON BEHALF OF THE MANAGEMENT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ARMADA OR ANY OTHER PERSON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ANCILLARY DOCUMENTS, ARMADA ACKNOWLEDGES AND AGREES THAT ANY COST ESTIMATES, PROJECTIONS OR OTHER PREDICTIONS, ANY DATA, ANY FINANCIAL INFORMATION OR ANY MEMORANDA OR OFFERING MATERIALS OR PRESENTATIONS, INCLUDING ANY OFFERING MEMORANDUM OR SIMILAR MATERIALS MADE AVAILABLE BY OR ON BEHALF OF THE COMPANY ARE NOT AND SHALL NOT BE DEEMED TO BE OR TO INCLUDE REPRESENTATIONS OR WARRANTIES OF THE COMPANY OR ANY OTHER GROUP COMPANY, AND ARE NOT AND SHALL NOT BE DEEMED TO BE RELIED UPON BY ARMADA OR ANY OTHER PERSON IN EXECUTING, DELIVERING OR PERFORMING THIS AGREEMENT, THE ANCILLARY DOCUMENTS OR THE TRANSACTIONS CONTEMPLATED HEREBY OR THEREBY.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Conduct of Business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Original Date until the earlier of the Closing or the termination of this Agreement in accordance with its terms, the Original Company shall up to and including the date of completion of the Pre-Closing Demerger (and the New Company shall in respect of the period after completion of the Pre-Closing Demerger), and the Original Company shall cause its Subsidiaries up to and including the date of completion of the Pre-Closing Demerger (and the New Company shall cause its Subsidiaries in respect of the period after completion of the Pre-Closing Demerger) to, except as expressly contemplated by this Agreement or any Ancillary Document, as required by applicable Law, as set forth on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Company Disclosure Schedules, or as consented to in writing by Armada (such consent not to be unreasonably withheld, conditioned or delayed), (i) operate the business of the Group Companies in the ordinary course in all material respects (including continuing to make capital expenditures in the ordinary course of business and in accordance with the capital expenditure and cash budget delivered to Armada prior to the Original Date), (ii) use commercially reasonable efforts to maintain and preserve intact the business organization, assets, properties and material business relations of the Group Companies, taken as a whole, (iii) use commercially reasonable efforts to keep available the services of the current officers, key employees and consultants of the Company, and (iv) conduct the business of the Group Companies in compliance with applicable Law in all material respects and to notify Armada immediately (upon becoming aware of the same) in the event that any of the representations or warranty contained herein ceases to be true and complete in all material respects.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00"/>
          </w:cols>
          <w:pgMar w:left="320" w:top="455" w:right="47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6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from and after the Original Date until the earlier of the Closing or the termination of this Agreement in accordance with its terms, the Original Company shall and shall cause its Subsidiaries up to the Demerger Completion (and the New Company shall cause its Subsidiaries in respect of the period after the Demerger Completion) to, except as expressly contemplated by this Agreement or any Ancillary Document, as required by applicable Law or any Governmental Entity, as set forth 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Schedules or as consented to in writing by Armada (it being agreed that any request for such consent shall not be unreasonably withheld, conditioned or delayed), not do any of the following:</w:t>
      </w:r>
    </w:p>
    <w:p>
      <w:pPr>
        <w:spacing w:after="0" w:line="79"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2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 or otherwise pay any fees, commissions, expenses or other amounts to the Company Shareholders or any of their Affiliates (other than compensation paid in the ordinary course of business and otherwise in accordance with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right="240" w:firstLine="948"/>
        <w:spacing w:after="0" w:line="266" w:lineRule="auto"/>
        <w:tabs>
          <w:tab w:leader="none" w:pos="177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67" w:lineRule="exact"/>
        <w:rPr>
          <w:rFonts w:ascii="Times New Roman" w:cs="Times New Roman" w:eastAsia="Times New Roman" w:hAnsi="Times New Roman"/>
          <w:sz w:val="18"/>
          <w:szCs w:val="18"/>
          <w:color w:val="auto"/>
        </w:rPr>
      </w:pPr>
    </w:p>
    <w:p>
      <w:pPr>
        <w:ind w:left="560" w:right="420" w:firstLine="948"/>
        <w:spacing w:after="0" w:line="282" w:lineRule="auto"/>
        <w:tabs>
          <w:tab w:leader="none" w:pos="182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supplements, restatements or modifications to any Group Company’s Governing Documents or the Company Shareholder Agreement;</w:t>
      </w:r>
    </w:p>
    <w:p>
      <w:pPr>
        <w:spacing w:after="0" w:line="53" w:lineRule="exact"/>
        <w:rPr>
          <w:rFonts w:ascii="Times New Roman" w:cs="Times New Roman" w:eastAsia="Times New Roman" w:hAnsi="Times New Roman"/>
          <w:sz w:val="18"/>
          <w:szCs w:val="18"/>
          <w:color w:val="auto"/>
        </w:rPr>
      </w:pPr>
    </w:p>
    <w:p>
      <w:pPr>
        <w:jc w:val="both"/>
        <w:ind w:left="560" w:firstLine="948"/>
        <w:spacing w:after="0" w:line="266" w:lineRule="auto"/>
        <w:tabs>
          <w:tab w:leader="none" w:pos="181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assign, abandon, lease, license or otherwise dispose of any material assets or properties, other than inventory or obsolete equipment in the ordinary course of business, or (B) except in the ordinary course of business, create, subject or incur any Lien on or in respect of any material assets or properties (other than any Permitted Liens);</w:t>
      </w:r>
    </w:p>
    <w:p>
      <w:pPr>
        <w:spacing w:after="0" w:line="67" w:lineRule="exact"/>
        <w:rPr>
          <w:rFonts w:ascii="Times New Roman" w:cs="Times New Roman" w:eastAsia="Times New Roman" w:hAnsi="Times New Roman"/>
          <w:sz w:val="18"/>
          <w:szCs w:val="18"/>
          <w:color w:val="auto"/>
        </w:rPr>
      </w:pPr>
    </w:p>
    <w:p>
      <w:pPr>
        <w:ind w:left="560" w:right="120" w:firstLine="948"/>
        <w:spacing w:after="0" w:line="261" w:lineRule="auto"/>
        <w:tabs>
          <w:tab w:leader="none" w:pos="176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material item of Company Owned Intellectual Property to lapse or to be abandoned, invalidated, dedicated to the public, or disclaimed, or otherwise become unenforceable or fail to perform or make any applicable filings, recordings or other similar actions or filings which are required to maintain such Company Owned Intellectual Property in force as it is currently, or fail to pay all required fees and taxes required or advisable to maintain and protect its interest in each and every material item of Company Owned Intellectual Property;</w:t>
      </w:r>
    </w:p>
    <w:p>
      <w:pPr>
        <w:spacing w:after="0" w:line="71" w:lineRule="exact"/>
        <w:rPr>
          <w:rFonts w:ascii="Times New Roman" w:cs="Times New Roman" w:eastAsia="Times New Roman" w:hAnsi="Times New Roman"/>
          <w:sz w:val="18"/>
          <w:szCs w:val="18"/>
          <w:color w:val="auto"/>
        </w:rPr>
      </w:pPr>
    </w:p>
    <w:p>
      <w:pPr>
        <w:jc w:val="both"/>
        <w:ind w:left="560" w:right="360" w:firstLine="948"/>
        <w:spacing w:after="0" w:line="261" w:lineRule="auto"/>
        <w:tabs>
          <w:tab w:leader="none" w:pos="181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issue, sell, grant or otherwise directly or indirectly dispose of, or subject to a Lien (or enter into any Contract with respect to any of the foregoing), (A) any Equity Securities of any Group Company or (B) any options, warrants, rights of conversion or other rights, agreements, arrangements or commitments obligating any Group Company to issue, deliver or sell any Equity Securities of any Group Company;</w:t>
      </w:r>
    </w:p>
    <w:p>
      <w:pPr>
        <w:spacing w:after="0" w:line="71" w:lineRule="exact"/>
        <w:rPr>
          <w:rFonts w:ascii="Times New Roman" w:cs="Times New Roman" w:eastAsia="Times New Roman" w:hAnsi="Times New Roman"/>
          <w:sz w:val="18"/>
          <w:szCs w:val="18"/>
          <w:color w:val="auto"/>
        </w:rPr>
      </w:pPr>
    </w:p>
    <w:p>
      <w:pPr>
        <w:ind w:left="560" w:right="740" w:firstLine="948"/>
        <w:spacing w:after="0" w:line="282" w:lineRule="auto"/>
        <w:tabs>
          <w:tab w:leader="none" w:pos="186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Indebtedness (other than in the ordinary course of business and which is less than £50,000 individually or in the aggregate);</w:t>
      </w:r>
    </w:p>
    <w:p>
      <w:pPr>
        <w:spacing w:after="0" w:line="53"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forgive any Indebtedness owed to the Company or any of its Subsidiaries;</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Lien;</w:t>
      </w:r>
    </w:p>
    <w:p>
      <w:pPr>
        <w:spacing w:after="0" w:line="11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compromise or settlement of, or take any other action with respect to, any Proceeding;</w:t>
      </w:r>
    </w:p>
    <w:p>
      <w:pPr>
        <w:spacing w:after="0" w:line="117"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81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in the ordinary course of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5" w:right="47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firstLine="948"/>
        <w:spacing w:after="0" w:line="270" w:lineRule="auto"/>
        <w:tabs>
          <w:tab w:leader="none" w:pos="1867"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adopt, enter into, materially amend or modify or terminate any material Employee Benefit Plan of any Group Company or any material benefit or compensation plan, policy, program or Contract that would be an Employee Benefit Plan if in effect as of the Original Date, (B) except as required by Law or in the ordinary course of business, materially increase or decrease the compensation or benefits payable to any current or former director, manager, officer, employee, individual independent contractor or other service provider of any Group Company,</w:t>
      </w:r>
    </w:p>
    <w:p>
      <w:pPr>
        <w:spacing w:after="0" w:line="2" w:lineRule="exact"/>
        <w:rPr>
          <w:rFonts w:ascii="Times New Roman" w:cs="Times New Roman" w:eastAsia="Times New Roman" w:hAnsi="Times New Roman"/>
          <w:sz w:val="17"/>
          <w:szCs w:val="17"/>
          <w:color w:val="auto"/>
        </w:rPr>
      </w:pPr>
    </w:p>
    <w:p>
      <w:pPr>
        <w:ind w:left="560" w:right="20" w:hanging="4"/>
        <w:spacing w:after="0" w:line="253" w:lineRule="auto"/>
        <w:tabs>
          <w:tab w:leader="none" w:pos="84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accelerate any payment, right to payment, or benefit, or the funding of any payment, right to payment or benefit, payable or to become payable to any current or former director, manager, officer, employee, individual independent contractor or other service provider of any Group Company, (D) hire, furlough or terminate (other than for “cause”) any director, officer, or executive-level employee of any Group Company, or (E)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78"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91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settlement, conciliation or similar Contract the performance of which would involve the payment by the Group Companies in excess of £100,000, in the aggregate, or that imposes, or by its terms will impose at any point in the future, any material, non-monetary obligations on any Group Company;</w:t>
      </w:r>
    </w:p>
    <w:p>
      <w:pPr>
        <w:spacing w:after="0" w:line="67" w:lineRule="exact"/>
        <w:rPr>
          <w:rFonts w:ascii="Times New Roman" w:cs="Times New Roman" w:eastAsia="Times New Roman" w:hAnsi="Times New Roman"/>
          <w:sz w:val="18"/>
          <w:szCs w:val="18"/>
          <w:color w:val="auto"/>
        </w:rPr>
      </w:pPr>
    </w:p>
    <w:p>
      <w:pPr>
        <w:ind w:left="560" w:firstLine="948"/>
        <w:spacing w:after="0" w:line="282" w:lineRule="auto"/>
        <w:tabs>
          <w:tab w:leader="none" w:pos="190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recommend, propose or announce an intention to adopt, or otherwise effect, a plan of complete or partial liquidation, dissolution, restructuring, recapitalization, reorganization or similar transaction involving any Group Company;</w:t>
      </w:r>
    </w:p>
    <w:p>
      <w:pPr>
        <w:spacing w:after="0" w:line="53" w:lineRule="exact"/>
        <w:rPr>
          <w:rFonts w:ascii="Times New Roman" w:cs="Times New Roman" w:eastAsia="Times New Roman" w:hAnsi="Times New Roman"/>
          <w:sz w:val="18"/>
          <w:szCs w:val="18"/>
          <w:color w:val="auto"/>
        </w:rPr>
      </w:pPr>
    </w:p>
    <w:p>
      <w:pPr>
        <w:ind w:left="560" w:right="160" w:firstLine="948"/>
        <w:spacing w:after="0" w:line="312" w:lineRule="auto"/>
        <w:tabs>
          <w:tab w:leader="none" w:pos="1857" w:val="left"/>
        </w:tabs>
        <w:numPr>
          <w:ilvl w:val="1"/>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Group Company’s methods of accounting in any material respect, other than changes that are made in accordance with PCAOB standards, or otherwise required by GAAP or Securities Laws, or change any Group Company’s accounting reference date;</w:t>
      </w:r>
    </w:p>
    <w:p>
      <w:pPr>
        <w:spacing w:after="0" w:line="31" w:lineRule="exact"/>
        <w:rPr>
          <w:rFonts w:ascii="Times New Roman" w:cs="Times New Roman" w:eastAsia="Times New Roman" w:hAnsi="Times New Roman"/>
          <w:sz w:val="17"/>
          <w:szCs w:val="17"/>
          <w:color w:val="auto"/>
        </w:rPr>
      </w:pPr>
    </w:p>
    <w:p>
      <w:pPr>
        <w:jc w:val="both"/>
        <w:ind w:left="560" w:right="500" w:firstLine="948"/>
        <w:spacing w:after="0" w:line="266" w:lineRule="auto"/>
        <w:tabs>
          <w:tab w:leader="none" w:pos="190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67"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grant any Change of Control Payment that is not set forth on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of the Company Disclosure Schedules;</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200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alterations or improvements to the Owned Real Property or the Leased Real Property, or amend any written or oral agreements affecting the Owned Real Property or the Leased Real Property;</w:t>
      </w:r>
    </w:p>
    <w:p>
      <w:pPr>
        <w:spacing w:after="0" w:line="53" w:lineRule="exact"/>
        <w:rPr>
          <w:rFonts w:ascii="Times New Roman" w:cs="Times New Roman" w:eastAsia="Times New Roman" w:hAnsi="Times New Roman"/>
          <w:sz w:val="18"/>
          <w:szCs w:val="18"/>
          <w:color w:val="auto"/>
        </w:rPr>
      </w:pPr>
    </w:p>
    <w:p>
      <w:pPr>
        <w:jc w:val="both"/>
        <w:ind w:left="560" w:right="260" w:firstLine="948"/>
        <w:spacing w:after="0" w:line="266" w:lineRule="auto"/>
        <w:tabs>
          <w:tab w:leader="none" w:pos="190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required by Law, (i) modify, extend, or enter into any CBA or (ii) recognize or certify any labor or trade union, labor organization, works council, or group of employees of the Group Companies as the bargaining representative for any employees of the Group Companies;</w:t>
      </w:r>
    </w:p>
    <w:p>
      <w:pPr>
        <w:spacing w:after="0" w:line="67"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85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modify or terminate any Material Contract (excluding, for the avoidance of doubt, any expiration or automatic extension or renewal of any such Material Contract pursuant to its terms) (other than in the ordinary course of business), (B) waive any material benefit or right under any Material Contract or (C) enter into any Contract that would constitute a Material Contract if it had been entered into prior to the Original Date (other than in the ordinary course of business);</w:t>
      </w:r>
    </w:p>
    <w:p>
      <w:pPr>
        <w:spacing w:after="0" w:line="71"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waive any material benefit or right under, any Company Related Party Transaction;</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95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accelerate the collection of accounts receivable, materially delay the payment of accounts payable or accrued expenses, materially delay the purchase of supplies or materially delay capital expenditures, repairs or maintenance or otherwise change the cash management of the Group Companies;</w:t>
      </w:r>
    </w:p>
    <w:p>
      <w:pPr>
        <w:spacing w:after="0" w:line="67" w:lineRule="exact"/>
        <w:rPr>
          <w:rFonts w:ascii="Times New Roman" w:cs="Times New Roman" w:eastAsia="Times New Roman" w:hAnsi="Times New Roman"/>
          <w:sz w:val="18"/>
          <w:szCs w:val="18"/>
          <w:color w:val="auto"/>
        </w:rPr>
      </w:pPr>
    </w:p>
    <w:p>
      <w:pPr>
        <w:ind w:left="560" w:right="380" w:firstLine="948"/>
        <w:spacing w:after="0" w:line="282" w:lineRule="auto"/>
        <w:tabs>
          <w:tab w:leader="none" w:pos="200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that exceed, individually or in the aggregate £250,000 over the annual budgeted amount (as contemplated in the annual budget provided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060"/>
          </w:cols>
          <w:pgMar w:left="320" w:top="455" w:right="51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Armada prior to the Original Date) for the current fiscal year or otherwise materially reduce or fail to make any capital expenditure contemplated by such annual budget;</w:t>
      </w:r>
    </w:p>
    <w:p>
      <w:pPr>
        <w:spacing w:after="0" w:line="54" w:lineRule="exact"/>
        <w:rPr>
          <w:sz w:val="20"/>
          <w:szCs w:val="20"/>
          <w:color w:val="auto"/>
        </w:rPr>
      </w:pPr>
    </w:p>
    <w:p>
      <w:pPr>
        <w:ind w:left="560" w:right="80" w:firstLine="948"/>
        <w:spacing w:after="0" w:line="254" w:lineRule="auto"/>
        <w:tabs>
          <w:tab w:leader="none" w:pos="199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make any material change in any method of accounting, accounting policies or reporting practices for Tax purposes other than changes that are made in accordance with PCAOB standards, or otherwise required by GAAP or Securities Laws; make any material Tax election which is materially inconsistent with past practice; change or revoke any material Tax election in a manner which is materially inconsistent with past practice; file any material Tax Return or amended Tax Return in each case in a manner materially inconsistent with past practice, except as required by applicable Law; surrender any right to claim a refund of Taxes other than surrenders between Group Companies; fail to pay any material Tax as such Tax becomes due and payable unless such Tax is being contested in good faith; settle any material Tax claim or assessment with a Tax Authority; consent to any extension or waiver of the limitation period applicable to or relating to any material Tax claim or assessment by a Tax Authority, other than any such extension or waiver that is obtained in the ordinary course of business; or change its U.S. federal income tax classification; or</w:t>
      </w:r>
    </w:p>
    <w:p>
      <w:pPr>
        <w:spacing w:after="0" w:line="80" w:lineRule="exact"/>
        <w:rPr>
          <w:rFonts w:ascii="Times New Roman" w:cs="Times New Roman" w:eastAsia="Times New Roman" w:hAnsi="Times New Roman"/>
          <w:sz w:val="18"/>
          <w:szCs w:val="18"/>
          <w:color w:val="auto"/>
        </w:rPr>
      </w:pPr>
    </w:p>
    <w:p>
      <w:pPr>
        <w:ind w:left="1940" w:hanging="432"/>
        <w:spacing w:after="0"/>
        <w:tabs>
          <w:tab w:leader="none" w:pos="194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to take, or cause to be taken, any of the actions set forth in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aforementioned provisions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shall not apply to the proposed transfer of up to 44,692,737 Company Shares currently held at the Original Date by DBLP Sea Cow Limited to M1 RE Limited (or an equivalent number, subject to any adjustment to reflect the Pre- Closing Reorganization).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Efforts to Consummate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provided, each of the Parties shall use reasonable best efforts to take, or cause to be taken, all actions and to do, or cause to be done, all things reasonably necessary or advisable to consummate and make effective as promptly as reasonably practicable the transactions contemplated by this Agreement (including (i) the satisfaction, but not waiver, of the closing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in the case of any Ancillary Document to which such Party will be a party after the Original Date, to execute and deliver such Ancillary Document when required pursuant to this Agreement, and (ii) the Company taking, or causing to be taken, all actions necessary or advisable to cause the agreements set forth on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Company Disclosure Schedules to be terminated effective as of the Closing without any further obligations or Liabilities to the Company or any of its Affiliates (including the other Group Companies and, from and after the Closing, Armada)). Without limiting the generality of the foregoing, each of the Parties shall use reasonable best efforts to obtain, file with or deliver to, as applicable, any Consents of any Governmental Entities or other Persons necessary, proper or advisable to consummate the transactions contemplated by this Agreement or the Ancillary Documents. Armada shall promptly inform the Company of any material communication between Armada, on the one hand, and any Governmental Entity, on the other hand, and the Company shall promptly inform Armada of any material communication between the Company or any other Group Company, on the one hand, and any Governmental Entity, on the other hand, in either case, regarding any of the transactions contemplated by this Agreement or any Ancillary Document. Without limiting the foregoing, each Party and their respective Affiliates shall not enter into any agreement with any Governmental Entity not to consummate the transactions contemplated hereby or by the Ancillary Documents, except with the prior written consent of Armada and the Company. In furtherance and not in limitation of the foregoing in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to the extent required under any Antitrust Laws, each party hereto agrees to promptly (and in connection with any required filings under the HSR Act, no later than ten (10) Business Days after the Original Date) make any required filing or application under Antitrust Laws, as applicable. Further, notwithstanding anything to the contrary contained in this Agreement, the Parties agree and acknowledge that any costs or fees related to any required filing or application under Antitrust Laws shall be borne 50/50 by Armada and the Company.</w:t>
      </w:r>
    </w:p>
    <w:p>
      <w:pPr>
        <w:spacing w:after="0" w:line="190"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Agreement, in the event that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conflicts with any other covenant or agreement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is intended to specifically address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matter, then such other covenant or agreement shall govern and control solely to the extent of such conflict.</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Confidentiality and Access to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20" w:firstLine="987"/>
        <w:spacing w:after="0" w:line="256" w:lineRule="auto"/>
        <w:tabs>
          <w:tab w:leader="none" w:pos="1356"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87"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1"/>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Original Date until the earlier of the Closing Date or the termination of this Agreement in accordance with its terms, upon reasonable advance written notice, the Company shall provide, or cause to be provided, to Armada and its Representatives during normal business hours reasonable access to the directors, officers, books and records and properties of the Group Companies (in a manner so as to not interfere with the normal business operations of the Group Companies) as Armada or its Representatives may from time to time reasonably request. Notwithstanding the foregoing, none of the Group Companies shall be required to provide to Armada or any of its Representatives any information (i) if and to the extent doing so would (A) result in the disclosure of any trade secrets of third parties in breach of any Contract with such third party, (B) jeopardize protections afforded to any Group Company under the attorney-client or solicitor-client privilege or the attorney work product doctrine or (C) be a risk to the health or safety of any Group Company personnel or the personnel of any of their respective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case of each of </w:t>
      </w:r>
      <w:r>
        <w:rPr>
          <w:rFonts w:ascii="Times New Roman" w:cs="Times New Roman" w:eastAsia="Times New Roman" w:hAnsi="Times New Roman"/>
          <w:sz w:val="17"/>
          <w:szCs w:val="17"/>
          <w:u w:val="single" w:color="auto"/>
          <w:color w:val="auto"/>
        </w:rPr>
        <w:t>clauses</w:t>
      </w:r>
    </w:p>
    <w:p>
      <w:pPr>
        <w:ind w:left="120" w:right="160" w:hanging="4"/>
        <w:spacing w:after="0" w:line="252" w:lineRule="auto"/>
        <w:tabs>
          <w:tab w:leader="none" w:pos="415" w:val="left"/>
        </w:tabs>
        <w:numPr>
          <w:ilvl w:val="0"/>
          <w:numId w:val="4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Company shall,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on the one hand, and Armada or any of its Representatives, on the other hand, are adverse parties in a litigation and such information is reasonably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189" w:lineRule="exact"/>
        <w:rPr>
          <w:rFonts w:ascii="Times New Roman" w:cs="Times New Roman" w:eastAsia="Times New Roman" w:hAnsi="Times New Roman"/>
          <w:sz w:val="18"/>
          <w:szCs w:val="18"/>
          <w:u w:val="single" w:color="auto"/>
          <w:color w:val="auto"/>
        </w:rPr>
      </w:pPr>
    </w:p>
    <w:p>
      <w:pPr>
        <w:ind w:left="120" w:right="340" w:firstLine="987"/>
        <w:spacing w:after="0" w:line="282" w:lineRule="auto"/>
        <w:tabs>
          <w:tab w:leader="none" w:pos="135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and agree that the Confidentiality Agreement shall be automatically terminated effective as of the Closing without any further action by any Party or any other Person.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Public Announcements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5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none of the Parties or any of their respective Representatives shall issue any press releases or make any public announcements with respect to this Agreement or the transactions contemplated hereby without the prior written consent of the Company and Armada; provided, however, that each Party, the Sponsor and their respective Representatives may issue or make, as applicable, any such press release, public announcement or other communication (i) if such press release, public announcement or other communication is required by applicable Law (including the rules of any applicable stock exchange with jurisdiction), in which case, the disclosing Party or its applicable Representatives shall, unless and to the extent prohibited by such applicable Law, (x) if the disclosing Person is Armada or a Representative of Armada, reasonably consult with the Company in connection therewith and provide the Company with an opportunity to review and comment on such press release, public announcement or communication and shall consider any such comments in good faith, or (y) if the disclosing Party is the Company or a Representative of the Company, reasonably consult with Armada in connection therewith and provide Armada with an opportunity to review and comment on such press release, public announcement or communication and shall consider any such comments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00"/>
          </w:cols>
          <w:pgMar w:left="320" w:top="455" w:right="47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in good faith, (ii) to the extent such press release, public announcements or other communications contain only information previously disclosed in a press release, public announcement or other communication previously made in accordance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(iii) to Governmental Entities in connection with any Consents required to be made under this Agreement, the Ancillary Documents or in connection with the transactions contemplated hereby or thereby. Notwithstanding anything to the contrary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otherwise in this Agreement, the Parties agree that Armada, the Sponsor, the Company and their respective Representatives may provide general information about the subject matter of this Agreement and the transactions contemplated hereby to any direct or indirect former, current or prospective investor or in connection with normal fund raising or related marketing or informational or reporting activities.</w:t>
      </w:r>
    </w:p>
    <w:p>
      <w:pPr>
        <w:spacing w:after="0" w:line="189" w:lineRule="exact"/>
        <w:rPr>
          <w:sz w:val="20"/>
          <w:szCs w:val="20"/>
          <w:color w:val="auto"/>
        </w:rPr>
      </w:pPr>
    </w:p>
    <w:p>
      <w:pPr>
        <w:ind w:left="120" w:firstLine="987"/>
        <w:spacing w:after="0" w:line="251" w:lineRule="auto"/>
        <w:tabs>
          <w:tab w:leader="none" w:pos="136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press release concerning this Agreement and the transactions contemplated hereby shall be a joint press release in the form agreed by the Company and Armada prior to the execution of this Agreement and such initial press release (the “</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shall be released as promptly as reasonably practicable after the Original Date. Promptly after the execution of this Agreement on the Original Date, Armada shall file a current report on Form 8-K (the “</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with the Signing Press Release and a description of this Agreement as required by, and in compliance with, the Securities Laws, which the Company shall have the opportunity to review and comment upon prior to filing and Armada shall consider such comments in good faith. A press release concerning this Agreement and the transactions contemplated hereby, each as amended hereby, shall be a joint press release in the form agreed by the Company and Armada prior to the execution hereof as of the Second Amendment Date and such press release (the “</w:t>
      </w:r>
      <w:r>
        <w:rPr>
          <w:rFonts w:ascii="Times New Roman" w:cs="Times New Roman" w:eastAsia="Times New Roman" w:hAnsi="Times New Roman"/>
          <w:sz w:val="18"/>
          <w:szCs w:val="18"/>
          <w:u w:val="single" w:color="auto"/>
          <w:color w:val="auto"/>
        </w:rPr>
        <w:t>Amendment Press Release</w:t>
      </w:r>
      <w:r>
        <w:rPr>
          <w:rFonts w:ascii="Times New Roman" w:cs="Times New Roman" w:eastAsia="Times New Roman" w:hAnsi="Times New Roman"/>
          <w:sz w:val="18"/>
          <w:szCs w:val="18"/>
          <w:color w:val="auto"/>
        </w:rPr>
        <w:t>”) shall be released as promptly as reasonably practicable after the Second Amendment Date. Promptly after the execution of this Agreement on the Second Amendment Date, Armada shall file a current report on Form 8-K (the “</w:t>
      </w:r>
      <w:r>
        <w:rPr>
          <w:rFonts w:ascii="Times New Roman" w:cs="Times New Roman" w:eastAsia="Times New Roman" w:hAnsi="Times New Roman"/>
          <w:sz w:val="18"/>
          <w:szCs w:val="18"/>
          <w:u w:val="single" w:color="auto"/>
          <w:color w:val="auto"/>
        </w:rPr>
        <w:t>Amendment Filing</w:t>
      </w:r>
      <w:r>
        <w:rPr>
          <w:rFonts w:ascii="Times New Roman" w:cs="Times New Roman" w:eastAsia="Times New Roman" w:hAnsi="Times New Roman"/>
          <w:sz w:val="18"/>
          <w:szCs w:val="18"/>
          <w:color w:val="auto"/>
        </w:rPr>
        <w:t>”) with the Amendment Press Release and a description of this Agreement as required by, and in compliance with, the Securities Laws, which the Company shall have the opportunity to review and comment upon prior to filing and Armada shall consider such comments in good faith. The Company, on the one hand, and Armada, on the other hand, shall mutually agree upon (such agreement not to be unreasonably withheld, conditioned or delayed by either the Company or Armada, as applicable) a press release announcing the consummation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prior to the Closing, and, on the Closing Date (or such other date as may be mutually agreed to in writing by Armada and the Company prior to the Closing), the Parties shall cause the Closing Press Release to be released. Promptly after the Closing (but in any event within four</w:t>
      </w:r>
    </w:p>
    <w:p>
      <w:pPr>
        <w:spacing w:after="0" w:line="11" w:lineRule="exact"/>
        <w:rPr>
          <w:rFonts w:ascii="Times New Roman" w:cs="Times New Roman" w:eastAsia="Times New Roman" w:hAnsi="Times New Roman"/>
          <w:sz w:val="18"/>
          <w:szCs w:val="18"/>
          <w:color w:val="auto"/>
        </w:rPr>
      </w:pPr>
    </w:p>
    <w:p>
      <w:pPr>
        <w:ind w:left="120" w:hanging="4"/>
        <w:spacing w:after="0" w:line="252" w:lineRule="auto"/>
        <w:tabs>
          <w:tab w:leader="none" w:pos="37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Closing), the Company shall file or cause to be filed a Form 20-F (the “</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as required by Securities Laws, which Closing Filing shall be mutually agreed upon by the Company and Armada prior to the Closing (such agreement not to be unreasonable withheld, conditioned or delayed by either the Company or Armada,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jc w:val="both"/>
        <w:ind w:left="120" w:right="220" w:firstLine="987"/>
        <w:spacing w:after="0" w:line="312" w:lineRule="auto"/>
        <w:tabs>
          <w:tab w:leader="none" w:pos="1356"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No Party to the Business Combination Agreement makes any representation or provides any assurances to any other Party to the Business Combination Agreement or to any Armada stockholder or security holder as to the Tax treatment of the Business Combination.</w:t>
      </w:r>
    </w:p>
    <w:p>
      <w:pPr>
        <w:spacing w:after="0" w:line="139" w:lineRule="exact"/>
        <w:rPr>
          <w:rFonts w:ascii="Times New Roman" w:cs="Times New Roman" w:eastAsia="Times New Roman" w:hAnsi="Times New Roman"/>
          <w:sz w:val="17"/>
          <w:szCs w:val="17"/>
          <w:color w:val="auto"/>
        </w:rPr>
      </w:pPr>
    </w:p>
    <w:p>
      <w:pPr>
        <w:ind w:left="120" w:right="20" w:firstLine="987"/>
        <w:spacing w:after="0" w:line="258" w:lineRule="auto"/>
        <w:tabs>
          <w:tab w:leader="none" w:pos="136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 Cooperation</w:t>
      </w:r>
      <w:r>
        <w:rPr>
          <w:rFonts w:ascii="Times New Roman" w:cs="Times New Roman" w:eastAsia="Times New Roman" w:hAnsi="Times New Roman"/>
          <w:sz w:val="18"/>
          <w:szCs w:val="18"/>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080"/>
          </w:cols>
          <w:pgMar w:left="320" w:top="455" w:right="49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Exclusive Dealing</w:t>
      </w:r>
      <w:r>
        <w:rPr>
          <w:rFonts w:ascii="Times New Roman" w:cs="Times New Roman" w:eastAsia="Times New Roman" w:hAnsi="Times New Roman"/>
          <w:sz w:val="18"/>
          <w:szCs w:val="18"/>
          <w:color w:val="auto"/>
        </w:rPr>
        <w:t>. From the Original Date until the earlier of the Closing or the termination of this Agreement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the Company shall not, and shall cause the other Group Companies and its and their respective Representatives not to, directly or indirectly:</w:t>
      </w:r>
    </w:p>
    <w:p>
      <w:pPr>
        <w:spacing w:after="0" w:line="1" w:lineRule="exact"/>
        <w:rPr>
          <w:sz w:val="20"/>
          <w:szCs w:val="20"/>
          <w:color w:val="auto"/>
        </w:rPr>
      </w:pPr>
    </w:p>
    <w:p>
      <w:pPr>
        <w:ind w:left="120" w:hanging="4"/>
        <w:spacing w:after="0" w:line="251" w:lineRule="auto"/>
        <w:tabs>
          <w:tab w:leader="none" w:pos="33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(including by means of furnishing or disclosing non-public information), knowingly facilitate, discuss with any third party or negotiate, directly or indirectly, any inquiry, proposal or offer (written or oral) with respect to a Company Acquisition Proposal; (ii) furnish or disclose any non-public information to any Person in connection with, or that would reasonably be expected to lead to, a Company Acquisition Proposal; (iii) enter into any Contract or other arrangement or understanding regarding a Company Acquisition Proposal; (iv) prepare or take any steps in connection with a public offering of any Equity Securities or other securities of any Group Company (or any controlled Affiliate or successor of any Group Company); or (v) otherwise cooperate in any way with, or assist or participate in, or facilitate or knowingly encourage any effort or attempt by any Person to do or seek to do any of the foregoing. The Company agrees to (A) notify Armada promptly upon receipt of any Company Acquisition Proposal by any Group Company, and to describe the material terms and conditions of any such Company Acquisition Proposal in reasonable detail (including the identity of the Persons making such Company Acquisition Proposal) and (B) keep Armada reasonably informed on a prompt basis of any modifications to such offer or information.</w:t>
      </w:r>
    </w:p>
    <w:p>
      <w:pPr>
        <w:spacing w:after="0" w:line="18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Preparation of Registration Statement / Proxy Statement</w:t>
      </w:r>
      <w:r>
        <w:rPr>
          <w:rFonts w:ascii="Times New Roman" w:cs="Times New Roman" w:eastAsia="Times New Roman" w:hAnsi="Times New Roman"/>
          <w:sz w:val="18"/>
          <w:szCs w:val="18"/>
          <w:color w:val="auto"/>
        </w:rPr>
        <w:t>. As promptly as reasonably practicable following the Original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Armada shall prepare (with the Company’s reasonable assistance and co-operation, including with respect to the Company’s delivery of the Closing Company Audited Financial Statements in accordance with this Agreement), and the Company shall file with the SEC, the Registration Statement / Proxy Statement (it being understood that the Registration Statement / Proxy Statement shall include (i) a prospectus of the New Company for the registration with the SEC of the offering of the New Company Shares comprising the Aggregate Stock Consideration and Armada’s Public Shares and Public Warrants, and (ii) a proxy statement of Armada which will be used for the Armada Shareholders Meeting to adopt and approve the Transaction Proposals and other matters reasonably related to the Transaction Proposals, all in accordance with and as required by Armada’s Governing Documents, applicable Law, and any applicable rules and regulations of the SEC and NASDAQ). For the avoidance of doubt, Armada and the Company shall have no obligations to file with the SEC the Registration Statement/Proxy Statement or any amendment thereto, unless and until the Company shall have delivered the Closing Company Audited Financial Statements and, if and as applicable the Other Closing Company Financial Statements in each case, in accordance with this Agreement. Each of Armada and the Company shall use its respective reasonable best efforts (in each case to the extent within its control) to (a) cause the Registration Statement / Proxy Statement to comply in all material respects with the applicable rules and regulations promulgated by the SEC (including, with respect to the Group Companies, the provision of financial statements (including the Closing Company Audited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Armada, on the one hand, and the Company, on the other hand, shall promptly furnish, or cause to be furnished, to the other all information concerning such Party, its Non-Party Affiliates and their respective Representatives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or for inclusion in any other statement, filing, notice or application made by or on behalf of Armada or the Company to the SEC or NASDAQ in connection with the transactions contemplated by this Agreement or the Ancillary Documents, including delivering the tax representation letters as provided by</w:t>
      </w:r>
    </w:p>
    <w:p>
      <w:pPr>
        <w:spacing w:after="0" w:line="12"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to enable the delivery of any tax opinions requested or required by the SEC to be submitted in connection therewith as described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If any Party becomes aware of any information that should be disclosed in an amendment or supplement to the Registration Statement / Proxy Statement, then (i) such Party shall promptly inform, in the case of Armada, the Company, or, in the case of the Company, Armada, thereof; (ii) such Party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6" w:lineRule="auto"/>
        <w:rPr>
          <w:sz w:val="20"/>
          <w:szCs w:val="20"/>
          <w:color w:val="auto"/>
        </w:rPr>
      </w:pPr>
      <w:r>
        <w:rPr>
          <w:rFonts w:ascii="Times New Roman" w:cs="Times New Roman" w:eastAsia="Times New Roman" w:hAnsi="Times New Roman"/>
          <w:sz w:val="17"/>
          <w:szCs w:val="17"/>
          <w:color w:val="auto"/>
        </w:rPr>
        <w:t>shall prepare and mutually agree upon with, in the case of Armada, the Company, or, in the case of the Company, Armada (in either case, such agreement not to be unreasonably withheld, conditioned or delayed), an amendment or supplement to the Registration Statement / Proxy Statement;</w:t>
      </w:r>
    </w:p>
    <w:p>
      <w:pPr>
        <w:spacing w:after="0" w:line="1" w:lineRule="exact"/>
        <w:rPr>
          <w:sz w:val="20"/>
          <w:szCs w:val="20"/>
          <w:color w:val="auto"/>
        </w:rPr>
      </w:pPr>
    </w:p>
    <w:p>
      <w:pPr>
        <w:ind w:left="120" w:hanging="4"/>
        <w:spacing w:after="0" w:line="251" w:lineRule="auto"/>
        <w:tabs>
          <w:tab w:leader="none" w:pos="43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such mutually agreed upon amendment or supplement with the SEC; and (iv) the Parties shall reasonably cooperate, if appropriate, in mailing such amendment or supplement to the Pre-Closing Armada Shareholders. The Company and Armada shall as promptly as reasonably practicable advise the other of the time of effectiveness of the Registration Statement / Proxy Statement, the issuance of any stop order relating thereto or the suspension of the qualification of the Company Shares for offering or sale in any jurisdiction, and Armada and the Company shall each use its reasonable best efforts to have any such stop order or suspension lifted, reversed or otherwise terminated. Each of the Parties shall use reasonable best efforts to ensure that none of the information related to such Party or its Non-Party Affiliates or Representatives, supplied by or on its behalf for inclusion or incorporation by reference in the Registration Statement / Proxy Statement will, at the time the Registration Statement / Proxy Statement is initially filed with the SEC, at each time at which it is amended, at the time it becomes effective under the Securities Act, and when the Registration Statement / Proxy Statement is mailed to the Pre-Closing Armada Shareholders and at the time of the Armada Shareholders Meeting contain any untrue statement of a material fact or omit to state any material fact required to be stated therein or necessary to make the statements therein, in light of the circumstances under which they are made, not misleading.</w:t>
      </w:r>
    </w:p>
    <w:p>
      <w:pPr>
        <w:spacing w:after="0" w:line="18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5.8 </w:t>
      </w:r>
      <w:r>
        <w:rPr>
          <w:rFonts w:ascii="Times New Roman" w:cs="Times New Roman" w:eastAsia="Times New Roman" w:hAnsi="Times New Roman"/>
          <w:sz w:val="17"/>
          <w:szCs w:val="17"/>
          <w:b w:val="1"/>
          <w:bCs w:val="1"/>
          <w:u w:val="single" w:color="auto"/>
          <w:color w:val="auto"/>
        </w:rPr>
        <w:t>Armada Shareholder Approval</w:t>
      </w:r>
      <w:r>
        <w:rPr>
          <w:rFonts w:ascii="Times New Roman" w:cs="Times New Roman" w:eastAsia="Times New Roman" w:hAnsi="Times New Roman"/>
          <w:sz w:val="17"/>
          <w:szCs w:val="17"/>
          <w:color w:val="auto"/>
        </w:rPr>
        <w:t>. As promptly as reasonably practicable following the time at which the Registration Statement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 is declared effective under the Securities Act, Armada shall (a) duly give notice of and (b) duly convene and promptly hold an annual meeting of its shareholders (the “</w:t>
      </w:r>
      <w:r>
        <w:rPr>
          <w:rFonts w:ascii="Times New Roman" w:cs="Times New Roman" w:eastAsia="Times New Roman" w:hAnsi="Times New Roman"/>
          <w:sz w:val="17"/>
          <w:szCs w:val="17"/>
          <w:u w:val="single" w:color="auto"/>
          <w:color w:val="auto"/>
        </w:rPr>
        <w:t>Armada Shareholders Meeting</w:t>
      </w:r>
      <w:r>
        <w:rPr>
          <w:rFonts w:ascii="Times New Roman" w:cs="Times New Roman" w:eastAsia="Times New Roman" w:hAnsi="Times New Roman"/>
          <w:sz w:val="17"/>
          <w:szCs w:val="17"/>
          <w:color w:val="auto"/>
        </w:rPr>
        <w:t xml:space="preserve">”) in accordance with the Governing Documents of Armada, for the purposes of obtaining the Armada Shareholder Approval and, if applicable, any approvals related thereto and providing its applicable shareholders with the opportunity to elect to effect an Armada Shareholder Redemption. Armada shall, through the Armada Board, recommend to its shareholders, (A) the adoption and approval of this Agreement and the transactions contemplated hereby (including the transactions contemplated by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and the Company Reorganization) (collectively, the “</w:t>
      </w:r>
      <w:r>
        <w:rPr>
          <w:rFonts w:ascii="Times New Roman" w:cs="Times New Roman" w:eastAsia="Times New Roman" w:hAnsi="Times New Roman"/>
          <w:sz w:val="17"/>
          <w:szCs w:val="17"/>
          <w:u w:val="single" w:color="auto"/>
          <w:color w:val="auto"/>
        </w:rPr>
        <w:t>Business Combination Proposal</w:t>
      </w:r>
      <w:r>
        <w:rPr>
          <w:rFonts w:ascii="Times New Roman" w:cs="Times New Roman" w:eastAsia="Times New Roman" w:hAnsi="Times New Roman"/>
          <w:sz w:val="17"/>
          <w:szCs w:val="17"/>
          <w:color w:val="auto"/>
        </w:rPr>
        <w:t>”); (B) the adoption and approval of the transactions contemplated by this Agreement, including the Pre-Closing Demerger, Company Reorganization, the PIPE Financing and to the extent applicable, the Merger (including any change of control in connection with the foregoing), in each case, as required by NASDAQ listing requirements (the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Proposal</w:t>
      </w:r>
      <w:r>
        <w:rPr>
          <w:rFonts w:ascii="Times New Roman" w:cs="Times New Roman" w:eastAsia="Times New Roman" w:hAnsi="Times New Roman"/>
          <w:sz w:val="17"/>
          <w:szCs w:val="17"/>
          <w:color w:val="auto"/>
        </w:rPr>
        <w:t>”); (C) the adoption and approval of the Company Incentive Equity Plan (the “</w:t>
      </w:r>
      <w:r>
        <w:rPr>
          <w:rFonts w:ascii="Times New Roman" w:cs="Times New Roman" w:eastAsia="Times New Roman" w:hAnsi="Times New Roman"/>
          <w:sz w:val="17"/>
          <w:szCs w:val="17"/>
          <w:u w:val="single" w:color="auto"/>
          <w:color w:val="auto"/>
        </w:rPr>
        <w:t>Incentive Equity Plan Proposal</w:t>
      </w:r>
      <w:r>
        <w:rPr>
          <w:rFonts w:ascii="Times New Roman" w:cs="Times New Roman" w:eastAsia="Times New Roman" w:hAnsi="Times New Roman"/>
          <w:sz w:val="17"/>
          <w:szCs w:val="17"/>
          <w:color w:val="auto"/>
        </w:rPr>
        <w:t>”); (D) the adoption and approval of each other proposal that either the SEC or NASDAQ (or the respective staff members thereof) indicates is necessary in its comments to the Registration Statement / Proxy Statement or in correspondence related thereto; (E) the adoption and approval of each other proposal reasonably agreed to by Armada and the Company as necessary or appropriate in connection with the consummation of the transactions contemplated by this Agreement or the Ancillary Documents; and (F) the adoption and approval of a proposal for the postponement or adjournment of the Armada Shareholders Meeting, if necessary, to permit further solicitation of proxies because there are not sufficient votes to approve and adopt any of the foregoing (such proposals in</w:t>
      </w:r>
    </w:p>
    <w:p>
      <w:pPr>
        <w:ind w:left="420" w:hanging="304"/>
        <w:spacing w:after="0"/>
        <w:tabs>
          <w:tab w:leader="none" w:pos="42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collectively,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The Armada Board recommendation contemplated by the preceding sentence shall be</w:t>
      </w:r>
    </w:p>
    <w:p>
      <w:pPr>
        <w:spacing w:after="0" w:line="9" w:lineRule="exact"/>
        <w:rPr>
          <w:rFonts w:ascii="Times New Roman" w:cs="Times New Roman" w:eastAsia="Times New Roman" w:hAnsi="Times New Roman"/>
          <w:sz w:val="18"/>
          <w:szCs w:val="18"/>
          <w:color w:val="auto"/>
        </w:rPr>
      </w:pPr>
    </w:p>
    <w:p>
      <w:pPr>
        <w:ind w:left="12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the Registration Statement / Proxy Statement. Notwithstanding the foregoing or anything to the contrary herein, Armada may postpone or adjourn the Armada Shareholders Meeting, after reasonable consultation with the Company (and after taking into account the Company’s input), (1) to solicit additional proxies for the purpose of obtaining the Armada Shareholder Approval, (2) for the absence of a quorum, (3) to allow reasonable additional time for the filing or mailing of any supplemental or amended disclosures that Armada has determined, based on the advice of outside legal counsel, is reasonably likely to be required under applicable Law and for such supplemental or amended disclosure to be disseminated and reviewed by the Pre-Closing Armada Shareholders prior to the Armada Shareholders Meeting or (4) if the holders of Armada Shares have elected to redeem a number of Armada Shares as of such time that would reasonably be expected to result in the condition set forth in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not being satisfied.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Conduct of Business of Armada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73" w:lineRule="auto"/>
        <w:tabs>
          <w:tab w:leader="none" w:pos="1356"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Original Date until the earlier of the Closing or the termination of this Agreement in accordance with its terms, Armada shall except as expressly contemplated by this Agreement or any Ancillary Document (including, for the avoidance of doubt, in connection with or as a result of the Pre-Closing Reorganization, the Armada Shareholder Redemption or the PIPE Financing), as required by applicable Law, as set forth on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of the Armada Disclosure Schedules, or as consented to in writing by the Company (such consent not to be unreasonably withheld, conditioned or delayed and in any event), (i) operate the business of Armada in the ordinary course in all material respects, (ii) use commercially reasonable efforts to maintain and preserve intact the business organization, assets, properties and material business relations of the Armada, taken as a whole, and (iii) not take any action with respect to itself that the Company and its Subsidiaries are prohibited from taking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NASDAQ Listing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60" w:firstLine="987"/>
        <w:spacing w:after="0" w:line="258" w:lineRule="auto"/>
        <w:tabs>
          <w:tab w:leader="none" w:pos="135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use its reasonable best efforts to (i) cause the Company Securities issuable in accordance with this Agreement to be approved for listing on NASDAQ, subject to official notice of issuance thereof, and (ii) to satisfy any applicable initial and continuing listing requirements of NASDAQ, in each case as promptly as reasonably practicable after the Original Date, and in any event prior to the Closing. The Company shall, and shall cause its Representatives to, reasonably cooperate with Armada and each of its Representatives in connection with the foregoing.</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Original Date through the Closing, Armada shall notify the Company of any communications or correspondence received from the NASDAQ with respect to (i) the listing of the Company Shares or other securities of Armada or the Company, (ii) compliance by Armada or the Company with the rules and regulations of the NASDAQ, and (iii) any potential suspension of listing or delisting action contemplated or threatened by the NASDAQ with respect to the Company Shares or other securities of Armada or the Company.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Upon satisfaction or, to the extent permitted by applicable Law, waiver in writing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provision of notice thereof to the Trustee, (a) at the Closing, Armada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Armada pursuant to the Armada Shareholder Redemption, (B) pay the amounts due to the underwriters of Armada’s initial public offering for their deferred underwriting commissions as set forth in the Trust Agreement and</w:t>
      </w:r>
    </w:p>
    <w:p>
      <w:pPr>
        <w:spacing w:after="0" w:line="3" w:lineRule="exact"/>
        <w:rPr>
          <w:sz w:val="20"/>
          <w:szCs w:val="20"/>
          <w:color w:val="auto"/>
        </w:rPr>
      </w:pPr>
    </w:p>
    <w:p>
      <w:pPr>
        <w:ind w:left="120" w:right="80" w:hanging="4"/>
        <w:spacing w:after="0" w:line="255" w:lineRule="auto"/>
        <w:tabs>
          <w:tab w:leader="none" w:pos="40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thereafter, pay all remaining amounts then available in the Trust Account to Armada, or as directed by Armada, in accordance with the Trust Agreement, and (D) cause the Promissory Note to be issued in accordance with this Agreement and (b) thereafter, the Trust Account shall terminate, except as otherwise provided therein.</w:t>
      </w:r>
    </w:p>
    <w:p>
      <w:pPr>
        <w:spacing w:after="0" w:line="18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Transaction Support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Original Date, Armada has received from each Key Company Shareholder an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Support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55" w:lineRule="auto"/>
        <w:tabs>
          <w:tab w:leader="none" w:pos="135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the directors and officers of Armada, as provided in Armada’s Governing Documents or otherwise in effect as of immediately prior to the Closing, in either case, solely with respect to any matters occurring on or prior to the Closing, shall survive the transactions contemplated by this Agreement and shall continue in full force and effect from and after the Closing for a period of six (6) years and (ii) the Company will perform and discharge, or cause to be performed and discharged, all obligations to provide such indemnity and exculpation during such six (6)-year period. To the maximum extent permitted by applicable Law, during such six (6)-year period, the Company shall advance, or caused to be advanced, expenses in connection with such indemnification as provided in Armada’s Governing Documents or other applicable agreements as in effect immediately prior to the Closing.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indemnification and liability limitation or exculpation provisions of Armada’s Governing Documents shall not, during such six (6)-year period, be amended, repealed or otherwise modified by the Company or any other Person following the Closing in any manner that would materially and adversely affect the rights thereunder of individuals who, as of immediately prior to the Closing, or at any time prior to such time, were directors or officers of Armada (the “</w:t>
      </w:r>
      <w:r>
        <w:rPr>
          <w:rFonts w:ascii="Times New Roman" w:cs="Times New Roman" w:eastAsia="Times New Roman" w:hAnsi="Times New Roman"/>
          <w:sz w:val="18"/>
          <w:szCs w:val="18"/>
          <w:u w:val="single" w:color="auto"/>
          <w:color w:val="auto"/>
        </w:rPr>
        <w:t>Armada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on or prior to the Closing and relating to the fact that such Armada D&amp;O Person was a director or officer of Armada on or prior to the Closing, unless such amendment, repeal or other modification is required by applicable Law.</w:t>
      </w:r>
    </w:p>
    <w:p>
      <w:pPr>
        <w:spacing w:after="0" w:line="187" w:lineRule="exact"/>
        <w:rPr>
          <w:sz w:val="20"/>
          <w:szCs w:val="20"/>
          <w:color w:val="auto"/>
        </w:rPr>
      </w:pPr>
    </w:p>
    <w:p>
      <w:pPr>
        <w:ind w:left="120" w:firstLine="987"/>
        <w:spacing w:after="0" w:line="256" w:lineRule="auto"/>
        <w:tabs>
          <w:tab w:leader="none" w:pos="136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Armada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Armada’s directors’ and officers’ liability insurance policies as of the Original Date.</w:t>
      </w:r>
    </w:p>
    <w:p>
      <w:pPr>
        <w:spacing w:after="0" w:line="187" w:lineRule="exact"/>
        <w:rPr>
          <w:rFonts w:ascii="Times New Roman" w:cs="Times New Roman" w:eastAsia="Times New Roman" w:hAnsi="Times New Roman"/>
          <w:sz w:val="18"/>
          <w:szCs w:val="18"/>
          <w:color w:val="auto"/>
        </w:rPr>
      </w:pPr>
    </w:p>
    <w:p>
      <w:pPr>
        <w:ind w:left="120" w:right="400" w:firstLine="987"/>
        <w:spacing w:after="0" w:line="256" w:lineRule="auto"/>
        <w:tabs>
          <w:tab w:leader="none" w:pos="135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Armada shall purchase and maintain for such periods as the Company’s Board shall in good faith determine following Closing, at the Company’s expense, insurance reasonable for the Company, given its size and activities, on behalf of any person who is a director or officer of the Company, or is serving at the request of the Company as a director, officer, employee or agent of another corporation, partnership, joint venture, trust or other enterprise, including any direct or indirect subsidiary of the Company, against any expense, liability or loss asserted against such person and incurred by such person in any such capacity, or arising out of such person’s status as such, subject to customary exclusions.</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5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Armada and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Company 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3" w:lineRule="auto"/>
        <w:tabs>
          <w:tab w:leader="none" w:pos="135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the directors and officers of the Group Companies, as provided in the Group Companies’ Governing Documents or otherwise in effect as of immediately prior to the Closing, in either case, solely with respect to any matters occurring on or prior to the Closing, shall survive the transactions contemplated by this Agreement and shall continue in full force and effect in accordance with their terms as in effect immediately prior to the Closing and (ii) the Company will cause the applicable Group Companies to perform and discharge all obligations to provide such indemnity and exculpation. To the maximum extent permitted by applicable Law, the Company shall cause the applicable Group Companies to advance expenses in connection with such indemnification as provided in the Group Companies’ Governing Documents or other applicable agreements in effect as of immediately prior to the Closing. The indemnification and liability limitation or exculpation provisions of the Group Companies’ Governing Documents shall not be amended, repealed or otherwise modified following the Closing in any manner that would materially and adversely affect the rights thereunder of individuals who, as of the Closing or at any time prior to the Closing, were directors or officers of the Group Companies (the “</w:t>
      </w:r>
      <w:r>
        <w:rPr>
          <w:rFonts w:ascii="Times New Roman" w:cs="Times New Roman" w:eastAsia="Times New Roman" w:hAnsi="Times New Roman"/>
          <w:sz w:val="18"/>
          <w:szCs w:val="18"/>
          <w:u w:val="single" w:color="auto"/>
          <w:color w:val="auto"/>
        </w:rPr>
        <w:t>Company D&amp;O</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00"/>
          </w:cols>
          <w:pgMar w:left="320" w:top="455" w:right="47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entitled to be so indemnified, have their liability limited or be exculpated with respect to any matters occurring prior to Closing and relating to the fact that such Company D&amp;O Person was a director or officer of any Group Company on or prior to the Closing, unless such amendment, repeal or other modification is required by applicable Law.</w:t>
      </w:r>
    </w:p>
    <w:p>
      <w:pPr>
        <w:spacing w:after="0" w:line="176" w:lineRule="exact"/>
        <w:rPr>
          <w:sz w:val="20"/>
          <w:szCs w:val="20"/>
          <w:color w:val="auto"/>
        </w:rPr>
      </w:pPr>
    </w:p>
    <w:p>
      <w:pPr>
        <w:jc w:val="both"/>
        <w:ind w:left="120" w:right="100" w:firstLine="987"/>
        <w:spacing w:after="0" w:line="266" w:lineRule="auto"/>
        <w:tabs>
          <w:tab w:leader="none" w:pos="13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Group Companies shall have any obligation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the Group Companies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Original Date.</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5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the Company.</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3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certain individuals shall enter into on Closing an indemnification deed in substantially the same form as set out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Indemnification Deed</w:t>
      </w:r>
      <w:r>
        <w:rPr>
          <w:rFonts w:ascii="Times New Roman" w:cs="Times New Roman" w:eastAsia="Times New Roman" w:hAnsi="Times New Roman"/>
          <w:sz w:val="18"/>
          <w:szCs w:val="18"/>
          <w:color w:val="auto"/>
        </w:rPr>
        <w:t>”), pursuant to which the Company shall indemnify certain directors, officers and/or employees of the Company from certain liabilities as permitted by applicable Law.</w:t>
      </w:r>
    </w:p>
    <w:p>
      <w:pPr>
        <w:spacing w:after="0" w:line="172" w:lineRule="exact"/>
        <w:rPr>
          <w:sz w:val="20"/>
          <w:szCs w:val="20"/>
          <w:color w:val="auto"/>
        </w:rPr>
      </w:pPr>
    </w:p>
    <w:p>
      <w:pPr>
        <w:ind w:left="120" w:right="1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5.15 </w:t>
      </w:r>
      <w:r>
        <w:rPr>
          <w:rFonts w:ascii="Times New Roman" w:cs="Times New Roman" w:eastAsia="Times New Roman" w:hAnsi="Times New Roman"/>
          <w:sz w:val="17"/>
          <w:szCs w:val="17"/>
          <w:b w:val="1"/>
          <w:bCs w:val="1"/>
          <w:u w:val="single" w:color="auto"/>
          <w:color w:val="auto"/>
        </w:rPr>
        <w:t>Post-Closing Directors, Name and Articles</w:t>
      </w:r>
      <w:r>
        <w:rPr>
          <w:rFonts w:ascii="Times New Roman" w:cs="Times New Roman" w:eastAsia="Times New Roman" w:hAnsi="Times New Roman"/>
          <w:sz w:val="17"/>
          <w:szCs w:val="17"/>
          <w:color w:val="auto"/>
        </w:rPr>
        <w:t>. Conditioned upon the occurrence of the Closing, subject to any limitation imposed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applicable Laws and NASDAQ listing requirements, Armada and the Company shall take all actions necessary or appropriate to cause (a) the ten</w:t>
      </w:r>
    </w:p>
    <w:p>
      <w:pPr>
        <w:spacing w:after="0" w:line="1" w:lineRule="exact"/>
        <w:rPr>
          <w:sz w:val="20"/>
          <w:szCs w:val="20"/>
          <w:color w:val="auto"/>
        </w:rPr>
      </w:pPr>
    </w:p>
    <w:p>
      <w:pPr>
        <w:ind w:left="120" w:right="80" w:hanging="4"/>
        <w:spacing w:after="0" w:line="253" w:lineRule="auto"/>
        <w:tabs>
          <w:tab w:leader="none" w:pos="46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individuals identified in accordance with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Company Disclosure Schedules to be elected as members of the Board of Directors of the Company (the “the Company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effective as of the Closing; (b) the Company Pre-IPO Articles of Association to be effective immediately prior to the Company Reorganization; (c) the Company Articles of Association to be effective as of the Closing. In the event that the Aggregate Transaction Proceeds equal or exceed $150m, then John Wagner shall not be elected as a member of the Company Board which shall then consist of nine (9) individuals.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PCAOB Financials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80" w:firstLine="987"/>
        <w:spacing w:after="0" w:line="261" w:lineRule="auto"/>
        <w:tabs>
          <w:tab w:leader="none" w:pos="13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deliver to Armada, (i) as promptly as reasonably practicable (and in any event within 60 days) following the Original Date, the Closing Company Audited Financial Statements, and (ii) as promptly as reasonably practicable following the date of the relevant financial statement or other applicable period, the Other Closing Company Financial Statements, in each case, prepared in accordance with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PCAOB Financials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987"/>
        <w:spacing w:after="0" w:line="256" w:lineRule="auto"/>
        <w:tabs>
          <w:tab w:leader="none" w:pos="136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(i) to assist, upon advance written notice, during normal business hours and in a manner such as to not unreasonably interfere with the normal operation of the Group Companies, Armada in causing to be prepared in a timely manner any other financial information or statements (including customary pro forma financial statements) that are required to be included in the Registration Statement / Proxy Statement and any other filings to be made by Armada with the SEC in connection with the transactions contemplated by this Agreement or any Ancillary Document and (ii) to obtain the consents of its auditors with respect thereto as may be required by applicable Law or requested by the SEC.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b w:val="1"/>
          <w:bCs w:val="1"/>
          <w:u w:val="single" w:color="auto"/>
          <w:color w:val="auto"/>
        </w:rPr>
        <w:t>the Company Incentive Equity Plan; Further Dilution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one day prior to the effectiveness of the Registration Statement / Proxy Statement, the board of directors of the Company and the Armada Board shall each separately approve, and in the case of the Company, adopt an equity incentive plan, with such terms and conditions as mutually agreed to by the Parties at least five (5) Business Days prior to the effectiveness of the Registration Statement / Proxy Statement (the “Company </w:t>
      </w:r>
      <w:r>
        <w:rPr>
          <w:rFonts w:ascii="Times New Roman" w:cs="Times New Roman" w:eastAsia="Times New Roman" w:hAnsi="Times New Roman"/>
          <w:sz w:val="18"/>
          <w:szCs w:val="18"/>
          <w:u w:val="single" w:color="auto"/>
          <w:color w:val="auto"/>
        </w:rPr>
        <w:t>Incentive Equity Plan</w:t>
      </w:r>
      <w:r>
        <w:rPr>
          <w:rFonts w:ascii="Times New Roman" w:cs="Times New Roman" w:eastAsia="Times New Roman" w:hAnsi="Times New Roman"/>
          <w:sz w:val="18"/>
          <w:szCs w:val="18"/>
          <w:color w:val="auto"/>
        </w:rPr>
        <w:t>”), in the manner prescribed under applicable Laws, with such the Company Incentive Equity Plan to be effective as of one day prior to the Closing Date. Notwithstanding the foregoing, the Parties agree and acknowledge that (A) the aggregate number of Company Shares authorized under the Company Incentive Equity Plan shall under no circumstances exceed the Total Pool Percentage, minus (y) the number of Company Shares issued or proposed to be issued in connection with the Additional Issuances (the “</w:t>
      </w:r>
      <w:r>
        <w:rPr>
          <w:rFonts w:ascii="Times New Roman" w:cs="Times New Roman" w:eastAsia="Times New Roman" w:hAnsi="Times New Roman"/>
          <w:sz w:val="18"/>
          <w:szCs w:val="18"/>
          <w:u w:val="single" w:color="auto"/>
          <w:color w:val="auto"/>
        </w:rPr>
        <w:t>Plan Authorized Shares</w:t>
      </w:r>
      <w:r>
        <w:rPr>
          <w:rFonts w:ascii="Times New Roman" w:cs="Times New Roman" w:eastAsia="Times New Roman" w:hAnsi="Times New Roman"/>
          <w:sz w:val="18"/>
          <w:szCs w:val="18"/>
          <w:color w:val="auto"/>
        </w:rPr>
        <w:t xml:space="preserve">”), (B) the Company Incentive Equity Plan will not include any “evergreen” provision or similar provision providing for any increase in the number of Company Shares to be authorized under such plan, (C) the Reissued Options shall be issued following the Closing out of the Plan Authorized Shares and shall not increase the Plan Authorized Shares contemplated pursuant to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under any circumstances (D) one half of the awards available to be made under the Company Incentive Equity Plan pursuant to (A) shall, during 2022 and 2023, be as determined by Daniel Wagner and the remainder by the Board (or the remuneration committee of the Board). The Company and the Key Company Shareholders covenant and agree that for the avoidance of doubt neither Armada nor any of its equity holders or any of their respective affiliates will as at Closing suffer any dilution of their Equity Interests in the Company as a result of any of the Additional Issuances beyond the Total Pool Percentage.</w:t>
      </w:r>
    </w:p>
    <w:p>
      <w:pPr>
        <w:spacing w:after="0" w:line="197"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following June 30, 2023 (and assuming Closing occurs), the Board shall have the right to increase the number of Company Shares reserved under the Company Incentive Plan by up to 5% per annum for each calendar year commencing in and including 2023, subject to appropriate shareholder approval if required by applicable law or the NASDAQ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-313055</wp:posOffset>
            </wp:positionV>
            <wp:extent cx="2857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Employment Agreements and Restrictive Covenant Agreements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20" w:firstLine="987"/>
        <w:spacing w:after="0" w:line="261" w:lineRule="auto"/>
        <w:tabs>
          <w:tab w:leader="none" w:pos="135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Original Date and prior to the Closing, the Company will use commercially reasonable efforts to enter into employment agreements with the Key Employees, on terms and conditions and in form and substance reasonably agreeable to Armada, provided, however, that such agreements shall contain an initial term of at least twelve (12) months following the Closing Date and other terms appropriate for a public company as determined by the Parties (collectively, the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500" w:firstLine="987"/>
        <w:spacing w:after="0" w:line="266" w:lineRule="auto"/>
        <w:tabs>
          <w:tab w:leader="none" w:pos="136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Original Date and prior to the Closing, the Company will enter into customary restrictive covenant agreements with each Key Company Shareholder, on terms and conditions and in form and substance reasonably agreeable to Armada (collectively, the “</w:t>
      </w:r>
      <w:r>
        <w:rPr>
          <w:rFonts w:ascii="Times New Roman" w:cs="Times New Roman" w:eastAsia="Times New Roman" w:hAnsi="Times New Roman"/>
          <w:sz w:val="18"/>
          <w:szCs w:val="18"/>
          <w:u w:val="single" w:color="auto"/>
          <w:color w:val="auto"/>
        </w:rPr>
        <w:t>Restrictive Covenant Agreements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b w:val="1"/>
          <w:bCs w:val="1"/>
          <w:u w:val="single" w:color="auto"/>
          <w:color w:val="auto"/>
        </w:rPr>
        <w:t>Acquisition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b w:val="1"/>
          <w:bCs w:val="1"/>
          <w:u w:val="single" w:color="auto"/>
          <w:color w:val="auto"/>
        </w:rPr>
        <w:t>Transaction Consents</w:t>
      </w:r>
      <w:r>
        <w:rPr>
          <w:rFonts w:ascii="Times New Roman" w:cs="Times New Roman" w:eastAsia="Times New Roman" w:hAnsi="Times New Roman"/>
          <w:sz w:val="18"/>
          <w:szCs w:val="18"/>
          <w:color w:val="auto"/>
        </w:rPr>
        <w:t>. As soon as reasonably practicable following the Original Date and prior to the Closing,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obtain the consents, approvals, filings and/or waivers set forth on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of the Company Disclosure Schedules, in form and substance reasonably acceptable to Armada (the “</w:t>
      </w:r>
      <w:r>
        <w:rPr>
          <w:rFonts w:ascii="Times New Roman" w:cs="Times New Roman" w:eastAsia="Times New Roman" w:hAnsi="Times New Roman"/>
          <w:sz w:val="18"/>
          <w:szCs w:val="18"/>
          <w:u w:val="single" w:color="auto"/>
          <w:color w:val="auto"/>
        </w:rPr>
        <w:t>Pre-Closing Consents</w:t>
      </w:r>
      <w:r>
        <w:rPr>
          <w:rFonts w:ascii="Times New Roman" w:cs="Times New Roman" w:eastAsia="Times New Roman" w:hAnsi="Times New Roman"/>
          <w:sz w:val="18"/>
          <w:szCs w:val="18"/>
          <w:color w:val="auto"/>
        </w:rPr>
        <w:t xml:space="preserve">”). The Company shall promptly inform Armada upon receipt of any such consent, approval, filing or waiver as contemplated by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together with a copy of such consent or waiver.</w:t>
      </w:r>
    </w:p>
    <w:p>
      <w:pPr>
        <w:spacing w:after="0" w:line="176"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b w:val="1"/>
          <w:bCs w:val="1"/>
          <w:u w:val="single" w:color="auto"/>
          <w:color w:val="auto"/>
        </w:rPr>
        <w:t>Company Stockholders’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set forth in this Agreement, the Company shall seek the irrevocable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in form and substance reasonably acceptable to Armada, of holders of the Requisite Approval, as applicable, in favor of the approval and adoption of this Agreement and the Pre-Closing Reorganization and all other transactions contemplated by this Agreement (other than the Pre-Closing Demerger) (the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as soon as reasonably practicable after the date on which the Registration Statement/Proxy Statement is declared effective and in any event within twenty-four (24) hours after Armada notifies the Company of the effectiveness of the Registration Statement/Proxy Statement.</w:t>
      </w:r>
    </w:p>
    <w:p>
      <w:pPr>
        <w:spacing w:after="0" w:line="18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5.22 </w:t>
      </w:r>
      <w:r>
        <w:rPr>
          <w:rFonts w:ascii="Times New Roman" w:cs="Times New Roman" w:eastAsia="Times New Roman" w:hAnsi="Times New Roman"/>
          <w:sz w:val="18"/>
          <w:szCs w:val="18"/>
          <w:b w:val="1"/>
          <w:bCs w:val="1"/>
          <w:u w:val="single" w:color="auto"/>
          <w:color w:val="auto"/>
        </w:rPr>
        <w:t>Post-Closing Transfer of Rezolve USA and Cancellation of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following the Closing, the Parties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reasonably best efforts to effect the acquisition of Rezolve Mobile Commerce Inc., a Delaware corporation and subsidiary of the Company, by the Surviving Company, in exchange for capital stock of the Surviving Company (the “</w:t>
      </w:r>
      <w:r>
        <w:rPr>
          <w:rFonts w:ascii="Times New Roman" w:cs="Times New Roman" w:eastAsia="Times New Roman" w:hAnsi="Times New Roman"/>
          <w:sz w:val="18"/>
          <w:szCs w:val="18"/>
          <w:u w:val="single" w:color="auto"/>
          <w:color w:val="auto"/>
        </w:rPr>
        <w:t>Rezolve USA Consideration</w:t>
      </w:r>
      <w:r>
        <w:rPr>
          <w:rFonts w:ascii="Times New Roman" w:cs="Times New Roman" w:eastAsia="Times New Roman" w:hAnsi="Times New Roman"/>
          <w:sz w:val="18"/>
          <w:szCs w:val="18"/>
          <w:color w:val="auto"/>
        </w:rPr>
        <w:t>”), pursuant to documentation reasonably acceptable to the Parties (the “</w:t>
      </w:r>
      <w:r>
        <w:rPr>
          <w:rFonts w:ascii="Times New Roman" w:cs="Times New Roman" w:eastAsia="Times New Roman" w:hAnsi="Times New Roman"/>
          <w:sz w:val="18"/>
          <w:szCs w:val="18"/>
          <w:u w:val="single" w:color="auto"/>
          <w:color w:val="auto"/>
        </w:rPr>
        <w:t>Rezolve USA Acquisition</w:t>
      </w:r>
      <w:r>
        <w:rPr>
          <w:rFonts w:ascii="Times New Roman" w:cs="Times New Roman" w:eastAsia="Times New Roman" w:hAnsi="Times New Roman"/>
          <w:sz w:val="18"/>
          <w:szCs w:val="18"/>
          <w:color w:val="auto"/>
        </w:rPr>
        <w:t>”). Immediately following the effectiveness of the Rezolve USA Acquisition, the Surviving Company will distribute the Promissory Note to the Company in exchange for the Rezolve USA Consideration, thereby extinguishing it.</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b w:val="1"/>
          <w:bCs w:val="1"/>
          <w:u w:val="single" w:color="auto"/>
          <w:color w:val="auto"/>
        </w:rPr>
        <w:t>Transfer of Ownership in Rezolve Technology S.L.U.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effect the transfer of all of the issued and outstanding Equity Securities of Rezolve Technology S.L.U. (registered in Spain with tax company number B01869775) from the current holder(s) thereof to the Company, so that following such transfer and prior to the Closing, the Spain Subsidiary is wholly owned by the Company pursuant to documentation reasonably acceptable to Armada (the “</w:t>
      </w:r>
      <w:r>
        <w:rPr>
          <w:rFonts w:ascii="Times New Roman" w:cs="Times New Roman" w:eastAsia="Times New Roman" w:hAnsi="Times New Roman"/>
          <w:sz w:val="18"/>
          <w:szCs w:val="18"/>
          <w:u w:val="single" w:color="auto"/>
          <w:color w:val="auto"/>
        </w:rPr>
        <w:t>Spain Subsidiary Transfer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5.24 </w:t>
      </w:r>
      <w:r>
        <w:rPr>
          <w:rFonts w:ascii="Times New Roman" w:cs="Times New Roman" w:eastAsia="Times New Roman" w:hAnsi="Times New Roman"/>
          <w:sz w:val="18"/>
          <w:szCs w:val="18"/>
          <w:b w:val="1"/>
          <w:bCs w:val="1"/>
          <w:u w:val="single" w:color="auto"/>
          <w:color w:val="auto"/>
        </w:rPr>
        <w:t>Transfer of 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Intellectual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domain names set forth on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xml:space="preserve"> of the Company Disclosure Schedules shall be transferred to the applicable member of the Group Companies, pursuant to documentation reasonably acceptable to Armada (the “</w:t>
      </w:r>
      <w:r>
        <w:rPr>
          <w:rFonts w:ascii="Times New Roman" w:cs="Times New Roman" w:eastAsia="Times New Roman" w:hAnsi="Times New Roman"/>
          <w:sz w:val="18"/>
          <w:szCs w:val="18"/>
          <w:u w:val="single" w:color="auto"/>
          <w:color w:val="auto"/>
        </w:rPr>
        <w:t>Pre-Closing IP Transfer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5.25 </w:t>
      </w:r>
      <w:r>
        <w:rPr>
          <w:rFonts w:ascii="Times New Roman" w:cs="Times New Roman" w:eastAsia="Times New Roman" w:hAnsi="Times New Roman"/>
          <w:sz w:val="18"/>
          <w:szCs w:val="18"/>
          <w:b w:val="1"/>
          <w:bCs w:val="1"/>
          <w:u w:val="single" w:color="auto"/>
          <w:color w:val="auto"/>
        </w:rPr>
        <w:t>Transfer of Certain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Company shall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commercially reasonable efforts to transfer the employment of (i) all employees who are currently residing in India from the Company to Rezolve Technology Pvt. Ltd. prior to the Closing, in form and substance reasonably acceptable to Armada, prior to the Closing, in form and substance reasonably acceptable to Armada. The Parties agree and acknowledge that to the extent any such employee’s employment is not transferred pursuant to this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prior to the Closing, the Company shall ensure that such transfers are completed within sixty (60) days following the Closing Date.</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5.26 </w:t>
      </w:r>
      <w:r>
        <w:rPr>
          <w:rFonts w:ascii="Times New Roman" w:cs="Times New Roman" w:eastAsia="Times New Roman" w:hAnsi="Times New Roman"/>
          <w:sz w:val="18"/>
          <w:szCs w:val="18"/>
          <w:b w:val="1"/>
          <w:bCs w:val="1"/>
          <w:u w:val="single" w:color="auto"/>
          <w:color w:val="auto"/>
        </w:rPr>
        <w:t>PIPE Subscription Agreements</w:t>
      </w:r>
      <w:r>
        <w:rPr>
          <w:rFonts w:ascii="Times New Roman" w:cs="Times New Roman" w:eastAsia="Times New Roman" w:hAnsi="Times New Roman"/>
          <w:sz w:val="18"/>
          <w:szCs w:val="18"/>
          <w:color w:val="auto"/>
        </w:rPr>
        <w:t>. Armada and the Company shall each use its reasonable efforts to satisfy the conditions of the PIPE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closing obligations contained in the PIPE Subscription Agreement (if any), and consummate the transactions contemplated thereby. Armada and the Company shall not permit any amendment or modification to be made to, or any waiver of any provision or remedy under, or any replacements or terminations of, the PIPE Subscription Agreement (if any) in any manner other than (a) as expressly provided for by the terms of the PIPE Subscription Agreement, or (b) to reflect any permitted assignments or transfers of the PIPE Subscription Agreement by the PIPE Investors pursuant to the PIPE Subscription Agreement, without the prior written consent of the Company (such consent not to be unreasonably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withheld, conditioned or delayed). The Company and Armada shall use their respective reasonable efforts prior to the Closing to procure one or more further investors to enter into PIPE Subscription Agreement(s) with Armada and the Company for the PIPE Financing in form and substance reasonably satisfactory to the Parties.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TO CONSUMMATION OF THE CLOSING</w:t>
      </w:r>
    </w:p>
    <w:p>
      <w:pPr>
        <w:spacing w:after="0" w:line="203"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Conditions to the Obligations of the Parties</w:t>
      </w:r>
      <w:r>
        <w:rPr>
          <w:rFonts w:ascii="Times New Roman" w:cs="Times New Roman" w:eastAsia="Times New Roman" w:hAnsi="Times New Roman"/>
          <w:sz w:val="18"/>
          <w:szCs w:val="18"/>
          <w:color w:val="auto"/>
        </w:rPr>
        <w:t>. The obligations of the Parties to consummate the Closing are subject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if permitted by applicable Law, waiver in writing by the Party for whose benefit such condition exists of the following conditions:</w:t>
      </w:r>
    </w:p>
    <w:p>
      <w:pPr>
        <w:spacing w:after="0" w:line="159" w:lineRule="exact"/>
        <w:rPr>
          <w:sz w:val="20"/>
          <w:szCs w:val="20"/>
          <w:color w:val="auto"/>
        </w:rPr>
      </w:pPr>
    </w:p>
    <w:p>
      <w:pPr>
        <w:ind w:left="120" w:right="420" w:firstLine="987"/>
        <w:spacing w:after="0" w:line="282" w:lineRule="auto"/>
        <w:tabs>
          <w:tab w:leader="none" w:pos="135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Law issued by any court of competent jurisdiction or other Governmental Entity or other legal restraint or prohibition preventing the consummation of the transactions contemplated by this Agreement shall be in effect;</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 Proxy Statement shall have been filed and will be effective in accordance with the provisions of the Securities Act as of the Closing, no stop order shall have been issued by the SEC and shall remain in effect with respect to the Registration Statement / Proxy Statement, and no Proceeding seeking such a stop order shall have been threatened in writing or initiated by the SEC and remain pending;</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Armada Shareholder Approval shall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 Closing Demerger, Company Reorganization and the Merger shall have occurred;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Incentive Equity Plan shall be effective at Closing;</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3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set forth on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of the Armada Disclosure Schedules shall have been obtained (or deemed, by applicable Law, to have been obtained), as applicable;</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filings under any Antitrust Law shall have been completed and any applicable waiting period (and any extension thereof) applicable to the consummation of the transactions contemplated by this Agreement under any applicable Antitrust Law shall have expired or been terminated, and any pre-Closing reviews, approvals or clearances reasonably required thereunder, or by the NASDAQ or any other Governmental Authority shall have been completed or obtained;</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Company Securities to be issued pursuant to this Agreement shall have been approved for listing on NASDAQ, subject to official notice of the issuance thereof;</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2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transactions contemplated hereby (including the Company Reorganization, the PIPE Financing, the Merger and the Promissory Note), the Company shall have at least $5,000,001 of net tangible assets (as determined in accordance with Rule 3a51-1(g)(1) of the Exchange Act) immediately after the Closing;</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Company Fundamental Representations shall be true and correct in all material respects as of the Original Date and as of the Second Amendment Date in relation to the Original Company and as of the Closing Date in relation to the New Company (without giving effect to any limitation as to “materiality” or “Company Material Adverse Effect” or any similar limitation set forth herein), as though (in the latter case)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Company (other than the representations and warranties contemplated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shall be true and correct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(without giving effect to any limitation as to “materiality” or “Company Material Adverse Effect” or any similar limitation set forth herein) in all respects as of the Original Date and as of the Second Amendment Date in relation to the Original Company and as of the Closing Date in relation to the New Company as though (in the latter case)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83" w:lineRule="exact"/>
        <w:rPr>
          <w:sz w:val="20"/>
          <w:szCs w:val="20"/>
          <w:color w:val="auto"/>
        </w:rPr>
      </w:pPr>
    </w:p>
    <w:p>
      <w:pPr>
        <w:ind w:left="120" w:right="120" w:firstLine="987"/>
        <w:spacing w:after="0" w:line="282" w:lineRule="auto"/>
        <w:tabs>
          <w:tab w:leader="none" w:pos="136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the covenants and agreements required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2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have not been called-in for review by the Government under the National Security and Investment Act 2021 (“NSI Act”) indicating that the Transaction may rise national security issues (the “</w:t>
      </w:r>
      <w:r>
        <w:rPr>
          <w:rFonts w:ascii="Times New Roman" w:cs="Times New Roman" w:eastAsia="Times New Roman" w:hAnsi="Times New Roman"/>
          <w:sz w:val="18"/>
          <w:szCs w:val="18"/>
          <w:b w:val="1"/>
          <w:bCs w:val="1"/>
          <w:color w:val="auto"/>
        </w:rPr>
        <w:t>call-in notice</w:t>
      </w:r>
      <w:r>
        <w:rPr>
          <w:rFonts w:ascii="Times New Roman" w:cs="Times New Roman" w:eastAsia="Times New Roman" w:hAnsi="Times New Roman"/>
          <w:sz w:val="18"/>
          <w:szCs w:val="18"/>
          <w:color w:val="auto"/>
        </w:rPr>
        <w:t>”). For the avoidance of doubt, in the event a call-in notice is served on the Company by the UK Secretary of State in the period prior to Closing, this condition shall nonetheless be satisfied if the Secretary of State either: (a) gives a final notification confirming that no further action will be taken in relation to Transaction under the NSI Act; or (b) makes a final order permitting the Transactions to proceed subject only to such remedies or requirements that are in all respects acceptable to Armada and the Company, and such order not being revoked or varied before Closing;</w:t>
      </w:r>
    </w:p>
    <w:p>
      <w:pPr>
        <w:spacing w:after="0" w:line="187"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Original Date, no Company Material Adverse Effect shall have occurred;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have delivered, or caused to be delivered, the following documents to Armada:</w:t>
      </w:r>
    </w:p>
    <w:p>
      <w:pPr>
        <w:spacing w:after="0" w:line="225" w:lineRule="exact"/>
        <w:rPr>
          <w:rFonts w:ascii="Times New Roman" w:cs="Times New Roman" w:eastAsia="Times New Roman" w:hAnsi="Times New Roman"/>
          <w:sz w:val="18"/>
          <w:szCs w:val="18"/>
          <w:color w:val="auto"/>
        </w:rPr>
      </w:pPr>
    </w:p>
    <w:p>
      <w:pPr>
        <w:ind w:left="1100" w:right="60" w:firstLine="910"/>
        <w:spacing w:after="0" w:line="266" w:lineRule="auto"/>
        <w:tabs>
          <w:tab w:leader="none" w:pos="2217"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officer of the Company, dated as of the Closing Date, to the effect that the conditions specified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6.1(l)</w:t>
      </w:r>
      <w:r>
        <w:rPr>
          <w:rFonts w:ascii="Times New Roman" w:cs="Times New Roman" w:eastAsia="Times New Roman" w:hAnsi="Times New Roman"/>
          <w:sz w:val="18"/>
          <w:szCs w:val="18"/>
          <w:color w:val="auto"/>
        </w:rPr>
        <w:t xml:space="preserve"> and 6.1(m) are satisfied, in a form and substance reasonably satisfactory to the Company; and</w:t>
      </w:r>
    </w:p>
    <w:p>
      <w:pPr>
        <w:spacing w:after="0" w:line="175"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the Company, Armada and the Sponsor.</w:t>
      </w:r>
    </w:p>
    <w:p>
      <w:pPr>
        <w:spacing w:after="0" w:line="221"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Other Conditions to the Obligations of Armada</w:t>
      </w:r>
      <w:r>
        <w:rPr>
          <w:rFonts w:ascii="Times New Roman" w:cs="Times New Roman" w:eastAsia="Times New Roman" w:hAnsi="Times New Roman"/>
          <w:sz w:val="18"/>
          <w:szCs w:val="18"/>
          <w:color w:val="auto"/>
        </w:rPr>
        <w:t>. The obligations of Armada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if permitted by applicable Law, waiver in writing by Armada of the following further conditions:</w:t>
      </w:r>
    </w:p>
    <w:p>
      <w:pPr>
        <w:spacing w:after="0" w:line="159" w:lineRule="exact"/>
        <w:rPr>
          <w:sz w:val="20"/>
          <w:szCs w:val="20"/>
          <w:color w:val="auto"/>
        </w:rPr>
      </w:pPr>
    </w:p>
    <w:p>
      <w:pPr>
        <w:ind w:left="1360" w:hanging="253"/>
        <w:spacing w:after="0"/>
        <w:tabs>
          <w:tab w:leader="none" w:pos="13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have delivered, or caused to be delivered, to Armada the following documents:</w:t>
      </w:r>
    </w:p>
    <w:p>
      <w:pPr>
        <w:spacing w:after="0" w:line="225" w:lineRule="exact"/>
        <w:rPr>
          <w:rFonts w:ascii="Times New Roman" w:cs="Times New Roman" w:eastAsia="Times New Roman" w:hAnsi="Times New Roman"/>
          <w:sz w:val="18"/>
          <w:szCs w:val="18"/>
          <w:color w:val="auto"/>
        </w:rPr>
      </w:pPr>
    </w:p>
    <w:p>
      <w:pPr>
        <w:ind w:left="2220" w:hanging="210"/>
        <w:spacing w:after="0"/>
        <w:tabs>
          <w:tab w:leader="none" w:pos="222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applicable parties thereto;</w:t>
      </w:r>
    </w:p>
    <w:p>
      <w:pPr>
        <w:spacing w:after="0" w:line="225"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Agreement, duly executed by the Company.</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 Agreements shall have been duly executed by the applicable parties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Promissory Note shall have been duly executed by the applicable parties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timely delivered to Armada the PCAOB Financials;</w:t>
      </w:r>
    </w:p>
    <w:p>
      <w:pPr>
        <w:spacing w:after="0" w:line="225"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Contracts listed on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of the Company Disclosure Schedules shall have been terminated, including for the avoidance of doubt, the Company Shareholder Agreement, in form and substance reasonably acceptable to Armada;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5" w:right="47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40" w:hanging="233"/>
        <w:spacing w:after="0"/>
        <w:tabs>
          <w:tab w:leader="none" w:pos="134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Consent shall have been received by Armada in accordance with the provisions of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6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those persons identified as continuing directors and officers on </w:t>
      </w:r>
      <w:r>
        <w:rPr>
          <w:rFonts w:ascii="Times New Roman" w:cs="Times New Roman" w:eastAsia="Times New Roman" w:hAnsi="Times New Roman"/>
          <w:sz w:val="18"/>
          <w:szCs w:val="18"/>
          <w:u w:val="single" w:color="auto"/>
          <w:color w:val="auto"/>
        </w:rPr>
        <w:t>Schedule 6.2(g)</w:t>
      </w:r>
      <w:r>
        <w:rPr>
          <w:rFonts w:ascii="Times New Roman" w:cs="Times New Roman" w:eastAsia="Times New Roman" w:hAnsi="Times New Roman"/>
          <w:sz w:val="18"/>
          <w:szCs w:val="18"/>
          <w:color w:val="auto"/>
        </w:rPr>
        <w:t xml:space="preserve"> of the Company Disclosure Schedules, all members of the board of directors, board of managers or similar governing body of each member of the Group Companies shall have executed written resignations in form and substance reasonably acceptable to Armada, effective as of the Closing Date.</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have caused the Company Board to consist of those individuals set forth on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Company Disclosure Schedules, effective as of the Closing;</w:t>
      </w:r>
    </w:p>
    <w:p>
      <w:pPr>
        <w:spacing w:after="0" w:line="161"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Pre-IPO Articles of Association shall be adopted on or immediately prior to the Company Reorganization, and (B) the Company Articles of Association in a form that is in all material respects the same as those appended at Exhibit F to this Agreement.(which supersede and replace the form of articles of association set out at Appendix 1 of the amendment deed on the First Amendment Deed) shall be filed and adopted effective as of the Closing.</w:t>
      </w:r>
    </w:p>
    <w:p>
      <w:pPr>
        <w:spacing w:after="0" w:line="179"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Consents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Spain Subsidiary Transfer shall have occurred;</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2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Rezolve Technology S.L.U. (registered in Spain with tax company number B01869775), Rezolve Technology India) Privte Ltd (registered in India with company number CIN – U72900PN2021PTC199649), Rezolve Mobile Commerce Inc. (registered in the United States with company number 20162420380, previously known as Mobizar, Inc.), shall be wholly-owned subsidiaries of the Company after completion of the Pre Closing Demerger, pursuant to documentation and evidence reasonably acceptable to Armada; and</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41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Confirmation and evidence that all options to purchase Equity Securities of the Company or rights to receive such options as listed </w:t>
      </w:r>
      <w:r>
        <w:rPr>
          <w:rFonts w:ascii="Times New Roman" w:cs="Times New Roman" w:eastAsia="Times New Roman" w:hAnsi="Times New Roman"/>
          <w:sz w:val="18"/>
          <w:szCs w:val="18"/>
          <w:u w:val="single" w:color="auto"/>
          <w:color w:val="auto"/>
        </w:rPr>
        <w:t>Schedule 3.2</w:t>
      </w:r>
      <w:r>
        <w:rPr>
          <w:rFonts w:ascii="Times New Roman" w:cs="Times New Roman" w:eastAsia="Times New Roman" w:hAnsi="Times New Roman"/>
          <w:sz w:val="18"/>
          <w:szCs w:val="18"/>
          <w:color w:val="auto"/>
        </w:rPr>
        <w:t xml:space="preserve"> of the Company Disclosure Schedule or otherwise (collectively, the “</w:t>
      </w:r>
      <w:r>
        <w:rPr>
          <w:rFonts w:ascii="Times New Roman" w:cs="Times New Roman" w:eastAsia="Times New Roman" w:hAnsi="Times New Roman"/>
          <w:sz w:val="18"/>
          <w:szCs w:val="18"/>
          <w:u w:val="single" w:color="auto"/>
          <w:color w:val="auto"/>
        </w:rPr>
        <w:t>Promised Options</w:t>
      </w:r>
      <w:r>
        <w:rPr>
          <w:rFonts w:ascii="Times New Roman" w:cs="Times New Roman" w:eastAsia="Times New Roman" w:hAnsi="Times New Roman"/>
          <w:sz w:val="18"/>
          <w:szCs w:val="18"/>
          <w:color w:val="auto"/>
        </w:rPr>
        <w:t>”) have been rescinded and terminated in full and each such recipient of Promised Options shall have signed a customary release relating to such termination, pursuant to documentation and in form and substance reasonably acceptable to Armada; and</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IP Transfer should have occurred.</w:t>
      </w:r>
    </w:p>
    <w:p>
      <w:pPr>
        <w:spacing w:after="0" w:line="221"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Other Conditions to the Obligations of the Company</w:t>
      </w:r>
      <w:r>
        <w:rPr>
          <w:rFonts w:ascii="Times New Roman" w:cs="Times New Roman" w:eastAsia="Times New Roman" w:hAnsi="Times New Roman"/>
          <w:sz w:val="18"/>
          <w:szCs w:val="18"/>
          <w:color w:val="auto"/>
        </w:rPr>
        <w:t>. The obligations of the Company to consummate the Closing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satisfaction or, if permitted by applicable Law, waiver in writing by the Company of the following further conditions:</w:t>
      </w:r>
    </w:p>
    <w:p>
      <w:pPr>
        <w:spacing w:after="0" w:line="159" w:lineRule="exact"/>
        <w:rPr>
          <w:sz w:val="20"/>
          <w:szCs w:val="20"/>
          <w:color w:val="auto"/>
        </w:rPr>
      </w:pPr>
    </w:p>
    <w:p>
      <w:pPr>
        <w:ind w:left="120" w:right="20" w:firstLine="987"/>
        <w:spacing w:after="0" w:line="254" w:lineRule="auto"/>
        <w:tabs>
          <w:tab w:leader="none" w:pos="135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Armada Fundamental Representations shall be true and correct in all material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Armada (other than the representations and warranties contemplated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(without giving effect to any limitation as to “materiality” or “Armada Material Adverse Effect” or any similar limitation set forth herein) in all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Armada Material Adverse Effect;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20"/>
          </w:cols>
          <w:pgMar w:left="320" w:top="455" w:right="45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987"/>
        <w:spacing w:after="0" w:line="282" w:lineRule="auto"/>
        <w:tabs>
          <w:tab w:leader="none" w:pos="136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have performed and complied in all material respects with the covenants and agreements required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Armada shall have delivered, or caused to be delivered, the following documents to the Company:</w:t>
      </w:r>
    </w:p>
    <w:p>
      <w:pPr>
        <w:spacing w:after="0" w:line="225" w:lineRule="exact"/>
        <w:rPr>
          <w:rFonts w:ascii="Times New Roman" w:cs="Times New Roman" w:eastAsia="Times New Roman" w:hAnsi="Times New Roman"/>
          <w:sz w:val="18"/>
          <w:szCs w:val="18"/>
          <w:color w:val="auto"/>
        </w:rPr>
      </w:pPr>
    </w:p>
    <w:p>
      <w:pPr>
        <w:ind w:left="1100" w:right="280" w:firstLine="910"/>
        <w:spacing w:after="0" w:line="282" w:lineRule="auto"/>
        <w:tabs>
          <w:tab w:leader="none" w:pos="2217"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officer of Armada, dated as of the Closing Date, to the effect that the conditions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are satisfied, in a form and substance reasonably satisfactory to the Company;</w:t>
      </w:r>
    </w:p>
    <w:p>
      <w:pPr>
        <w:spacing w:after="0" w:line="161"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Agreement, duly executed by Armada and the Exchange Agent;</w:t>
      </w:r>
    </w:p>
    <w:p>
      <w:pPr>
        <w:spacing w:after="0" w:line="225"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Armada and the Sponsor; and</w:t>
      </w:r>
    </w:p>
    <w:p>
      <w:pPr>
        <w:spacing w:after="0" w:line="225" w:lineRule="exact"/>
        <w:rPr>
          <w:rFonts w:ascii="Times New Roman" w:cs="Times New Roman" w:eastAsia="Times New Roman" w:hAnsi="Times New Roman"/>
          <w:sz w:val="18"/>
          <w:szCs w:val="18"/>
          <w:color w:val="auto"/>
        </w:rPr>
      </w:pPr>
    </w:p>
    <w:p>
      <w:pPr>
        <w:ind w:left="1100" w:firstLine="910"/>
        <w:spacing w:after="0" w:line="266" w:lineRule="auto"/>
        <w:tabs>
          <w:tab w:leader="none" w:pos="2307"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executed certification that Armada Shares are not “U.S. real property interests” in accordance with the Treasury Regulations under Sections 897 and 1445 of the Code, together with a notice to the IRS (which shall be filed by Armada with the IRS following the Closing) in accordance with the provisions of Section 1.897-2(h)(2) of the Treasury Regulations.</w:t>
      </w:r>
    </w:p>
    <w:p>
      <w:pPr>
        <w:spacing w:after="0" w:line="17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6.4 Frustration of Closing Conditions</w:t>
      </w:r>
      <w:r>
        <w:rPr>
          <w:rFonts w:ascii="Times New Roman" w:cs="Times New Roman" w:eastAsia="Times New Roman" w:hAnsi="Times New Roman"/>
          <w:sz w:val="18"/>
          <w:szCs w:val="18"/>
          <w:color w:val="auto"/>
        </w:rPr>
        <w:t>. The Company may not rely on the failure of any condition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satisfied if such failure was proximately caused by the Company’s failure to comply with or perform any of its covenants or obligations set forth in this Agreement. Armada may not rely on the failure of any condition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if such failure was proximately caused by Armada’s failure to comply with or perform any of its covenants or obligations set forth in this Agreement.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by this Agreement may be abandoned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prior to the Closing:</w:t>
      </w:r>
    </w:p>
    <w:p>
      <w:pPr>
        <w:spacing w:after="0" w:line="159" w:lineRule="exact"/>
        <w:rPr>
          <w:sz w:val="20"/>
          <w:szCs w:val="20"/>
          <w:color w:val="auto"/>
        </w:rPr>
      </w:pPr>
    </w:p>
    <w:p>
      <w:pPr>
        <w:ind w:left="1360" w:hanging="253"/>
        <w:spacing w:after="0"/>
        <w:tabs>
          <w:tab w:leader="none" w:pos="136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Armada and the Company;</w:t>
      </w:r>
    </w:p>
    <w:p>
      <w:pPr>
        <w:spacing w:after="0" w:line="22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Armada, if any of the representations or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not be true and correct or if the Original Company in respect of the period up to and including the date of completion of the Pre Closing Demerger and/or the New Company in respect of the period after completion of the Pre Closing Demerger (as applicable) has failed to perform any covenant or agreement on the part of the Original Company and/or the Company (as applicable) set forth in this Agreement (including an obligation to consummate the Closing when required by this Agreement), in each case, such that the condition to Closing set forth in either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Armada,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Armada may not exercise its right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Armada is then in breach of this Agreement so as to prevent the condition to Closing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from being satisfied;</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5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representations or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be true and correct or if Armada has failed to perform any covenant or agreement on the part of Armada set forth in this Agreement (including an obligation to consummate the Closing when required by this Agreement), in each case, such that the condition to Closing set forth in either </w:t>
      </w:r>
      <w:r>
        <w:rPr>
          <w:rFonts w:ascii="Times New Roman" w:cs="Times New Roman" w:eastAsia="Times New Roman" w:hAnsi="Times New Roman"/>
          <w:sz w:val="18"/>
          <w:szCs w:val="18"/>
          <w:u w:val="single" w:color="auto"/>
          <w:color w:val="auto"/>
        </w:rPr>
        <w:t>Section 6.3(a) or Section 6.3(b)</w:t>
      </w:r>
      <w:r>
        <w:rPr>
          <w:rFonts w:ascii="Times New Roman" w:cs="Times New Roman" w:eastAsia="Times New Roman" w:hAnsi="Times New Roman"/>
          <w:sz w:val="18"/>
          <w:szCs w:val="18"/>
          <w:color w:val="auto"/>
        </w:rPr>
        <w:t xml:space="preserve"> would not be satisfied and the breach or breaches causing such representations or warranties not to be true and correct, or the failures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00"/>
          </w:cols>
          <w:pgMar w:left="320" w:top="455" w:right="47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perform any covenant or agreement, as applicable, is (or are) not cured or cannot be cured within the earlier of (i) thirty (30) days after written notice thereof is delivered to Armada by the Company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may not exercise its rights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if it is then in breach of this Agreement so as to prevent the condition to Closing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Section 6.1(k)</w:t>
      </w:r>
      <w:r>
        <w:rPr>
          <w:rFonts w:ascii="Times New Roman" w:cs="Times New Roman" w:eastAsia="Times New Roman" w:hAnsi="Times New Roman"/>
          <w:sz w:val="18"/>
          <w:szCs w:val="18"/>
          <w:color w:val="auto"/>
        </w:rPr>
        <w:t xml:space="preserve"> from being satisfied;</w:t>
      </w:r>
    </w:p>
    <w:p>
      <w:pPr>
        <w:spacing w:after="0" w:line="180" w:lineRule="exact"/>
        <w:rPr>
          <w:sz w:val="20"/>
          <w:szCs w:val="20"/>
          <w:color w:val="auto"/>
        </w:rPr>
      </w:pPr>
    </w:p>
    <w:p>
      <w:pPr>
        <w:ind w:left="120" w:right="60" w:firstLine="987"/>
        <w:spacing w:after="0" w:line="254" w:lineRule="auto"/>
        <w:tabs>
          <w:tab w:leader="none" w:pos="136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the transactions contemplated by this Agreement shall not have been consummated on or prior to fifteen (15) days prior to the last date on which Armada may consummate a Business Combination, as defined in and pursuant to the Second Amended and Restated Certificate of Incorporation of Armada, as approved or extended by the stockholders of Armada from time to time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Armada if Armada’s breach of any of its covenants or obligations under this Agreement shall have primarily caused the failure to consummate the transactions contemplated by this Agreement on or before the Termination Date, and (ii)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the Company if the Company’s breach of its covenants or obligations under this Agreement shall have primarily caused the failure to consummate the transactions contemplated by this Agreement on or before the Termination Date;</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any Governmental Entity having competent jurisdiction shall have issued an Order or taken any other action permanently enjoining, restraining or otherwise prohibiting the transactions contemplated by this Agreement and such Order or action shall have become final and non-appealable;</w:t>
      </w:r>
    </w:p>
    <w:p>
      <w:pPr>
        <w:spacing w:after="0" w:line="175"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3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the Armada Shareholders Meeting has been held (including any adjournment or postponement thereof), has concluded, Armada’s shareholders have duly voted and the Armada Shareholder Approval was not obtained;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Armada if the Company shall have failed to deliver the Written Consent to Armada in accordance with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of this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the PCAOB Financial Statements shall not have been delivered to Armada by the Company on or before the date that is sixty (60) days from the Original Date; or</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Armada after service of a Determination Notice.</w:t>
      </w:r>
    </w:p>
    <w:p>
      <w:pPr>
        <w:spacing w:after="0" w:line="2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the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this entire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forthwith become void (and there shall be no Liability or obligation on the part of the Parties and their respective Representatives) with the exception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which shall terminate other than to the extent related to a surviving provision of this Agreement) and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(to the extent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its terms. Notwithstanding the foregoing or anything to the contrary herein, the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affect any Liability on the part of any Party for its willful and material breach of any covenant or agreement set forth in this Agreement prior to such termination or its fraud.</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Non-Survival</w:t>
      </w:r>
      <w:r>
        <w:rPr>
          <w:rFonts w:ascii="Times New Roman" w:cs="Times New Roman" w:eastAsia="Times New Roman" w:hAnsi="Times New Roman"/>
          <w:sz w:val="18"/>
          <w:szCs w:val="18"/>
          <w:color w:val="auto"/>
        </w:rPr>
        <w:t>. The representations, warranties, agreements and covenants in this Agreement of the Parties and in the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6.1(n)(i)</w:t>
      </w:r>
      <w:r>
        <w:rPr>
          <w:rFonts w:ascii="Times New Roman" w:cs="Times New Roman" w:eastAsia="Times New Roman" w:hAnsi="Times New Roman"/>
          <w:sz w:val="18"/>
          <w:szCs w:val="18"/>
          <w:color w:val="auto"/>
        </w:rPr>
        <w:t xml:space="preserve"> and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00"/>
          </w:cols>
          <w:pgMar w:left="320" w:top="455" w:right="47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6.3(c)(i)</w:t>
      </w:r>
      <w:r>
        <w:rPr>
          <w:rFonts w:ascii="Times New Roman" w:cs="Times New Roman" w:eastAsia="Times New Roman" w:hAnsi="Times New Roman"/>
          <w:sz w:val="18"/>
          <w:szCs w:val="18"/>
          <w:color w:val="auto"/>
        </w:rPr>
        <w:t xml:space="preserve"> shall terminate at the Closing, except for (a) those covenants and agreements that, by their terms, expressly contemplate performance in whole or in part after the Closing and (b)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which shall terminate other than to the extent related to a surviving provision of this Agreement) and any corresponding definitions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which shall survive the Closing until they have been performed or satisfied.</w:t>
      </w:r>
    </w:p>
    <w:p>
      <w:pPr>
        <w:spacing w:after="0" w:line="17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8.2 </w:t>
      </w:r>
      <w:r>
        <w:rPr>
          <w:rFonts w:ascii="Times New Roman" w:cs="Times New Roman" w:eastAsia="Times New Roman" w:hAnsi="Times New Roman"/>
          <w:sz w:val="17"/>
          <w:szCs w:val="17"/>
          <w:b w:val="1"/>
          <w:bCs w:val="1"/>
          <w:u w:val="single" w:color="auto"/>
          <w:color w:val="auto"/>
        </w:rPr>
        <w:t>Entire Agreement; Assignment</w:t>
      </w:r>
      <w:r>
        <w:rPr>
          <w:rFonts w:ascii="Times New Roman" w:cs="Times New Roman" w:eastAsia="Times New Roman" w:hAnsi="Times New Roman"/>
          <w:sz w:val="17"/>
          <w:szCs w:val="17"/>
          <w:color w:val="auto"/>
        </w:rPr>
        <w:t>. This Agreement (together with the Ancillary Documents including any exhibits and schedules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attached hereto or thereto) constitutes the entire agreement 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Armada and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following the Closing, the prior written consent of the Sponsor shall be required for any assignment with respect to any continuing rights or obligations of the Sponsor under the Agreement. Any attempted assignment of this Agreement not in accordance with the terms of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be void.</w:t>
      </w:r>
    </w:p>
    <w:p>
      <w:pPr>
        <w:spacing w:after="0" w:line="16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or modified only by a written agreement executed and delivered by Armada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provided, however, that following the Closing, the written agreement of the Sponsor shall be required for any amendment with respect to any continuing rights or obligations of the Sponsor or the Armada D&amp;O Persons under this Agreement. This Agreement may not be modified or amended except as provided in the immediately preceding sentence and any purported amendment by any Party or Parties effected in a manner which does not comply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not limit the rights or obligations of any person under any Transaction Support Agreement.</w:t>
      </w:r>
    </w:p>
    <w:p>
      <w:pPr>
        <w:spacing w:after="0" w:line="18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8.4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in writing and shall be given (and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92" w:lineRule="exact"/>
        <w:rPr>
          <w:sz w:val="20"/>
          <w:szCs w:val="20"/>
          <w:color w:val="auto"/>
        </w:rPr>
      </w:pPr>
    </w:p>
    <w:p>
      <w:pPr>
        <w:ind w:left="1540" w:hanging="439"/>
        <w:spacing w:after="0"/>
        <w:tabs>
          <w:tab w:leader="none" w:pos="154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Armada,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 Armada Acquisition Corp. I</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1760 Market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Suite 612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Doug Lurio and Stephen Herbert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dlurio@luriolaw.com; sherbert@suncvllc.com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1201 W Peachtree St NE #2800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Gerry Williams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gerry.williams@dlapiper.com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00"/>
          </w:cols>
          <w:pgMar w:left="320" w:top="455" w:right="47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tabs>
          <w:tab w:leader="none" w:pos="154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Original Company,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Rezolve Ltd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Taylor Wessing</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r.fenner@taylorwessing.com</w:t>
      </w:r>
    </w:p>
    <w:p>
      <w:pPr>
        <w:spacing w:after="0" w:line="234" w:lineRule="exact"/>
        <w:rPr>
          <w:sz w:val="20"/>
          <w:szCs w:val="20"/>
          <w:color w:val="auto"/>
        </w:rPr>
      </w:pPr>
    </w:p>
    <w:p>
      <w:pPr>
        <w:ind w:left="1540" w:hanging="439"/>
        <w:spacing w:after="0"/>
        <w:tabs>
          <w:tab w:leader="none" w:pos="154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Rezolve AI Ltd (to be renamed Rezolve AI PLC)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Taylor Wessing</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r.fenner@taylorwessing.com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221"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any choice of law or conflict of law provision or rule (whether of the State of Delaware or any other jurisdiction) that would cause the application of the law of any jurisdiction other than the State of Delaware (except that the Companies Act 2006 and related and other applicable UK legislation shall also apply to the Company Reorganization and to the Pre-Closing Demerger and to the extent applicable to actions taken by the Company hereunder).</w:t>
      </w:r>
    </w:p>
    <w:p>
      <w:pPr>
        <w:spacing w:after="0" w:line="179"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8.6 </w:t>
      </w:r>
      <w:r>
        <w:rPr>
          <w:rFonts w:ascii="Times New Roman" w:cs="Times New Roman" w:eastAsia="Times New Roman" w:hAnsi="Times New Roman"/>
          <w:sz w:val="17"/>
          <w:szCs w:val="17"/>
          <w:b w:val="1"/>
          <w:bCs w:val="1"/>
          <w:u w:val="single" w:color="auto"/>
          <w:color w:val="auto"/>
        </w:rPr>
        <w:t>Fees and Expenses</w:t>
      </w:r>
      <w:r>
        <w:rPr>
          <w:rFonts w:ascii="Times New Roman" w:cs="Times New Roman" w:eastAsia="Times New Roman" w:hAnsi="Times New Roman"/>
          <w:sz w:val="17"/>
          <w:szCs w:val="17"/>
          <w:color w:val="auto"/>
        </w:rPr>
        <w:t>. Except as otherwise set forth in this Agreement, all fees and expenses incurred in connection with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(a) if this Agreement is</w:t>
      </w:r>
    </w:p>
    <w:p>
      <w:pPr>
        <w:spacing w:after="0" w:line="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0980"/>
          </w:cols>
          <w:pgMar w:left="320" w:top="455" w:right="59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terminated in accordance with its terms, the Company shall pay, or cause to be paid, all Unpaid Company Expenses and Armada shall pay, or cause to be paid, all Unpaid Armada Expenses, and (b) if the Closing occurs, then the Company shall pay, or cause to be paid, all Unpaid Company Expenses and Unpaid Armada Expenses.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8.7 </w:t>
      </w:r>
      <w:r>
        <w:rPr>
          <w:rFonts w:ascii="Times New Roman" w:cs="Times New Roman" w:eastAsia="Times New Roman" w:hAnsi="Times New Roman"/>
          <w:sz w:val="18"/>
          <w:szCs w:val="18"/>
          <w:b w:val="1"/>
          <w:bCs w:val="1"/>
          <w:u w:val="single" w:color="auto"/>
          <w:color w:val="auto"/>
        </w:rPr>
        <w:t>Construction; Interpretation</w:t>
      </w:r>
      <w:r>
        <w:rPr>
          <w:rFonts w:ascii="Times New Roman" w:cs="Times New Roman" w:eastAsia="Times New Roman" w:hAnsi="Times New Roman"/>
          <w:sz w:val="18"/>
          <w:szCs w:val="18"/>
          <w:color w:val="auto"/>
        </w:rPr>
        <w:t>. The term “this Agreement” means this Business Combination Agreement together with the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w:t>
      </w:r>
    </w:p>
    <w:p>
      <w:pPr>
        <w:spacing w:after="0" w:line="1" w:lineRule="exact"/>
        <w:rPr>
          <w:sz w:val="20"/>
          <w:szCs w:val="20"/>
          <w:color w:val="auto"/>
        </w:rPr>
      </w:pPr>
    </w:p>
    <w:p>
      <w:pPr>
        <w:ind w:left="120" w:right="20" w:hanging="4"/>
        <w:spacing w:after="0" w:line="265" w:lineRule="auto"/>
        <w:tabs>
          <w:tab w:leader="none" w:pos="375"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w:t>
      </w:r>
    </w:p>
    <w:p>
      <w:pPr>
        <w:ind w:left="120" w:right="20" w:hanging="4"/>
        <w:spacing w:after="0" w:line="251" w:lineRule="auto"/>
        <w:tabs>
          <w:tab w:leader="none" w:pos="37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“provided”, “delivered” or “made available” or words of similar import (regardless of whether capitalized or not) shall mean, when used with reference to documents or other materials required to be provided or made available to Armada, any documents or other materials posted to the electronic data room located at datasite.com under the project name “Volante” as of 5:00 p.m., Eastern Time, at least one (1) Business Day prior to the Original Date;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8.8 </w:t>
      </w:r>
      <w:r>
        <w:rPr>
          <w:rFonts w:ascii="Times New Roman" w:cs="Times New Roman" w:eastAsia="Times New Roman" w:hAnsi="Times New Roman"/>
          <w:sz w:val="18"/>
          <w:szCs w:val="18"/>
          <w:b w:val="1"/>
          <w:bCs w:val="1"/>
          <w:u w:val="single" w:color="auto"/>
          <w:color w:val="auto"/>
        </w:rPr>
        <w:t>Exhibits and Schedules</w:t>
      </w:r>
      <w:r>
        <w:rPr>
          <w:rFonts w:ascii="Times New Roman" w:cs="Times New Roman" w:eastAsia="Times New Roman" w:hAnsi="Times New Roman"/>
          <w:sz w:val="18"/>
          <w:szCs w:val="18"/>
          <w:color w:val="auto"/>
        </w:rPr>
        <w:t>. All Exhibits and Schedules, or documents expressly incorporated into this Agreement,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in the Armada Disclosure Schedules, corresponding to any Section or subsection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case of the Armada Disclosure Schedules) shall be deemed to have been disclosed with respect to every other section and subsection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case of the Armada Disclosure Schedules), as applicable, where the relevance of such disclosure to such other Section or subsection is reasonably apparent on the face of the disclosure. The information and disclosures set forth in the Schedules that correspond to the section or subsections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may not be limited to matters required to be disclosed in the Schedules, and any such additional information or disclosure is for informational purposes only and does not necessarily include other matters of a similar nature. The specification of any dollar amount in the representations and warranties contained in this Agreement or the inclusion of any specific item in the Exhibits or Schedules does not imply that such amount (or higher or lower amounts) are or are not material, and no party hereto shall use the fact of the setting of such amounts or the fact of the inclusion of any such item in the Exhibits or Schedules in any dispute or controversy between the parties hereto as to whether any obligation, item, or matter not described herein or included in the Exhibits or Schedules is or is not material for purposes of this Agreement.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8.9 </w:t>
      </w:r>
      <w:r>
        <w:rPr>
          <w:rFonts w:ascii="Times New Roman" w:cs="Times New Roman" w:eastAsia="Times New Roman" w:hAnsi="Times New Roman"/>
          <w:sz w:val="18"/>
          <w:szCs w:val="18"/>
          <w:b w:val="1"/>
          <w:bCs w:val="1"/>
          <w:u w:val="single" w:color="auto"/>
          <w:color w:val="auto"/>
        </w:rPr>
        <w:t>Parties in Interest</w:t>
      </w:r>
      <w:r>
        <w:rPr>
          <w:rFonts w:ascii="Times New Roman" w:cs="Times New Roman" w:eastAsia="Times New Roman" w:hAnsi="Times New Roman"/>
          <w:sz w:val="18"/>
          <w:szCs w:val="18"/>
          <w:color w:val="auto"/>
        </w:rPr>
        <w:t>. This Agreement shall be binding upon and inure solely to the benefit of each Party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assigns and, except as provided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the last sentence of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nothing in this Agreement, express or implied, is intended to or shall confer upon any other Person any rights, benefits or remedies of any nature whatsoever under or by reason of this Agreement. The Sponsor shall be an express third-party beneficiary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not limit the rights or obligations of any person under any Transaction Support Agreement and the Shareholder Transfer and Exchange Agreement.</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a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8.11 </w:t>
      </w: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color w:val="auto"/>
        </w:rPr>
        <w:t>. This Agreement and each Ancillary Document (including any of the closing deliverables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scanned pages, photographic, facsimile, electronic or similar reproduction of such signed writing (including by pdf or any electronic signature complying with the U.S. federal ESIGN Act of 2000, e.g., www.docusign.com) shall be effective as delivery of a manually executed counterpart to this Agreement or any such Ancillary Document.</w:t>
      </w:r>
    </w:p>
    <w:p>
      <w:pPr>
        <w:spacing w:after="0" w:line="18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8.12 </w:t>
      </w:r>
      <w:r>
        <w:rPr>
          <w:rFonts w:ascii="Times New Roman" w:cs="Times New Roman" w:eastAsia="Times New Roman" w:hAnsi="Times New Roman"/>
          <w:sz w:val="18"/>
          <w:szCs w:val="18"/>
          <w:b w:val="1"/>
          <w:bCs w:val="1"/>
          <w:u w:val="single" w:color="auto"/>
          <w:color w:val="auto"/>
        </w:rPr>
        <w:t>Knowledge of Company; Knowledge of Armada</w:t>
      </w:r>
      <w:r>
        <w:rPr>
          <w:rFonts w:ascii="Times New Roman" w:cs="Times New Roman" w:eastAsia="Times New Roman" w:hAnsi="Times New Roman"/>
          <w:sz w:val="18"/>
          <w:szCs w:val="18"/>
          <w:color w:val="auto"/>
        </w:rPr>
        <w:t>. For all purposes of this Agreement, the phrase “to the Company’s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“known by the Company” and any derivations thereof shall mean as of the applicable date, the actual knowledge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For all purposes of this Agreement, the phrase “to Armada’s knowledge” and “to the knowledge of Armada” and any derivations thereof shall mean as of the applicable date, the actual knowledge of the individuals set forth on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Armada Disclosure Schedules. For the avoidance of doubt, none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or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Armada Disclosure Schedules shall have any personal Liability or obligations regarding such knowledge.</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8.13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Except for claims pursuant to any Ancillary Document by any party(ies) thereto against any Company Non-Party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or any Armada Non-Party Affiliate (each, a “</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and then solely with respect to claims against the Non-Party Affiliates that are party to the applicable Ancillary Document, each Party agrees on behalf of itself and on behalf of the Company Non-Party Affiliates, in the case of the Company, and the Armada Non-Party Affiliates, in the case of Armada,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Non-Party Affiliate, and (b) none of the Non-Party Affiliates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w:t>
      </w:r>
    </w:p>
    <w:p>
      <w:pPr>
        <w:spacing w:after="0" w:line="188" w:lineRule="exact"/>
        <w:rPr>
          <w:sz w:val="20"/>
          <w:szCs w:val="20"/>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8.14 </w:t>
      </w:r>
      <w:r>
        <w:rPr>
          <w:rFonts w:ascii="Times New Roman" w:cs="Times New Roman" w:eastAsia="Times New Roman" w:hAnsi="Times New Roman"/>
          <w:sz w:val="18"/>
          <w:szCs w:val="18"/>
          <w:b w:val="1"/>
          <w:bCs w:val="1"/>
          <w:u w:val="single" w:color="auto"/>
          <w:color w:val="auto"/>
        </w:rPr>
        <w:t>Extension; Waiver</w:t>
      </w:r>
      <w:r>
        <w:rPr>
          <w:rFonts w:ascii="Times New Roman" w:cs="Times New Roman" w:eastAsia="Times New Roman" w:hAnsi="Times New Roman"/>
          <w:sz w:val="18"/>
          <w:szCs w:val="18"/>
          <w:color w:val="auto"/>
        </w:rPr>
        <w:t>. At any time (prior to the Closing and in the case of Armada, prior to receipt of the Armada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(a) the Company may (i) extend the time for the performance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6" w:lineRule="auto"/>
        <w:rPr>
          <w:sz w:val="20"/>
          <w:szCs w:val="20"/>
          <w:color w:val="auto"/>
        </w:rPr>
      </w:pPr>
      <w:r>
        <w:rPr>
          <w:rFonts w:ascii="Times New Roman" w:cs="Times New Roman" w:eastAsia="Times New Roman" w:hAnsi="Times New Roman"/>
          <w:sz w:val="17"/>
          <w:szCs w:val="17"/>
          <w:color w:val="auto"/>
        </w:rPr>
        <w:t>any of the obligations or other acts of Armada set forth herein, (ii) waive any inaccuracies in the representations and warranties of Armada set forth herein or in any document delivered by Armada or (iii) waive compliance by Armada with any of the agreements or conditions set forth herein and</w:t>
      </w:r>
    </w:p>
    <w:p>
      <w:pPr>
        <w:spacing w:after="0" w:line="1" w:lineRule="exact"/>
        <w:rPr>
          <w:sz w:val="20"/>
          <w:szCs w:val="20"/>
          <w:color w:val="auto"/>
        </w:rPr>
      </w:pPr>
    </w:p>
    <w:p>
      <w:pPr>
        <w:ind w:left="120" w:right="120" w:hanging="4"/>
        <w:spacing w:after="0" w:line="252" w:lineRule="auto"/>
        <w:tabs>
          <w:tab w:leader="none" w:pos="36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Armada may (i) extend the time for the performance of any of the obligations or other acts of the Company set forth herein, (ii) waive any inaccuracies in the representations and warranties of the Company set forth herein or in any document delivered by the Company or (iii) waive compliance by the Company with any of the agreements or conditions set forth herein. Any such extension or waiver shall be valid only if set forth in a written instrument signed by the Party to be bound thereby.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limit the rights or obligations of any person under any Transaction Support Agreement.</w:t>
      </w:r>
    </w:p>
    <w:p>
      <w:pPr>
        <w:spacing w:after="0" w:line="184"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8.15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EACH HEREBY WAIVES, TO THE FULLEST EXTENT PERMITTED BY LAW,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TO TRIAL BY JURY OF ANY PROCEEDING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8.16 </w:t>
      </w:r>
      <w:r>
        <w:rPr>
          <w:rFonts w:ascii="Times New Roman" w:cs="Times New Roman" w:eastAsia="Times New Roman" w:hAnsi="Times New Roman"/>
          <w:sz w:val="18"/>
          <w:szCs w:val="18"/>
          <w:b w:val="1"/>
          <w:bCs w:val="1"/>
          <w:u w:val="single" w:color="auto"/>
          <w:color w:val="auto"/>
        </w:rPr>
        <w:t>Submission to Jurisdiction</w:t>
      </w:r>
      <w:r>
        <w:rPr>
          <w:rFonts w:ascii="Times New Roman" w:cs="Times New Roman" w:eastAsia="Times New Roman" w:hAnsi="Times New Roman"/>
          <w:sz w:val="18"/>
          <w:szCs w:val="18"/>
          <w:color w:val="auto"/>
        </w:rPr>
        <w:t>. Each of the Parties irrevocably and unconditionally submits to the exclusive jurisdiction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Chancery Court of the State of Delaware (or, if the Chancery Court of the State of Delaware declines to accept jurisdiction, any state or federal court within State of Delaware), for the purposes of any Proceeding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in any such court is brought against such Party in an inconvenient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 xml:space="preserve">forum, (y) the venue of such Proceeding against such Party is improper or (z) this Agreement, or the subject matter hereof, may not be enforced against such Party in or by such courts. Each Party agrees that service of any process, summons, notice or document by registered mail or internationally recognized courier service to such party’s respective address set forth in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shall be effective service of process for any such Proceeding.</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8.17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66" w:lineRule="auto"/>
        <w:tabs>
          <w:tab w:leader="none" w:pos="135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equity.</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8.18 </w:t>
      </w:r>
      <w:r>
        <w:rPr>
          <w:rFonts w:ascii="Times New Roman" w:cs="Times New Roman" w:eastAsia="Times New Roman" w:hAnsi="Times New Roman"/>
          <w:sz w:val="18"/>
          <w:szCs w:val="18"/>
          <w:b w:val="1"/>
          <w:bCs w:val="1"/>
          <w:u w:val="single" w:color="auto"/>
          <w:color w:val="auto"/>
        </w:rPr>
        <w:t>Trust Account Waiver</w:t>
      </w:r>
      <w:r>
        <w:rPr>
          <w:rFonts w:ascii="Times New Roman" w:cs="Times New Roman" w:eastAsia="Times New Roman" w:hAnsi="Times New Roman"/>
          <w:sz w:val="18"/>
          <w:szCs w:val="18"/>
          <w:color w:val="auto"/>
        </w:rPr>
        <w:t>. Reference is made to the final prospectus of Armada, filed with the SEC (File No. 333-257692)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16, 2021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acknowledges and agrees and understands that Armada has established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Armada’s public shareholders (including overallotment shares acquired by Armada’s underwriters, the “</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and Armada may disburse monies from the Trust Account only in the express circumstances described in the Prospectus. For and in consideration of Armada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none of the Company nor any of its respective Representatives does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Armada or any of its Representatives, on the one hand, and, the Company and its Representatives, on the other hand,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The Company on its own behalf and on behalf of its Representatives, hereby irrevocably waives any Trust Account Released Claims that it or any of its Representatives may have against the Trust Account (including any distributions therefrom) now or in the future as a result of, or arising out of, any negotiations, or Contracts with Armada or its Representatives and will not seek recourse against the Trust Account (including any distributions therefrom) for any reason whatsoever (including for an alleged breach of any agreement with Armada or its Affiliates).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8.19 </w:t>
      </w:r>
      <w:r>
        <w:rPr>
          <w:rFonts w:ascii="Times New Roman" w:cs="Times New Roman" w:eastAsia="Times New Roman" w:hAnsi="Times New Roman"/>
          <w:sz w:val="18"/>
          <w:szCs w:val="18"/>
          <w:b w:val="1"/>
          <w:bCs w:val="1"/>
          <w:u w:val="single" w:color="auto"/>
          <w:color w:val="auto"/>
        </w:rPr>
        <w:t>Legal Representation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60" w:firstLine="987"/>
        <w:spacing w:after="0" w:line="266" w:lineRule="auto"/>
        <w:tabs>
          <w:tab w:leader="none" w:pos="135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on its own behalf and on behalf of its directors, managers, officers, owners, employees and Affiliates and each of their successors and assigns (all such parties, the “</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hereby agrees that DLA Piper LLP (US) (or any successor thereto) may represent the Sponsor or any direct or indirect director,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5" w:right="45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manager, officer, owner, employee or Affiliate of the Sponsor, in connection with any dispute, claim, Proceeding or Liability arising out of or relating to this Agreement, any Ancillary Document the transactions contemplated hereby or thereby (any such representation, the “</w:t>
      </w:r>
      <w:r>
        <w:rPr>
          <w:rFonts w:ascii="Times New Roman" w:cs="Times New Roman" w:eastAsia="Times New Roman" w:hAnsi="Times New Roman"/>
          <w:sz w:val="18"/>
          <w:szCs w:val="18"/>
          <w:u w:val="single" w:color="auto"/>
          <w:color w:val="auto"/>
        </w:rPr>
        <w:t>Armada Post-Closing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notwithstanding its representation (or any continued representation) of the Sponsor or any of their respective Affiliates in connection with the transactions contemplated by this Agreement, and the Company, on behalf of itself and the Waiving Parties, hereby consents thereto and irrevocably waives (and will not assert) any conflict of interest or any objection arising therefrom or relating thereto, even though the interests of the Armada Post-Closing Representation may be directly adverse to the Waiving Parties.</w:t>
      </w:r>
    </w:p>
    <w:p>
      <w:pPr>
        <w:spacing w:after="0" w:line="187" w:lineRule="exact"/>
        <w:rPr>
          <w:sz w:val="20"/>
          <w:szCs w:val="20"/>
          <w:color w:val="auto"/>
        </w:rPr>
      </w:pPr>
    </w:p>
    <w:p>
      <w:pPr>
        <w:ind w:left="120" w:right="40" w:firstLine="987"/>
        <w:spacing w:after="0" w:line="255" w:lineRule="auto"/>
        <w:tabs>
          <w:tab w:leader="none" w:pos="136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Waiving Party hereby agrees that Wilson Sonsini Goodrich &amp; Rosati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Waiving Party hereby agrees that Taylor Wessing LLP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88"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157"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A-73</w:t>
      </w:r>
    </w:p>
    <w:p>
      <w:pPr>
        <w:sectPr>
          <w:pgSz w:w="11900" w:h="16838" w:orient="portrait"/>
          <w:cols w:equalWidth="0" w:num="1">
            <w:col w:w="11060"/>
          </w:cols>
          <w:pgMar w:left="320" w:top="455" w:right="51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Business Combination Agreement to be duly executed on its behalf as of the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year first above written.</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000"/>
          </w:cols>
          <w:pgMar w:left="320" w:top="455" w:right="57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has been executed and delivered as a deed on the date shown at the beginning of this agreement.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66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Lurio</w:t>
            </w:r>
          </w:p>
        </w:tc>
        <w:tc>
          <w:tcPr>
            <w:tcW w:w="0" w:type="dxa"/>
            <w:vAlign w:val="bottom"/>
          </w:tcPr>
          <w:p>
            <w:pPr>
              <w:spacing w:after="0"/>
              <w:rPr>
                <w:sz w:val="1"/>
                <w:szCs w:val="1"/>
                <w:color w:val="auto"/>
              </w:rPr>
            </w:pPr>
          </w:p>
        </w:tc>
      </w:tr>
      <w:tr>
        <w:trPr>
          <w:trHeight w:val="178"/>
        </w:trPr>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Armada Acquisition Corp. I</w:t>
            </w:r>
          </w:p>
        </w:tc>
        <w:tc>
          <w:tcPr>
            <w:tcW w:w="6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660" w:type="dxa"/>
            <w:vAlign w:val="bottom"/>
          </w:tcPr>
          <w:p>
            <w:pPr>
              <w:spacing w:after="0"/>
              <w:rPr>
                <w:sz w:val="20"/>
                <w:szCs w:val="20"/>
                <w:color w:val="auto"/>
              </w:rPr>
            </w:pPr>
          </w:p>
        </w:tc>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Stephen Herbert</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360"/>
        </w:trPr>
        <w:tc>
          <w:tcPr>
            <w:tcW w:w="5180" w:type="dxa"/>
            <w:vAlign w:val="bottom"/>
          </w:tcPr>
          <w:p>
            <w:pPr>
              <w:spacing w:after="0"/>
              <w:rPr>
                <w:sz w:val="24"/>
                <w:szCs w:val="24"/>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A-75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11" w:name="page512"/>
    <w:bookmarkEnd w:id="5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Rezolve Limited </w:t>
            </w:r>
            <w:r>
              <w:rPr>
                <w:rFonts w:ascii="Times New Roman" w:cs="Times New Roman" w:eastAsia="Times New Roman" w:hAnsi="Times New Roman"/>
                <w:sz w:val="18"/>
                <w:szCs w:val="18"/>
                <w:color w:val="auto"/>
              </w:rPr>
              <w:t>an English incorporated company</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acting by Daniel Wagner a director in the presence of:</w:t>
            </w:r>
          </w:p>
        </w:tc>
        <w:tc>
          <w:tcPr>
            <w:tcW w:w="760" w:type="dxa"/>
            <w:vAlign w:val="bottom"/>
          </w:tcPr>
          <w:p>
            <w:pPr>
              <w:jc w:val="right"/>
              <w:ind w:right="49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76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41"/>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7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Rezolve AI Limited, </w:t>
            </w:r>
            <w:r>
              <w:rPr>
                <w:rFonts w:ascii="Times New Roman" w:cs="Times New Roman" w:eastAsia="Times New Roman" w:hAnsi="Times New Roman"/>
                <w:sz w:val="18"/>
                <w:szCs w:val="18"/>
                <w:color w:val="auto"/>
              </w:rPr>
              <w:t>an English incorporated</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company acting by Daniel Wagner a director in the presence of:</w:t>
            </w:r>
          </w:p>
        </w:tc>
        <w:tc>
          <w:tcPr>
            <w:tcW w:w="760" w:type="dxa"/>
            <w:vAlign w:val="bottom"/>
          </w:tcPr>
          <w:p>
            <w:pPr>
              <w:jc w:val="right"/>
              <w:ind w:right="49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7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54"/>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7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bl>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40"/>
          </w:cols>
          <w:pgMar w:left="320" w:top="445" w:right="439" w:bottom="1440" w:gutter="0" w:footer="0" w:header="0"/>
        </w:sectPr>
      </w:pPr>
    </w:p>
    <w:bookmarkStart w:id="512" w:name="page513"/>
    <w:bookmarkEnd w:id="5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a Cayman Company</w:t>
            </w: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Herbert</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Rezolve Merger Sub, Inc.</w:t>
            </w: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A-77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4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FIRST AMENDMENT TO AMENDED AND RESTATED BUSINESS COMBINATION AGREEMENT</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First Amendment to the Amended and Restated Business Combination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August 4, 2023, is made and entered into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Merger Sub, Inc., a Delaware corporation, Rezolve AI Limited, a private limited liability company registered under the laws of England and Wales with registration number 14573691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Rezolve Limited a private limited liability company registered under the laws of England and Wales with registration number 09773823.</w:t>
      </w:r>
    </w:p>
    <w:p>
      <w:pPr>
        <w:spacing w:after="0" w:line="179" w:lineRule="exact"/>
        <w:rPr>
          <w:sz w:val="20"/>
          <w:szCs w:val="20"/>
          <w:color w:val="auto"/>
        </w:rPr>
      </w:pPr>
    </w:p>
    <w:p>
      <w:pPr>
        <w:jc w:val="both"/>
        <w:ind w:left="120" w:right="3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Armada, the Company, Rezolve Limited, Rezolve Merger Sub, Inc., a Delaware corporation, previously entered into that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Combination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December 17, 2021, as amended on November 10, 2022 and further amended and restated on June 16, 2023; capitalized terms used herein but not defined herein shall have the meanings ascribed thereto in the Agreement; and</w:t>
      </w:r>
    </w:p>
    <w:p>
      <w:pPr>
        <w:spacing w:after="0" w:line="153"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8.3 of the Agreement provides that the Agreement may not be amended or modified except by an instrument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each of Armada and the Company; and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wish to amend the Agreement as set forth herein.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hereinafter set forth, the parties hereto agree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Section 6.1(i) of the Agreement is hereby deleted in its entirety and replaced with the word “RESERVED”.</w:t>
      </w:r>
    </w:p>
    <w:p>
      <w:pPr>
        <w:spacing w:after="0" w:line="22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u w:val="single" w:color="auto"/>
          <w:color w:val="auto"/>
        </w:rPr>
        <w:t>Effect on Agreement</w:t>
      </w:r>
      <w:r>
        <w:rPr>
          <w:rFonts w:ascii="Times New Roman" w:cs="Times New Roman" w:eastAsia="Times New Roman" w:hAnsi="Times New Roman"/>
          <w:sz w:val="18"/>
          <w:szCs w:val="18"/>
          <w:color w:val="auto"/>
        </w:rPr>
        <w:t>. Other than as specifically set forth herein, all other terms and provisions of the Agreement shall remain unaffected by the terms of this Amendment, and shall continue in full force and effect in accordance with their respective terms. Each reference in the Agreement to “this Agreement” shall mean the Agreement as amended by this Amendment, and as hereinafter amended or restated.</w:t>
      </w:r>
    </w:p>
    <w:p>
      <w:pPr>
        <w:spacing w:after="0" w:line="17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xml:space="preserve"> This Amendment may be executed and delivered in one or more counterparts, any one of which need not contain the signatures of more than one party, but all such counterparts taken together will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9"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Amendment shall be binding upon and inure solely to the benefit of the parties hereto and their respective successors and permitted assigns.</w:t>
      </w:r>
    </w:p>
    <w:p>
      <w:pPr>
        <w:spacing w:after="0" w:line="155"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Amendment may not be amended or modified except by an instrument in writing signed by, or on behalf of, all of the parties hereto.</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AA-1</w:t>
      </w:r>
    </w:p>
    <w:p>
      <w:pPr>
        <w:sectPr>
          <w:pgSz w:w="11900" w:h="16838" w:orient="portrait"/>
          <w:cols w:equalWidth="0" w:num="1">
            <w:col w:w="11140"/>
          </w:cols>
          <w:pgMar w:left="320" w:top="455" w:right="43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Delaware applicable to contracts executed in and to be performed in that State.</w:t>
      </w:r>
    </w:p>
    <w:p>
      <w:pPr>
        <w:spacing w:after="0" w:line="15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Amendment, the Agreement and the Ancillary Agreements constitute the entire agreement among the parties hereto with respect to the subject matter hereof, and supersede all prior and contemporaneous understandings and agreements, both written and oral, with respect to such subject matter.</w:t>
      </w:r>
    </w:p>
    <w:p>
      <w:pPr>
        <w:spacing w:after="0" w:line="1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AA-2</w:t>
      </w:r>
    </w:p>
    <w:p>
      <w:pPr>
        <w:sectPr>
          <w:pgSz w:w="11900" w:h="16838" w:orient="portrait"/>
          <w:cols w:equalWidth="0" w:num="1">
            <w:col w:w="11040"/>
          </w:cols>
          <w:pgMar w:left="320" w:top="455" w:right="53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duly executed and delivered this Amendment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Stephen P. Herbert</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 Lurio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Doug Lurio</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Dan Wagner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Dan Wagner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AA-3</w:t>
      </w:r>
    </w:p>
    <w:p>
      <w:pPr>
        <w:sectPr>
          <w:pgSz w:w="11900" w:h="16838" w:orient="portrait"/>
          <w:cols w:equalWidth="0" w:num="1">
            <w:col w:w="10139"/>
          </w:cols>
          <w:pgMar w:left="320" w:top="455" w:right="1440"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354330</wp:posOffset>
            </wp:positionV>
            <wp:extent cx="147447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(Company number: 14573691)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680" w:type="dxa"/>
        <w:tblCellMar>
          <w:top w:w="0" w:type="dxa"/>
          <w:left w:w="0" w:type="dxa"/>
          <w:bottom w:w="0" w:type="dxa"/>
          <w:right w:w="0" w:type="dxa"/>
        </w:tblCellMar>
      </w:tblPr>
      <w:tr>
        <w:trPr>
          <w:trHeight w:val="207"/>
        </w:trPr>
        <w:tc>
          <w:tcPr>
            <w:tcW w:w="440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 xml:space="preserve">(Adopted by special resolution passed on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7"/>
              </w:rPr>
              <w:t>and in accordance with such special resolution effective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10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         2024)</w:t>
            </w:r>
          </w:p>
        </w:tc>
      </w:tr>
      <w:tr>
        <w:trPr>
          <w:trHeight w:val="20"/>
        </w:trPr>
        <w:tc>
          <w:tcPr>
            <w:tcW w:w="3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ectPr>
          <w:pgSz w:w="11900" w:h="16838" w:orient="portrait"/>
          <w:cols w:equalWidth="0" w:num="1">
            <w:col w:w="11140"/>
          </w:cols>
          <w:pgMar w:left="320" w:top="455" w:right="43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12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contents</w:t>
            </w:r>
          </w:p>
        </w:tc>
        <w:tc>
          <w:tcPr>
            <w:tcW w:w="2320" w:type="dxa"/>
            <w:vAlign w:val="bottom"/>
          </w:tcPr>
          <w:p>
            <w:pPr>
              <w:spacing w:after="0"/>
              <w:rPr>
                <w:sz w:val="20"/>
                <w:szCs w:val="20"/>
                <w:color w:val="auto"/>
              </w:rPr>
            </w:pPr>
          </w:p>
        </w:tc>
      </w:tr>
      <w:tr>
        <w:trPr>
          <w:trHeight w:val="3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w:t>
            </w:r>
          </w:p>
        </w:tc>
        <w:tc>
          <w:tcPr>
            <w:tcW w:w="81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Exclusion of default or model articles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liability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capital and rights attached to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attaching to Founder’s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attaching to the Deferred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to Deferred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to allot shares and grant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pay commission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alter share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issue redeemable shares and conversion of existing non-redeemable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purchase own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reduce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Trusts not recognised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Redemption, Purchase and Surrender.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UNCERTIFICATED SHARES – GENERAL POWERS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Uncertificated shares – general powers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Variation of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to transfer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uncertificated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certificated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provisions relating to transfers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refusal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B-12</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Transmission on death</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of person entitled by transmission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of person entitled by transmission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OF INTERESTS IN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Disenfranchisement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 of notices on non-members and Depositaries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Cessation of disenfranchisement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uncertificated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794 and 795 of the 2006 Act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Meeting at more than one place or in more than one format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Hybrid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Annual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Convening of general meetings other than annual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Separate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Length, form and content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Omission or non-receipt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bl>
    <w:p>
      <w:pPr>
        <w:sectPr>
          <w:pgSz w:w="11900" w:h="16838" w:orient="portrait"/>
          <w:cols w:equalWidth="0" w:num="1">
            <w:col w:w="11080"/>
          </w:cols>
          <w:pgMar w:left="320" w:top="455" w:right="499" w:bottom="1440" w:gutter="0" w:footer="0" w:header="0"/>
        </w:sectPr>
      </w:pPr>
    </w:p>
    <w:bookmarkStart w:id="518" w:name="page519"/>
    <w:bookmarkEnd w:id="5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72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515"/>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B-19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 to attend and speak</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B-19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Resolutions and amendments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B-19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Adjournment</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Method of voting</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How poll is to be taken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Validity of meeting</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VOTES OF MEMBERS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Representation of corporations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 of joint holders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 of members incapable of managing their affairs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 suspended where sums overdue</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PROXIES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Proxies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Appointment of proxy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proxy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of revocation of authority etc.</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B-24</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B-24</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and class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B-24</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need not be members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ELECTION, RETIREMENT AND REMOVAL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Election of directors by the Company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Separate resolutions for election of each director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Board’s power to appoint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Retirement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Removal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B-26</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Vacation of office of director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B-26</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Disqualification of a director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B-27</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B-27</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Alternate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appoint alternate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Formalities for appointment and termination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Alternate to receive notices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Alternate may be paid expenses but not remuneration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Alternate not an agent of appointor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REMUNERATION, EXPENSES, PENSIONS AND OTHER BENEFITS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Special remuneration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Pensions and other benefits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POWERS OF THE BOARD</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powers of the Board to manage the Company’s business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act notwithstanding vacancy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Provisions for employees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borrow money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change the name of the Company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DELEGATION OF BOARD’S POWERS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Delegation to individual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Committees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Local boards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Powers of attorney and agents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DIRECTORS’ INTERESTS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r>
        <w:trPr>
          <w:trHeight w:val="234"/>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Declaration of interests in a proposed transaction or arrangement with the Company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bl>
    <w:p>
      <w:pPr>
        <w:sectPr>
          <w:pgSz w:w="11900" w:h="16838" w:orient="portrait"/>
          <w:cols w:equalWidth="0" w:num="1">
            <w:col w:w="11080"/>
          </w:cols>
          <w:pgMar w:left="320" w:top="445" w:right="499" w:bottom="1440" w:gutter="0" w:footer="0" w:header="0"/>
        </w:sectPr>
      </w:pPr>
    </w:p>
    <w:bookmarkStart w:id="519" w:name="page520"/>
    <w:bookmarkEnd w:id="5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64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515"/>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Provisions applicable to declarations of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of the Board to authorise conflicts of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 interests and voting</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Avoiding conflicts of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PROCEEDINGS OF THE BOARD</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Notice of 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of directors if number falls below minimum</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Chair or deputy chair to preside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Competence of 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Voting</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Telephone/electronic 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Resolutions without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Minutes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Secretary</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 CERTIFICATES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Charges for and replacement of certificates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LIEN ON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Lien on partly paid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Enforcement of lien</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CALLS ON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on 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Sums treated as 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to differentiate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 of calls in advance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FORFEITURE OF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Notice of unpaid 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Forfeiture on non-compliance with notice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to annul forfeiture or surrender</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Disposal of forfeited or surrendered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Arrears to be paid notwithstanding forfeiture or surrender</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SEAL</w:t>
            </w:r>
          </w:p>
        </w:tc>
        <w:tc>
          <w:tcPr>
            <w:tcW w:w="76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Seal</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Declaration of dividends by the Company</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Fixed and interim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Calculation and currency of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Method of payment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not to bear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Calls or debts may be deducted from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Unclaimed dividends etc.</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Uncashed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in specie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B-44</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Scrip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B-44</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CAPITALISATION OF Profits and RESERVES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Capitalisation of reserves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B-45</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RECORD DATES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Fixing of record dates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34"/>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Accounting records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bl>
    <w:p>
      <w:pPr>
        <w:sectPr>
          <w:pgSz w:w="11900" w:h="16838" w:orient="portrait"/>
          <w:cols w:equalWidth="0" w:num="1">
            <w:col w:w="11080"/>
          </w:cols>
          <w:pgMar w:left="320" w:top="445" w:right="499" w:bottom="1440" w:gutter="0" w:footer="0" w:header="0"/>
        </w:sectPr>
      </w:pPr>
    </w:p>
    <w:bookmarkStart w:id="520" w:name="page521"/>
    <w:bookmarkEnd w:id="5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612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515"/>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Auditors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Validity of acts of Auditor</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service of notices and other documents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B-47</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Notices in writing</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B-47</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133.</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Method of giving notice to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B-47</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134.</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by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135.</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to joint holders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136.</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to persons entitled by transmission</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137.</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Disruption of postal services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138.</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Deemed notice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139.</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Successors in title bound by notice to predecessor</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140.</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Reference to notices are to notifications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Statutory requirements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Record date for delivery</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REGISTER</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143.</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Register Requirements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UNTRACED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144.</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 of shares of untraced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145.</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B-51</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DESTRUCTION OF DOCUMENTS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B-51</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146.</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Destruction of documents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B-51</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WINDING UP</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B-52</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147.</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Powers to distribute in specie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B-52</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INDEMNITY AND INSURANCE, ETC.</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148.</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indemnity, insurance and defence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FORUM SELECTION</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r>
        <w:trPr>
          <w:trHeight w:val="234"/>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149.</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Forum Selection</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bl>
    <w:p>
      <w:pPr>
        <w:sectPr>
          <w:pgSz w:w="11900" w:h="16838" w:orient="portrait"/>
          <w:cols w:equalWidth="0" w:num="1">
            <w:col w:w="11080"/>
          </w:cols>
          <w:pgMar w:left="320" w:top="445" w:right="49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ARTICLES OF ASSOCIATION</w:t>
      </w:r>
    </w:p>
    <w:p>
      <w:pPr>
        <w:spacing w:after="0" w:line="225" w:lineRule="exact"/>
        <w:rPr>
          <w:sz w:val="20"/>
          <w:szCs w:val="20"/>
          <w:color w:val="auto"/>
        </w:rPr>
      </w:pPr>
    </w:p>
    <w:tbl>
      <w:tblPr>
        <w:tblLayout w:type="fixed"/>
        <w:tblInd w:w="336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11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318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REZOLVE AI PLC</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 xml:space="preserve">(adopted by special resolution passed on </w:t>
            </w:r>
            <w:r>
              <w:rPr>
                <w:rFonts w:ascii="Times New Roman" w:cs="Times New Roman" w:eastAsia="Times New Roman" w:hAnsi="Times New Roman"/>
                <w:sz w:val="18"/>
                <w:szCs w:val="18"/>
                <w:b w:val="1"/>
                <w:bCs w:val="1"/>
                <w:color w:val="auto"/>
              </w:rPr>
              <w:t xml:space="preserve"> </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 xml:space="preserve">                </w:t>
            </w:r>
            <w:r>
              <w:rPr>
                <w:rFonts w:ascii="Times New Roman" w:cs="Times New Roman" w:eastAsia="Times New Roman" w:hAnsi="Times New Roman"/>
                <w:sz w:val="18"/>
                <w:szCs w:val="18"/>
                <w:i w:val="1"/>
                <w:iCs w:val="1"/>
                <w:color w:val="auto"/>
                <w:w w:val="97"/>
              </w:rPr>
              <w:t>2023</w:t>
            </w:r>
          </w:p>
        </w:tc>
      </w:tr>
      <w:tr>
        <w:trPr>
          <w:trHeight w:val="20"/>
        </w:trPr>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180" w:type="dxa"/>
            <w:vAlign w:val="bottom"/>
            <w:gridSpan w:val="5"/>
          </w:tcPr>
          <w:p>
            <w:pPr>
              <w:ind w:left="880"/>
              <w:spacing w:after="0" w:line="196" w:lineRule="exact"/>
              <w:rPr>
                <w:sz w:val="20"/>
                <w:szCs w:val="20"/>
                <w:color w:val="auto"/>
              </w:rPr>
            </w:pPr>
            <w:r>
              <w:rPr>
                <w:rFonts w:ascii="Times New Roman" w:cs="Times New Roman" w:eastAsia="Times New Roman" w:hAnsi="Times New Roman"/>
                <w:sz w:val="18"/>
                <w:szCs w:val="18"/>
                <w:i w:val="1"/>
                <w:iCs w:val="1"/>
                <w:color w:val="auto"/>
              </w:rPr>
              <w:t>and effective on</w:t>
            </w:r>
            <w:r>
              <w:rPr>
                <w:rFonts w:ascii="Times New Roman" w:cs="Times New Roman" w:eastAsia="Times New Roman" w:hAnsi="Times New Roman"/>
                <w:sz w:val="18"/>
                <w:szCs w:val="18"/>
                <w:b w:val="1"/>
                <w:bCs w:val="1"/>
                <w:color w:val="auto"/>
              </w:rPr>
              <w:t xml:space="preserve">                  </w:t>
            </w:r>
          </w:p>
        </w:tc>
        <w:tc>
          <w:tcPr>
            <w:tcW w:w="940" w:type="dxa"/>
            <w:vAlign w:val="bottom"/>
            <w:gridSpan w:val="3"/>
          </w:tcPr>
          <w:p>
            <w:pPr>
              <w:jc w:val="right"/>
              <w:ind w:right="460"/>
              <w:spacing w:after="0" w:line="196" w:lineRule="exact"/>
              <w:rPr>
                <w:sz w:val="20"/>
                <w:szCs w:val="20"/>
                <w:color w:val="auto"/>
              </w:rPr>
            </w:pPr>
            <w:r>
              <w:rPr>
                <w:rFonts w:ascii="Times New Roman" w:cs="Times New Roman" w:eastAsia="Times New Roman" w:hAnsi="Times New Roman"/>
                <w:sz w:val="18"/>
                <w:szCs w:val="18"/>
                <w:i w:val="1"/>
                <w:iCs w:val="1"/>
                <w:color w:val="auto"/>
              </w:rPr>
              <w:t>2023)</w:t>
            </w:r>
          </w:p>
        </w:tc>
        <w:tc>
          <w:tcPr>
            <w:tcW w:w="400" w:type="dxa"/>
            <w:vAlign w:val="bottom"/>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52" w:lineRule="exact"/>
        <w:rPr>
          <w:sz w:val="20"/>
          <w:szCs w:val="20"/>
          <w:color w:val="auto"/>
        </w:rPr>
      </w:pPr>
    </w:p>
    <w:p>
      <w:pPr>
        <w:ind w:left="660" w:hanging="544"/>
        <w:spacing w:after="0"/>
        <w:tabs>
          <w:tab w:leader="none" w:pos="66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 of default or model articles</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or model articles or regulations which may apply to companies under the Statutes (including, without limitation, the regulations in Table A in the Companies (Tables A to F) Regulations 1985 (as amended) and the model articles in the Companies (Model Articles) Regulations 2008) shall apply to the Company unless expressly included in these articles.</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 contrary intention appears:</w:t>
      </w:r>
    </w:p>
    <w:p>
      <w:pPr>
        <w:spacing w:after="0" w:line="131" w:lineRule="exact"/>
        <w:rPr>
          <w:sz w:val="20"/>
          <w:szCs w:val="20"/>
          <w:color w:val="auto"/>
        </w:rPr>
      </w:pPr>
    </w:p>
    <w:p>
      <w:pPr>
        <w:ind w:left="1860" w:hanging="543"/>
        <w:spacing w:after="0"/>
        <w:tabs>
          <w:tab w:leader="none" w:pos="186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apply:</w:t>
      </w:r>
    </w:p>
    <w:p>
      <w:pPr>
        <w:spacing w:after="0" w:line="11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2006 Act </w:t>
      </w:r>
      <w:r>
        <w:rPr>
          <w:rFonts w:ascii="Times New Roman" w:cs="Times New Roman" w:eastAsia="Times New Roman" w:hAnsi="Times New Roman"/>
          <w:sz w:val="18"/>
          <w:szCs w:val="18"/>
          <w:color w:val="auto"/>
        </w:rPr>
        <w:t>means the Companies Act 2006;</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these articles </w:t>
      </w:r>
      <w:r>
        <w:rPr>
          <w:rFonts w:ascii="Times New Roman" w:cs="Times New Roman" w:eastAsia="Times New Roman" w:hAnsi="Times New Roman"/>
          <w:sz w:val="18"/>
          <w:szCs w:val="18"/>
          <w:color w:val="auto"/>
        </w:rPr>
        <w:t>means these articles of association, as amended from time to time;</w:t>
      </w:r>
    </w:p>
    <w:p>
      <w:pPr>
        <w:spacing w:after="0" w:line="117" w:lineRule="exact"/>
        <w:rPr>
          <w:sz w:val="20"/>
          <w:szCs w:val="20"/>
          <w:color w:val="auto"/>
        </w:rPr>
      </w:pPr>
    </w:p>
    <w:p>
      <w:pPr>
        <w:ind w:left="18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of any Person means any other Person which (i) directly, or indirectly through one or more intermediaries,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or is controlled by, or is under common control with, such Person, and (ii) as to any individual, in addition to any Person in clause (i), (a) any member of the immediate family of an individual, including parents, siblings, spouse and children (including those by adoption), the parents, siblings, spouse, or children (including those by adoption) of such immediate family member, and, in any such case, any trust whose primary beneficiary is such individual or one or more members of such immediate family and/or such individual’s lineal descendants, and (b) the legal representative or guardian of such individual or of any such immediate family member in the event such individual or any such immediate family member becomes mentally incompetent; provided, however, that in no event shall the Company or any of its subsidiaries be deemed an Affiliate of any Relevant Holder. The term “control” (including the terms “controlling,” “controlled”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pacing w:after="0" w:line="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Auditor </w:t>
      </w:r>
      <w:r>
        <w:rPr>
          <w:rFonts w:ascii="Times New Roman" w:cs="Times New Roman" w:eastAsia="Times New Roman" w:hAnsi="Times New Roman"/>
          <w:sz w:val="18"/>
          <w:szCs w:val="18"/>
          <w:color w:val="auto"/>
        </w:rPr>
        <w:t>means the auditor for the time being of the Company;</w:t>
      </w:r>
    </w:p>
    <w:p>
      <w:pPr>
        <w:spacing w:after="0" w:line="117" w:lineRule="exact"/>
        <w:rPr>
          <w:sz w:val="20"/>
          <w:szCs w:val="20"/>
          <w:color w:val="auto"/>
        </w:rPr>
      </w:pPr>
    </w:p>
    <w:p>
      <w:pPr>
        <w:jc w:val="both"/>
        <w:ind w:left="1880"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Beneficially Own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Beneficial Owner </w:t>
      </w:r>
      <w:r>
        <w:rPr>
          <w:rFonts w:ascii="Times New Roman" w:cs="Times New Roman" w:eastAsia="Times New Roman" w:hAnsi="Times New Roman"/>
          <w:sz w:val="18"/>
          <w:szCs w:val="18"/>
          <w:color w:val="auto"/>
        </w:rPr>
        <w:t>includes without limitation a person who is a Beneficial Owner within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to such term in Rule 13d-3 under the US Securities Exchange Act 1934 (irrespective of whether or not such Rule is actually applicable in such circumstance)</w:t>
      </w:r>
    </w:p>
    <w:p>
      <w:pPr>
        <w:spacing w:after="0" w:line="63" w:lineRule="exact"/>
        <w:rPr>
          <w:sz w:val="20"/>
          <w:szCs w:val="20"/>
          <w:color w:val="auto"/>
        </w:rPr>
      </w:pPr>
    </w:p>
    <w:p>
      <w:pPr>
        <w:ind w:left="18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for the time being of the Company or the directors present or deemed to be present at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convened meeting of the directors at which a quorum is present;</w:t>
      </w:r>
    </w:p>
    <w:p>
      <w:pPr>
        <w:spacing w:after="0" w:line="47" w:lineRule="exact"/>
        <w:rPr>
          <w:sz w:val="20"/>
          <w:szCs w:val="20"/>
          <w:color w:val="auto"/>
        </w:rPr>
      </w:pPr>
    </w:p>
    <w:p>
      <w:pPr>
        <w:ind w:left="188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clear days </w:t>
      </w:r>
      <w:r>
        <w:rPr>
          <w:rFonts w:ascii="Times New Roman" w:cs="Times New Roman" w:eastAsia="Times New Roman" w:hAnsi="Times New Roman"/>
          <w:sz w:val="18"/>
          <w:szCs w:val="18"/>
          <w:color w:val="auto"/>
        </w:rPr>
        <w:t>means, in relation to the period of a notice, that period excluding the day when the notice is given or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and the day for which it is given or on which it is to take effect;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55" w:right="45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a committee of the Board;</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Rezolve AI Plc (company no. </w:t>
      </w:r>
      <w:r>
        <w:rPr>
          <w:rFonts w:ascii="Times New Roman" w:cs="Times New Roman" w:eastAsia="Times New Roman" w:hAnsi="Times New Roman"/>
          <w:sz w:val="18"/>
          <w:szCs w:val="18"/>
          <w:b w:val="1"/>
          <w:bCs w:val="1"/>
          <w:color w:val="auto"/>
        </w:rPr>
        <w:t>14573691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88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Shares </w:t>
      </w:r>
      <w:r>
        <w:rPr>
          <w:rFonts w:ascii="Times New Roman" w:cs="Times New Roman" w:eastAsia="Times New Roman" w:hAnsi="Times New Roman"/>
          <w:sz w:val="18"/>
          <w:szCs w:val="18"/>
          <w:color w:val="auto"/>
        </w:rPr>
        <w:t>means the redeemable deferred shares in the capital of the Company from time to time, referred to in article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4(b) and with the rights set out therein and in these articles generally;</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 director for the time being of the Company;</w:t>
      </w:r>
    </w:p>
    <w:p>
      <w:pPr>
        <w:spacing w:after="0" w:line="117" w:lineRule="exact"/>
        <w:rPr>
          <w:sz w:val="20"/>
          <w:szCs w:val="20"/>
          <w:color w:val="auto"/>
        </w:rPr>
      </w:pPr>
    </w:p>
    <w:p>
      <w:pPr>
        <w:ind w:left="1880" w:righ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address </w:t>
      </w:r>
      <w:r>
        <w:rPr>
          <w:rFonts w:ascii="Times New Roman" w:cs="Times New Roman" w:eastAsia="Times New Roman" w:hAnsi="Times New Roman"/>
          <w:sz w:val="18"/>
          <w:szCs w:val="18"/>
          <w:color w:val="auto"/>
        </w:rPr>
        <w:t>means any number or address used for the purposes of sending or receiving notices, documents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by electronic means;</w:t>
      </w:r>
    </w:p>
    <w:p>
      <w:pPr>
        <w:spacing w:after="0" w:line="47" w:lineRule="exact"/>
        <w:rPr>
          <w:sz w:val="20"/>
          <w:szCs w:val="20"/>
          <w:color w:val="auto"/>
        </w:rPr>
      </w:pPr>
    </w:p>
    <w:p>
      <w:pPr>
        <w:ind w:left="188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form </w:t>
      </w:r>
      <w:r>
        <w:rPr>
          <w:rFonts w:ascii="Times New Roman" w:cs="Times New Roman" w:eastAsia="Times New Roman" w:hAnsi="Times New Roman"/>
          <w:sz w:val="18"/>
          <w:szCs w:val="18"/>
          <w:color w:val="auto"/>
        </w:rPr>
        <w:t>means a document sent or supplied by electronic means (for example, by e-mail or fax, or by any other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in an electronic form);</w:t>
      </w:r>
    </w:p>
    <w:p>
      <w:pPr>
        <w:spacing w:after="0" w:line="47" w:lineRule="exact"/>
        <w:rPr>
          <w:sz w:val="20"/>
          <w:szCs w:val="20"/>
          <w:color w:val="auto"/>
        </w:rPr>
      </w:pPr>
    </w:p>
    <w:p>
      <w:pPr>
        <w:ind w:left="1880" w:right="80"/>
        <w:spacing w:after="0" w:line="259" w:lineRule="auto"/>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general meeting</w:t>
      </w:r>
      <w:r>
        <w:rPr>
          <w:rFonts w:ascii="Times New Roman" w:cs="Times New Roman" w:eastAsia="Times New Roman" w:hAnsi="Times New Roman"/>
          <w:sz w:val="18"/>
          <w:szCs w:val="18"/>
          <w:color w:val="auto"/>
        </w:rPr>
        <w:t xml:space="preserve"> means, subject to the Statutes, a general meeting held or conducted in such a way that allows persons who may not be physically present together to participate in the general meeting and communicate with each other any information or opinions they may have on any particular item of business of the meeting, and for the avoidance of doubt, such participation and communication requires that each member participating and communicating at the meeting can both hear any other of them or be heard by any other of them;</w:t>
      </w:r>
    </w:p>
    <w:p>
      <w:pPr>
        <w:spacing w:after="0" w:line="71" w:lineRule="exact"/>
        <w:rPr>
          <w:sz w:val="20"/>
          <w:szCs w:val="20"/>
          <w:color w:val="auto"/>
        </w:rPr>
      </w:pPr>
    </w:p>
    <w:p>
      <w:pPr>
        <w:ind w:left="1880"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means sent initially and received at its destination by means of electronic equipment for the processing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includes digital compression) or storage of data, and entirely transmitted, conveyed and received by wire, by radio, by optical means or by other electromagnetic means;</w:t>
      </w:r>
    </w:p>
    <w:p>
      <w:pPr>
        <w:spacing w:after="0" w:line="63" w:lineRule="exact"/>
        <w:rPr>
          <w:sz w:val="20"/>
          <w:szCs w:val="20"/>
          <w:color w:val="auto"/>
        </w:rPr>
      </w:pPr>
    </w:p>
    <w:p>
      <w:pPr>
        <w:ind w:left="1880"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U.S. Securities Exchange Act of 1934, as amended, and the rules and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as the same may be amended from time to time;</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xml:space="preserve"> means Daniel Wagner;</w:t>
      </w:r>
    </w:p>
    <w:p>
      <w:pPr>
        <w:spacing w:after="0" w:line="117" w:lineRule="exact"/>
        <w:rPr>
          <w:sz w:val="20"/>
          <w:szCs w:val="20"/>
          <w:color w:val="auto"/>
        </w:rPr>
      </w:pPr>
    </w:p>
    <w:p>
      <w:pPr>
        <w:ind w:left="18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Governmental Authority </w:t>
      </w:r>
      <w:r>
        <w:rPr>
          <w:rFonts w:ascii="Times New Roman" w:cs="Times New Roman" w:eastAsia="Times New Roman" w:hAnsi="Times New Roman"/>
          <w:sz w:val="18"/>
          <w:szCs w:val="18"/>
          <w:color w:val="auto"/>
        </w:rPr>
        <w:t>means any federal, state, provincial, municipal, local or foreign government, governmental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or administrative agency, governmental commission, department, board, bureau, agency or instrumentality, court or tribunal;</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hard copy form </w:t>
      </w:r>
      <w:r>
        <w:rPr>
          <w:rFonts w:ascii="Times New Roman" w:cs="Times New Roman" w:eastAsia="Times New Roman" w:hAnsi="Times New Roman"/>
          <w:sz w:val="18"/>
          <w:szCs w:val="18"/>
          <w:color w:val="auto"/>
        </w:rPr>
        <w:t>means a document sent or supplied by paper copy or a similar form capable of being read;</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Relevant Holder </w:t>
      </w:r>
      <w:r>
        <w:rPr>
          <w:rFonts w:ascii="Times New Roman" w:cs="Times New Roman" w:eastAsia="Times New Roman" w:hAnsi="Times New Roman"/>
          <w:sz w:val="18"/>
          <w:szCs w:val="18"/>
          <w:color w:val="auto"/>
        </w:rPr>
        <w:t>means each of [●], [●];</w:t>
      </w:r>
      <w:r>
        <w:rPr>
          <w:rFonts w:ascii="Times New Roman" w:cs="Times New Roman" w:eastAsia="Times New Roman" w:hAnsi="Times New Roman"/>
          <w:sz w:val="26"/>
          <w:szCs w:val="26"/>
          <w:color w:val="auto"/>
          <w:vertAlign w:val="superscript"/>
        </w:rPr>
        <w:t>1</w:t>
      </w:r>
    </w:p>
    <w:p>
      <w:pPr>
        <w:spacing w:after="0" w:line="4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in relation to any share means the member whose name is entered in the register as the holder of that share;</w:t>
      </w:r>
    </w:p>
    <w:p>
      <w:pPr>
        <w:spacing w:after="0" w:line="93" w:lineRule="exact"/>
        <w:rPr>
          <w:sz w:val="20"/>
          <w:szCs w:val="20"/>
          <w:color w:val="auto"/>
        </w:rPr>
      </w:pPr>
    </w:p>
    <w:p>
      <w:pPr>
        <w:ind w:left="18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hybrid meeting </w:t>
      </w:r>
      <w:r>
        <w:rPr>
          <w:rFonts w:ascii="Times New Roman" w:cs="Times New Roman" w:eastAsia="Times New Roman" w:hAnsi="Times New Roman"/>
          <w:sz w:val="18"/>
          <w:szCs w:val="18"/>
          <w:color w:val="auto"/>
        </w:rPr>
        <w:t>means a general meeting hosted on an electronic platform, where that meeting is physically hosted at a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 simultaneously;</w:t>
      </w:r>
    </w:p>
    <w:p>
      <w:pPr>
        <w:spacing w:after="0" w:line="47" w:lineRule="exact"/>
        <w:rPr>
          <w:sz w:val="20"/>
          <w:szCs w:val="20"/>
          <w:color w:val="auto"/>
        </w:rPr>
      </w:pPr>
    </w:p>
    <w:p>
      <w:pPr>
        <w:ind w:left="1880"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mutually determined by the nomination committee of the Board, and the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who shall satisfy the independence criteria of NASDAQ or otherwise the applicable national exchange on which the Ordinary Shares are then listed;</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Initial Sponsor Director </w:t>
      </w:r>
      <w:r>
        <w:rPr>
          <w:rFonts w:ascii="Times New Roman" w:cs="Times New Roman" w:eastAsia="Times New Roman" w:hAnsi="Times New Roman"/>
          <w:sz w:val="18"/>
          <w:szCs w:val="18"/>
          <w:color w:val="auto"/>
        </w:rPr>
        <w:t>means a maximum of two (2) directors nominated in writing by the Sponsor;</w:t>
      </w:r>
    </w:p>
    <w:p>
      <w:pPr>
        <w:spacing w:after="0" w:line="117" w:lineRule="exact"/>
        <w:rPr>
          <w:sz w:val="20"/>
          <w:szCs w:val="20"/>
          <w:color w:val="auto"/>
        </w:rPr>
      </w:pPr>
    </w:p>
    <w:p>
      <w:pPr>
        <w:ind w:left="188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nominee </w:t>
      </w:r>
      <w:r>
        <w:rPr>
          <w:rFonts w:ascii="Times New Roman" w:cs="Times New Roman" w:eastAsia="Times New Roman" w:hAnsi="Times New Roman"/>
          <w:sz w:val="18"/>
          <w:szCs w:val="18"/>
          <w:color w:val="auto"/>
        </w:rPr>
        <w:t>means a recognised clearing house or a nominee of a recognised clearing house or of a recognised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within the meaning of section 769(2), 776(3) and 778(1) of the 2006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7152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9" w:lineRule="exact"/>
        <w:rPr>
          <w:sz w:val="20"/>
          <w:szCs w:val="20"/>
          <w:color w:val="auto"/>
        </w:rPr>
      </w:pPr>
    </w:p>
    <w:p>
      <w:pPr>
        <w:ind w:left="540" w:hanging="424"/>
        <w:spacing w:after="0"/>
        <w:tabs>
          <w:tab w:leader="none" w:pos="540" w:val="left"/>
        </w:tabs>
        <w:numPr>
          <w:ilvl w:val="0"/>
          <w:numId w:val="4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please complete. DLA to confirm</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00"/>
          </w:cols>
          <w:pgMar w:left="320" w:top="455" w:right="47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8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 Agreement </w:t>
      </w:r>
      <w:r>
        <w:rPr>
          <w:rFonts w:ascii="Times New Roman" w:cs="Times New Roman" w:eastAsia="Times New Roman" w:hAnsi="Times New Roman"/>
          <w:sz w:val="18"/>
          <w:szCs w:val="18"/>
          <w:color w:val="auto"/>
        </w:rPr>
        <w:t>means the Business Combination Agreement, dated as of December 17 2021, as amended on November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and further amended and restated on 16 June 2023, by and among Armada Acquisition Corp. I, a Delaware corporation, Rezolve Limited, a private limited company organized under the laws of England and Wales, the Company and Rezolve Merger Sub, Inc., a Delaware corporation;</w:t>
      </w:r>
    </w:p>
    <w:p>
      <w:pPr>
        <w:spacing w:after="0" w:line="6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calendar month;</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NASDAQ </w:t>
      </w:r>
      <w:r>
        <w:rPr>
          <w:rFonts w:ascii="Times New Roman" w:cs="Times New Roman" w:eastAsia="Times New Roman" w:hAnsi="Times New Roman"/>
          <w:sz w:val="18"/>
          <w:szCs w:val="18"/>
          <w:color w:val="auto"/>
        </w:rPr>
        <w:t>means the market known as NASDAQ operated by the NASDAQ OMX Group, Inc.;</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NASDAQ Rules </w:t>
      </w:r>
      <w:r>
        <w:rPr>
          <w:rFonts w:ascii="Times New Roman" w:cs="Times New Roman" w:eastAsia="Times New Roman" w:hAnsi="Times New Roman"/>
          <w:sz w:val="18"/>
          <w:szCs w:val="18"/>
          <w:color w:val="auto"/>
        </w:rPr>
        <w:t>means the rules of NASDAQ;</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office </w:t>
      </w:r>
      <w:r>
        <w:rPr>
          <w:rFonts w:ascii="Times New Roman" w:cs="Times New Roman" w:eastAsia="Times New Roman" w:hAnsi="Times New Roman"/>
          <w:sz w:val="18"/>
          <w:szCs w:val="18"/>
          <w:color w:val="auto"/>
        </w:rPr>
        <w:t>means the registered office for the time being of the Company;</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has the meaning given in the Regulations;</w:t>
      </w:r>
    </w:p>
    <w:p>
      <w:pPr>
        <w:spacing w:after="0" w:line="117" w:lineRule="exact"/>
        <w:rPr>
          <w:sz w:val="20"/>
          <w:szCs w:val="20"/>
          <w:color w:val="auto"/>
        </w:rPr>
      </w:pPr>
    </w:p>
    <w:p>
      <w:pPr>
        <w:ind w:left="18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Shares </w:t>
      </w:r>
      <w:r>
        <w:rPr>
          <w:rFonts w:ascii="Times New Roman" w:cs="Times New Roman" w:eastAsia="Times New Roman" w:hAnsi="Times New Roman"/>
          <w:sz w:val="18"/>
          <w:szCs w:val="18"/>
          <w:color w:val="auto"/>
        </w:rPr>
        <w:t>means the ordinary shares in the capital of the Company from time to time, identified in article 4(a) and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set out therein and in these articles generally;</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paid up </w:t>
      </w:r>
      <w:r>
        <w:rPr>
          <w:rFonts w:ascii="Times New Roman" w:cs="Times New Roman" w:eastAsia="Times New Roman" w:hAnsi="Times New Roman"/>
          <w:sz w:val="18"/>
          <w:szCs w:val="18"/>
          <w:color w:val="auto"/>
        </w:rPr>
        <w:t>means paid up or credited as paid up;</w:t>
      </w:r>
    </w:p>
    <w:p>
      <w:pPr>
        <w:spacing w:after="0" w:line="117" w:lineRule="exact"/>
        <w:rPr>
          <w:sz w:val="20"/>
          <w:szCs w:val="20"/>
          <w:color w:val="auto"/>
        </w:rPr>
      </w:pPr>
    </w:p>
    <w:p>
      <w:pPr>
        <w:jc w:val="both"/>
        <w:ind w:left="1880" w:right="28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Permitted Transferee </w:t>
      </w:r>
      <w:r>
        <w:rPr>
          <w:rFonts w:ascii="Times New Roman" w:cs="Times New Roman" w:eastAsia="Times New Roman" w:hAnsi="Times New Roman"/>
          <w:sz w:val="17"/>
          <w:szCs w:val="17"/>
          <w:color w:val="auto"/>
        </w:rPr>
        <w:t>means, with respect to a Relevant Holder, (a) any of its Affiliates or any related or controlled fund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sub-fund, partnership or investment vehicle or any general partner, managing limited partner or management company who holds or manages any business of, or whose business is held or managed by, that Relevant Holder or any of its Affiliates or</w:t>
      </w:r>
    </w:p>
    <w:p>
      <w:pPr>
        <w:spacing w:after="0" w:line="1" w:lineRule="exact"/>
        <w:rPr>
          <w:sz w:val="20"/>
          <w:szCs w:val="20"/>
          <w:color w:val="auto"/>
        </w:rPr>
      </w:pPr>
    </w:p>
    <w:p>
      <w:pPr>
        <w:ind w:left="1880" w:hanging="2"/>
        <w:spacing w:after="0" w:line="252" w:lineRule="auto"/>
        <w:tabs>
          <w:tab w:leader="none" w:pos="2135"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with the prior written consent of the Company (not to be unreasonably withheld, delayed or conditioned). With respect to a Relevant Holder that is an individual, a “Permitted Transferee” shall also include, and for the purposes of Article 7(d)(i) a “Permitted Transferee” shall be, (x) any member of such holder’s immediate family, or a trust for the benefit of the holder or any member of the holder’s immediate family the sole trustees of which are such holder or any member of such holders’s immediate family or (y) a person who becomes entitled to such shares by will, other testamentary document, under the laws of intestacy or by virtue of laws of descent and distribution upon the death of the holder.</w:t>
      </w:r>
    </w:p>
    <w:p>
      <w:pPr>
        <w:spacing w:after="0" w:line="78" w:lineRule="exact"/>
        <w:rPr>
          <w:sz w:val="20"/>
          <w:szCs w:val="20"/>
          <w:color w:val="auto"/>
        </w:rPr>
      </w:pPr>
    </w:p>
    <w:p>
      <w:pPr>
        <w:jc w:val="both"/>
        <w:ind w:left="1880" w:right="4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any individual, sole proprietorship, partnership, limited liability company, joint venture, trust, incorporated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association, corporation, institution, public benefit corporation, Governmental Authority or any other entity;</w:t>
      </w:r>
    </w:p>
    <w:p>
      <w:pPr>
        <w:spacing w:after="0" w:line="24" w:lineRule="exact"/>
        <w:rPr>
          <w:sz w:val="20"/>
          <w:szCs w:val="20"/>
          <w:color w:val="auto"/>
        </w:rPr>
      </w:pPr>
    </w:p>
    <w:p>
      <w:pPr>
        <w:ind w:left="188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entitled by transmission </w:t>
      </w:r>
      <w:r>
        <w:rPr>
          <w:rFonts w:ascii="Times New Roman" w:cs="Times New Roman" w:eastAsia="Times New Roman" w:hAnsi="Times New Roman"/>
          <w:sz w:val="18"/>
          <w:szCs w:val="18"/>
          <w:color w:val="auto"/>
        </w:rPr>
        <w:t>means a person whose entitlement to a share in consequence of the death or bankruptcy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or of any other event giving rise to its transmission by operation of law has been noted in the register;</w:t>
      </w:r>
    </w:p>
    <w:p>
      <w:pPr>
        <w:spacing w:after="0" w:line="47" w:lineRule="exact"/>
        <w:rPr>
          <w:sz w:val="20"/>
          <w:szCs w:val="20"/>
          <w:color w:val="auto"/>
        </w:rPr>
      </w:pPr>
    </w:p>
    <w:p>
      <w:pPr>
        <w:ind w:left="1880" w:right="100"/>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physical general meeting</w:t>
      </w:r>
      <w:r>
        <w:rPr>
          <w:rFonts w:ascii="Times New Roman" w:cs="Times New Roman" w:eastAsia="Times New Roman" w:hAnsi="Times New Roman"/>
          <w:sz w:val="18"/>
          <w:szCs w:val="18"/>
          <w:color w:val="auto"/>
        </w:rPr>
        <w:t xml:space="preserve"> means a general meeting held or conducted at one or more physical venues (at which facilities are not available to allow for persons who are not at such physical venue to attend or participate in the meeting electronically);</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principal register </w:t>
      </w:r>
      <w:r>
        <w:rPr>
          <w:rFonts w:ascii="Times New Roman" w:cs="Times New Roman" w:eastAsia="Times New Roman" w:hAnsi="Times New Roman"/>
          <w:sz w:val="18"/>
          <w:szCs w:val="18"/>
          <w:color w:val="auto"/>
        </w:rPr>
        <w:t>means the register maintained in England;</w:t>
      </w:r>
    </w:p>
    <w:p>
      <w:pPr>
        <w:spacing w:after="0" w:line="117" w:lineRule="exact"/>
        <w:rPr>
          <w:sz w:val="20"/>
          <w:szCs w:val="20"/>
          <w:color w:val="auto"/>
        </w:rPr>
      </w:pPr>
    </w:p>
    <w:p>
      <w:pPr>
        <w:ind w:left="1880"/>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proxy notification address</w:t>
      </w:r>
      <w:r>
        <w:rPr>
          <w:rFonts w:ascii="Times New Roman" w:cs="Times New Roman" w:eastAsia="Times New Roman" w:hAnsi="Times New Roman"/>
          <w:sz w:val="18"/>
          <w:szCs w:val="18"/>
          <w:color w:val="auto"/>
        </w:rPr>
        <w:t xml:space="preserve"> means the address or addresses (including any electronic address) specified in a notice of a meeting or in any other information issued by the Company in relation to a meeting (or, as the case may be, an adjourned meeting or a poll) for the receipt of proxy notices relating to that meeting (or adjourned meeting or poll) or, if no such address is specified, the office;</w:t>
      </w:r>
    </w:p>
    <w:p>
      <w:pPr>
        <w:spacing w:after="0" w:line="68" w:lineRule="exact"/>
        <w:rPr>
          <w:sz w:val="20"/>
          <w:szCs w:val="20"/>
          <w:color w:val="auto"/>
        </w:rPr>
      </w:pPr>
    </w:p>
    <w:p>
      <w:pPr>
        <w:ind w:left="1880"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 </w:t>
      </w:r>
      <w:r>
        <w:rPr>
          <w:rFonts w:ascii="Times New Roman" w:cs="Times New Roman" w:eastAsia="Times New Roman" w:hAnsi="Times New Roman"/>
          <w:sz w:val="18"/>
          <w:szCs w:val="18"/>
          <w:color w:val="auto"/>
        </w:rPr>
        <w:t>means the register of members of the Company to be kept and maintained under section 113 of the 2006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20 of the Regulations;</w:t>
      </w:r>
    </w:p>
    <w:p>
      <w:pPr>
        <w:spacing w:after="0" w:line="47" w:lineRule="exact"/>
        <w:rPr>
          <w:sz w:val="20"/>
          <w:szCs w:val="20"/>
          <w:color w:val="auto"/>
        </w:rPr>
      </w:pPr>
    </w:p>
    <w:p>
      <w:pPr>
        <w:ind w:left="188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Regulations </w:t>
      </w:r>
      <w:r>
        <w:rPr>
          <w:rFonts w:ascii="Times New Roman" w:cs="Times New Roman" w:eastAsia="Times New Roman" w:hAnsi="Times New Roman"/>
          <w:sz w:val="18"/>
          <w:szCs w:val="18"/>
          <w:color w:val="auto"/>
        </w:rPr>
        <w:t>means the Uncertificated Securities Regulations 2001 (SI 2001 no. 3755) including any rules made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regulations made in substitution for them for the time being in force;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88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relevant system </w:t>
      </w:r>
      <w:r>
        <w:rPr>
          <w:rFonts w:ascii="Times New Roman" w:cs="Times New Roman" w:eastAsia="Times New Roman" w:hAnsi="Times New Roman"/>
          <w:sz w:val="18"/>
          <w:szCs w:val="18"/>
          <w:color w:val="auto"/>
        </w:rPr>
        <w:t>means a computer-based system, and procedures, which enable title to units of a security to be evidenced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without a written instrument;</w:t>
      </w:r>
    </w:p>
    <w:p>
      <w:pPr>
        <w:spacing w:after="0" w:line="47" w:lineRule="exact"/>
        <w:rPr>
          <w:sz w:val="20"/>
          <w:szCs w:val="20"/>
          <w:color w:val="auto"/>
        </w:rPr>
      </w:pPr>
    </w:p>
    <w:p>
      <w:pPr>
        <w:ind w:left="18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seal </w:t>
      </w:r>
      <w:r>
        <w:rPr>
          <w:rFonts w:ascii="Times New Roman" w:cs="Times New Roman" w:eastAsia="Times New Roman" w:hAnsi="Times New Roman"/>
          <w:sz w:val="18"/>
          <w:szCs w:val="18"/>
          <w:color w:val="auto"/>
        </w:rPr>
        <w:t>means any common seal of the Company (if any) or any official seal or securities seal which the Company may have or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have under the Statutes;</w:t>
      </w:r>
    </w:p>
    <w:p>
      <w:pPr>
        <w:spacing w:after="0" w:line="47" w:lineRule="exact"/>
        <w:rPr>
          <w:sz w:val="20"/>
          <w:szCs w:val="20"/>
          <w:color w:val="auto"/>
        </w:rPr>
      </w:pPr>
    </w:p>
    <w:p>
      <w:pPr>
        <w:ind w:left="1880"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the secretary of the Company or, if there are joint secretaries, any of the joint secretaries and includes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assistant or deputy secretary and any person appointed by the Board to perform any of the duties of the secretary of the Company;</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Sponsor </w:t>
      </w:r>
      <w:r>
        <w:rPr>
          <w:rFonts w:ascii="Times New Roman" w:cs="Times New Roman" w:eastAsia="Times New Roman" w:hAnsi="Times New Roman"/>
          <w:sz w:val="18"/>
          <w:szCs w:val="18"/>
          <w:color w:val="auto"/>
        </w:rPr>
        <w:t>means Armada Sponsor LLC</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1880" w:right="8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Sponsor Group </w:t>
      </w:r>
      <w:r>
        <w:rPr>
          <w:rFonts w:ascii="Times New Roman" w:cs="Times New Roman" w:eastAsia="Times New Roman" w:hAnsi="Times New Roman"/>
          <w:sz w:val="18"/>
          <w:szCs w:val="18"/>
          <w:color w:val="auto"/>
        </w:rPr>
        <w:t>means the Sponsor, any of its Permitted Transferees or any other Relevant Holder that has received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(as agreed with the Company) from the Sponsor or any of its Permitted Transferees;</w:t>
      </w:r>
    </w:p>
    <w:p>
      <w:pPr>
        <w:spacing w:after="0" w:line="71" w:lineRule="exact"/>
        <w:rPr>
          <w:sz w:val="20"/>
          <w:szCs w:val="20"/>
          <w:color w:val="auto"/>
        </w:rPr>
      </w:pPr>
    </w:p>
    <w:p>
      <w:pPr>
        <w:ind w:left="1880"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Statutes </w:t>
      </w:r>
      <w:r>
        <w:rPr>
          <w:rFonts w:ascii="Times New Roman" w:cs="Times New Roman" w:eastAsia="Times New Roman" w:hAnsi="Times New Roman"/>
          <w:sz w:val="18"/>
          <w:szCs w:val="18"/>
          <w:color w:val="auto"/>
        </w:rPr>
        <w:t>means the 2006 Act, the Uncertificated Securities Regulations and every other act, statute, statutory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or order for the time being in force concerning companies in so far as they concern the Company;</w:t>
      </w:r>
    </w:p>
    <w:p>
      <w:pPr>
        <w:spacing w:after="0" w:line="47" w:lineRule="exact"/>
        <w:rPr>
          <w:sz w:val="20"/>
          <w:szCs w:val="20"/>
          <w:color w:val="auto"/>
        </w:rPr>
      </w:pPr>
    </w:p>
    <w:p>
      <w:pPr>
        <w:ind w:left="188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transfer office </w:t>
      </w:r>
      <w:r>
        <w:rPr>
          <w:rFonts w:ascii="Times New Roman" w:cs="Times New Roman" w:eastAsia="Times New Roman" w:hAnsi="Times New Roman"/>
          <w:sz w:val="17"/>
          <w:szCs w:val="17"/>
          <w:color w:val="auto"/>
        </w:rPr>
        <w:t>means: (i) in relation to the principal register, the location in England where the principal register is kept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maintained; and (ii) where the Company keeps an overseas branch register in respect of any country, territory or place outside of the United Kingdom the location in that country, territory or place where that overseas branch register is kept and maintained];</w:t>
      </w:r>
    </w:p>
    <w:p>
      <w:pPr>
        <w:spacing w:after="0" w:line="45" w:lineRule="exact"/>
        <w:rPr>
          <w:sz w:val="20"/>
          <w:szCs w:val="20"/>
          <w:color w:val="auto"/>
        </w:rPr>
      </w:pPr>
    </w:p>
    <w:p>
      <w:pPr>
        <w:ind w:left="188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transmission event </w:t>
      </w:r>
      <w:r>
        <w:rPr>
          <w:rFonts w:ascii="Times New Roman" w:cs="Times New Roman" w:eastAsia="Times New Roman" w:hAnsi="Times New Roman"/>
          <w:sz w:val="18"/>
          <w:szCs w:val="18"/>
          <w:color w:val="auto"/>
        </w:rPr>
        <w:t>means death, bankruptcy or any other event giving rise to the transmission of a person’s entitlement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by operation of law;</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means those shares held by the Company in treasury in accordance with section 724(1) of the 2006 Act;</w:t>
      </w:r>
    </w:p>
    <w:p>
      <w:pPr>
        <w:spacing w:after="0" w:line="117" w:lineRule="exact"/>
        <w:rPr>
          <w:sz w:val="20"/>
          <w:szCs w:val="20"/>
          <w:color w:val="auto"/>
        </w:rPr>
      </w:pPr>
    </w:p>
    <w:p>
      <w:pPr>
        <w:ind w:left="188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Securities Regulations </w:t>
      </w:r>
      <w:r>
        <w:rPr>
          <w:rFonts w:ascii="Times New Roman" w:cs="Times New Roman" w:eastAsia="Times New Roman" w:hAnsi="Times New Roman"/>
          <w:sz w:val="18"/>
          <w:szCs w:val="18"/>
          <w:color w:val="auto"/>
        </w:rPr>
        <w:t>means the Uncertificated Securities Regulations 2001 as amended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Statutes which supplement or replace such Regulations;</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undertaking </w:t>
      </w:r>
      <w:r>
        <w:rPr>
          <w:rFonts w:ascii="Times New Roman" w:cs="Times New Roman" w:eastAsia="Times New Roman" w:hAnsi="Times New Roman"/>
          <w:sz w:val="18"/>
          <w:szCs w:val="18"/>
          <w:color w:val="auto"/>
        </w:rPr>
        <w:t>means undertaking as defined in section 1161 of the 2006 Act;</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the United Kingdom </w:t>
      </w:r>
      <w:r>
        <w:rPr>
          <w:rFonts w:ascii="Times New Roman" w:cs="Times New Roman" w:eastAsia="Times New Roman" w:hAnsi="Times New Roman"/>
          <w:sz w:val="18"/>
          <w:szCs w:val="18"/>
          <w:color w:val="auto"/>
        </w:rPr>
        <w:t>means Great Britain and Northern Ireland;</w:t>
      </w:r>
    </w:p>
    <w:p>
      <w:pPr>
        <w:spacing w:after="0" w:line="117" w:lineRule="exact"/>
        <w:rPr>
          <w:sz w:val="20"/>
          <w:szCs w:val="20"/>
          <w:color w:val="auto"/>
        </w:rPr>
      </w:pPr>
    </w:p>
    <w:p>
      <w:pPr>
        <w:ind w:left="188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United States of America </w:t>
      </w:r>
      <w:r>
        <w:rPr>
          <w:rFonts w:ascii="Times New Roman" w:cs="Times New Roman" w:eastAsia="Times New Roman" w:hAnsi="Times New Roman"/>
          <w:sz w:val="18"/>
          <w:szCs w:val="18"/>
          <w:color w:val="auto"/>
        </w:rPr>
        <w:t>means the United States of America and its territories and possessions, including the District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Columbia;</w:t>
      </w:r>
    </w:p>
    <w:p>
      <w:pPr>
        <w:spacing w:after="0" w:line="47" w:lineRule="exact"/>
        <w:rPr>
          <w:sz w:val="20"/>
          <w:szCs w:val="20"/>
          <w:color w:val="auto"/>
        </w:rPr>
      </w:pPr>
    </w:p>
    <w:p>
      <w:pPr>
        <w:ind w:left="1880" w:right="2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US branch register </w:t>
      </w:r>
      <w:r>
        <w:rPr>
          <w:rFonts w:ascii="Times New Roman" w:cs="Times New Roman" w:eastAsia="Times New Roman" w:hAnsi="Times New Roman"/>
          <w:sz w:val="18"/>
          <w:szCs w:val="18"/>
          <w:color w:val="auto"/>
        </w:rPr>
        <w:t>means the overseas branch register of the Company, if any, maintained in the United States of America;</w:t>
      </w:r>
      <w:r>
        <w:rPr>
          <w:rFonts w:ascii="Times New Roman" w:cs="Times New Roman" w:eastAsia="Times New Roman" w:hAnsi="Times New Roman"/>
          <w:sz w:val="18"/>
          <w:szCs w:val="18"/>
          <w:b w:val="1"/>
          <w:bCs w:val="1"/>
          <w:color w:val="auto"/>
        </w:rPr>
        <w:t xml:space="preserve"> working day </w:t>
      </w:r>
      <w:r>
        <w:rPr>
          <w:rFonts w:ascii="Times New Roman" w:cs="Times New Roman" w:eastAsia="Times New Roman" w:hAnsi="Times New Roman"/>
          <w:sz w:val="18"/>
          <w:szCs w:val="18"/>
          <w:color w:val="auto"/>
        </w:rPr>
        <w:t>means working day as defined in section 1173 of the 2006 Act; and</w:t>
      </w:r>
      <w:r>
        <w:rPr>
          <w:rFonts w:ascii="Times New Roman" w:cs="Times New Roman" w:eastAsia="Times New Roman" w:hAnsi="Times New Roman"/>
          <w:sz w:val="18"/>
          <w:szCs w:val="18"/>
          <w:b w:val="1"/>
          <w:bCs w:val="1"/>
          <w:color w:val="auto"/>
        </w:rPr>
        <w:t xml:space="preserve"> year </w:t>
      </w:r>
      <w:r>
        <w:rPr>
          <w:rFonts w:ascii="Times New Roman" w:cs="Times New Roman" w:eastAsia="Times New Roman" w:hAnsi="Times New Roman"/>
          <w:sz w:val="18"/>
          <w:szCs w:val="18"/>
          <w:color w:val="auto"/>
        </w:rPr>
        <w:t>means calendar year;</w:t>
      </w:r>
    </w:p>
    <w:p>
      <w:pPr>
        <w:spacing w:after="0" w:line="222" w:lineRule="exact"/>
        <w:rPr>
          <w:sz w:val="20"/>
          <w:szCs w:val="20"/>
          <w:color w:val="auto"/>
        </w:rPr>
      </w:pPr>
    </w:p>
    <w:p>
      <w:pPr>
        <w:ind w:left="1860" w:right="120" w:hanging="543"/>
        <w:spacing w:after="0" w:line="261" w:lineRule="auto"/>
        <w:tabs>
          <w:tab w:leader="none" w:pos="186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uncertificated share, or to a share being held in uncertificated form, shall (subject to regulation 42(11)(a) of the Uncertificated Securities Regulations) mean a share in the capital of the Company which is for the time being recorded on the Operator Register of Members (as defined in regulation 20(1) of the Uncertificated Securities Regulations), and any reference to a certificated share means any share other than an uncertificated share;</w:t>
      </w:r>
    </w:p>
    <w:p>
      <w:pPr>
        <w:spacing w:after="0" w:line="81" w:lineRule="exact"/>
        <w:rPr>
          <w:rFonts w:ascii="Times New Roman" w:cs="Times New Roman" w:eastAsia="Times New Roman" w:hAnsi="Times New Roman"/>
          <w:sz w:val="18"/>
          <w:szCs w:val="18"/>
          <w:color w:val="auto"/>
        </w:rPr>
      </w:pPr>
    </w:p>
    <w:p>
      <w:pPr>
        <w:ind w:left="1860" w:right="120" w:hanging="543"/>
        <w:spacing w:after="0" w:line="286" w:lineRule="auto"/>
        <w:tabs>
          <w:tab w:leader="none" w:pos="186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expression </w:t>
      </w:r>
      <w:r>
        <w:rPr>
          <w:rFonts w:ascii="Times New Roman" w:cs="Times New Roman" w:eastAsia="Times New Roman" w:hAnsi="Times New Roman"/>
          <w:sz w:val="18"/>
          <w:szCs w:val="18"/>
          <w:b w:val="1"/>
          <w:bCs w:val="1"/>
          <w:color w:val="auto"/>
        </w:rPr>
        <w:t>member present in person</w:t>
      </w:r>
      <w:r>
        <w:rPr>
          <w:rFonts w:ascii="Times New Roman" w:cs="Times New Roman" w:eastAsia="Times New Roman" w:hAnsi="Times New Roman"/>
          <w:sz w:val="18"/>
          <w:szCs w:val="18"/>
          <w:color w:val="auto"/>
        </w:rPr>
        <w:t xml:space="preserve"> shall be deemed to include a member present by proxy or, in the case of a corporate member, by a duly authorised representative and cognate expressions shall be construed accordingly;</w:t>
      </w:r>
    </w:p>
    <w:p>
      <w:pPr>
        <w:spacing w:after="0" w:line="6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to </w:t>
      </w:r>
      <w:r>
        <w:rPr>
          <w:rFonts w:ascii="Times New Roman" w:cs="Times New Roman" w:eastAsia="Times New Roman" w:hAnsi="Times New Roman"/>
          <w:sz w:val="18"/>
          <w:szCs w:val="18"/>
          <w:b w:val="1"/>
          <w:bCs w:val="1"/>
          <w:color w:val="auto"/>
        </w:rPr>
        <w:t>days</w:t>
      </w:r>
      <w:r>
        <w:rPr>
          <w:rFonts w:ascii="Times New Roman" w:cs="Times New Roman" w:eastAsia="Times New Roman" w:hAnsi="Times New Roman"/>
          <w:sz w:val="18"/>
          <w:szCs w:val="18"/>
          <w:color w:val="auto"/>
        </w:rPr>
        <w:t xml:space="preserve"> of notice shall be construed as meaning clear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77152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ind w:left="540" w:hanging="424"/>
        <w:spacing w:after="0"/>
        <w:tabs>
          <w:tab w:leader="none" w:pos="540" w:val="left"/>
        </w:tabs>
        <w:numPr>
          <w:ilvl w:val="0"/>
          <w:numId w:val="4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Please complete. DLA to confirm</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line="266" w:lineRule="auto"/>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words or expressions defined in the 2006 Act or the Uncertificated Securities Regulations or, if not defined in that Act or those Regulations, in any other of the Statutes (in each case as in force on the date these articles take effect) have the same meaning in these articles or that part (as the case may be) except that the word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includes any body corporate;</w:t>
      </w:r>
    </w:p>
    <w:p>
      <w:pPr>
        <w:spacing w:after="0" w:line="81" w:lineRule="exact"/>
        <w:rPr>
          <w:rFonts w:ascii="Times New Roman" w:cs="Times New Roman" w:eastAsia="Times New Roman" w:hAnsi="Times New Roman"/>
          <w:sz w:val="18"/>
          <w:szCs w:val="18"/>
          <w:color w:val="auto"/>
        </w:rPr>
      </w:pPr>
    </w:p>
    <w:p>
      <w:pPr>
        <w:ind w:left="1860" w:right="20" w:hanging="543"/>
        <w:spacing w:after="0" w:line="282" w:lineRule="auto"/>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these articles to any statute or statutory provision includes a reference to any modification or re-enactment of it for the time being in force;</w:t>
      </w:r>
    </w:p>
    <w:p>
      <w:pPr>
        <w:spacing w:after="0" w:line="67"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 words importing one gender include the other gender and words importing persons include bodies corporate and unincorporated associations;</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writing includes a reference to any method of reproducing words in a legible form;</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w:t>
      </w:r>
    </w:p>
    <w:p>
      <w:pPr>
        <w:spacing w:after="0" w:line="126"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xml:space="preserve"> includes reference to an electronic communication;</w:t>
      </w:r>
    </w:p>
    <w:p>
      <w:pPr>
        <w:spacing w:after="0" w:line="134"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being sealed or executed under seal or under the common seal of any body corporate (including the Company) or any similar expression includes a reference to its being executed in any other manner which has the same effect as if it were executed under seal;</w:t>
      </w:r>
    </w:p>
    <w:p>
      <w:pPr>
        <w:spacing w:after="0" w:line="77" w:lineRule="exact"/>
        <w:rPr>
          <w:rFonts w:ascii="Times New Roman" w:cs="Times New Roman" w:eastAsia="Times New Roman" w:hAnsi="Times New Roman"/>
          <w:sz w:val="18"/>
          <w:szCs w:val="18"/>
          <w:color w:val="auto"/>
        </w:rPr>
      </w:pPr>
    </w:p>
    <w:p>
      <w:pPr>
        <w:ind w:left="2520" w:right="380" w:hanging="649"/>
        <w:spacing w:after="0" w:line="286" w:lineRule="auto"/>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xml:space="preserve"> means a written document having tangible form (e.g. on paper) and not comprised in an electronic communication;</w:t>
      </w:r>
    </w:p>
    <w:p>
      <w:pPr>
        <w:spacing w:after="0" w:line="60" w:lineRule="exact"/>
        <w:rPr>
          <w:rFonts w:ascii="Times New Roman" w:cs="Times New Roman" w:eastAsia="Times New Roman" w:hAnsi="Times New Roman"/>
          <w:sz w:val="18"/>
          <w:szCs w:val="18"/>
          <w:color w:val="auto"/>
        </w:rPr>
      </w:pPr>
    </w:p>
    <w:p>
      <w:pPr>
        <w:ind w:left="2520" w:right="120" w:hanging="649"/>
        <w:spacing w:after="0" w:line="268" w:lineRule="auto"/>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means the representation or reproduction of words, numbers or symbols in a legible and non-transitory form by any method or combination of methods whether comprised in an electronic communication or otherwise and including (without limitation) by e-mail;</w:t>
      </w:r>
    </w:p>
    <w:p>
      <w:pPr>
        <w:spacing w:after="0" w:line="76" w:lineRule="exact"/>
        <w:rPr>
          <w:rFonts w:ascii="Times New Roman" w:cs="Times New Roman" w:eastAsia="Times New Roman" w:hAnsi="Times New Roman"/>
          <w:sz w:val="18"/>
          <w:szCs w:val="18"/>
          <w:color w:val="auto"/>
        </w:rPr>
      </w:pPr>
    </w:p>
    <w:p>
      <w:pPr>
        <w:jc w:val="both"/>
        <w:ind w:left="2520" w:right="480" w:hanging="649"/>
        <w:spacing w:after="0" w:line="268" w:lineRule="auto"/>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in relation to electronic communications, includes any number or address (including, in the case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Uncertificated Proxy Instruction permitted by article 56, an identification number or a participant in the relevant system concerned) used for the purposes of such communications;</w:t>
      </w:r>
    </w:p>
    <w:p>
      <w:pPr>
        <w:spacing w:after="0" w:line="76" w:lineRule="exact"/>
        <w:rPr>
          <w:rFonts w:ascii="Times New Roman" w:cs="Times New Roman" w:eastAsia="Times New Roman" w:hAnsi="Times New Roman"/>
          <w:sz w:val="18"/>
          <w:szCs w:val="18"/>
          <w:color w:val="auto"/>
        </w:rPr>
      </w:pPr>
    </w:p>
    <w:p>
      <w:pPr>
        <w:ind w:left="2520" w:right="100" w:hanging="649"/>
        <w:spacing w:after="0" w:line="268" w:lineRule="auto"/>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 </w:t>
      </w:r>
      <w:r>
        <w:rPr>
          <w:rFonts w:ascii="Times New Roman" w:cs="Times New Roman" w:eastAsia="Times New Roman" w:hAnsi="Times New Roman"/>
          <w:sz w:val="18"/>
          <w:szCs w:val="18"/>
          <w:color w:val="auto"/>
        </w:rPr>
        <w:t>means, for the purposes of physical general meetings, present in person, or, for the purposes of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general meetings, present by electronic means (and references to persons attending </w:t>
      </w:r>
      <w:r>
        <w:rPr>
          <w:rFonts w:ascii="Times New Roman" w:cs="Times New Roman" w:eastAsia="Times New Roman" w:hAnsi="Times New Roman"/>
          <w:sz w:val="18"/>
          <w:szCs w:val="18"/>
          <w:b w:val="1"/>
          <w:bCs w:val="1"/>
          <w:color w:val="auto"/>
        </w:rPr>
        <w:t>by electronic means</w:t>
      </w:r>
      <w:r>
        <w:rPr>
          <w:rFonts w:ascii="Times New Roman" w:cs="Times New Roman" w:eastAsia="Times New Roman" w:hAnsi="Times New Roman"/>
          <w:sz w:val="18"/>
          <w:szCs w:val="18"/>
          <w:color w:val="auto"/>
        </w:rPr>
        <w:t xml:space="preserve"> is defined as attendance at electronic general meetings via the electronic platform(s) stated in the notice of such meeting);</w:t>
      </w:r>
    </w:p>
    <w:p>
      <w:pPr>
        <w:spacing w:after="0" w:line="80" w:lineRule="exact"/>
        <w:rPr>
          <w:rFonts w:ascii="Times New Roman" w:cs="Times New Roman" w:eastAsia="Times New Roman" w:hAnsi="Times New Roman"/>
          <w:sz w:val="18"/>
          <w:szCs w:val="18"/>
          <w:color w:val="auto"/>
        </w:rPr>
      </w:pPr>
    </w:p>
    <w:p>
      <w:pPr>
        <w:ind w:left="1860" w:right="760" w:hanging="543"/>
        <w:spacing w:after="0" w:line="282" w:lineRule="auto"/>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meeting shall not be taken as requiring more than one person to be present in person if any quorum requirement can be satisfied by one person;</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show of hands includes such other method of casting votes as the Board may from time to time approve;</w:t>
      </w:r>
    </w:p>
    <w:p>
      <w:pPr>
        <w:spacing w:after="0" w:line="130" w:lineRule="exact"/>
        <w:rPr>
          <w:rFonts w:ascii="Times New Roman" w:cs="Times New Roman" w:eastAsia="Times New Roman" w:hAnsi="Times New Roman"/>
          <w:sz w:val="18"/>
          <w:szCs w:val="18"/>
          <w:color w:val="auto"/>
        </w:rPr>
      </w:pPr>
    </w:p>
    <w:p>
      <w:pPr>
        <w:ind w:left="1860" w:right="60" w:hanging="543"/>
        <w:spacing w:after="0" w:line="258" w:lineRule="auto"/>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person who is attending or participating in a meeting electronically is a reference to a person whose attendance or participation at that meeting is enabled by a facility or facilities (whether electronic or otherwise), other than physical presence at a general meeting, which allows persons who may not be physically present together to communicate with each other any information or opinions they may have on any particular item of business of the meeting; electronic attendance and participation shall be construed accordingly;</w:t>
      </w:r>
    </w:p>
    <w:p>
      <w:pPr>
        <w:spacing w:after="0" w:line="88" w:lineRule="exact"/>
        <w:rPr>
          <w:rFonts w:ascii="Times New Roman" w:cs="Times New Roman" w:eastAsia="Times New Roman" w:hAnsi="Times New Roman"/>
          <w:sz w:val="18"/>
          <w:szCs w:val="18"/>
          <w:color w:val="auto"/>
        </w:rPr>
      </w:pPr>
    </w:p>
    <w:p>
      <w:pPr>
        <w:ind w:left="1860" w:right="260" w:hanging="543"/>
        <w:spacing w:after="0" w:line="266" w:lineRule="auto"/>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a power of sale or other right of disposal in relation to any share, any reference to the power of the Company or the Board to authorise a person to transfer that share to or as directed by the person to whom the share has been sold or disposed of shall, in the case of an uncertificated share, be deemed to include a reference to such other action as may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080"/>
          </w:cols>
          <w:pgMar w:left="320" w:top="455" w:right="49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be necessary to enable that share to be registered in the name of that person or as directed by that person; and</w:t>
      </w:r>
    </w:p>
    <w:p>
      <w:pPr>
        <w:spacing w:after="0" w:line="131" w:lineRule="exact"/>
        <w:rPr>
          <w:sz w:val="20"/>
          <w:szCs w:val="20"/>
          <w:color w:val="auto"/>
        </w:rPr>
      </w:pPr>
    </w:p>
    <w:p>
      <w:pPr>
        <w:ind w:left="1860" w:hanging="543"/>
        <w:spacing w:after="0"/>
        <w:tabs>
          <w:tab w:leader="none" w:pos="186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attaching to any share;</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having a right to attend and vote at general meetings of the Company;</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being paid, or any other distribution of the Company’s assets being made, to members;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 certain proportion or percentage of the issued share capital, or any class of share capital,</w:t>
      </w:r>
    </w:p>
    <w:p>
      <w:pPr>
        <w:spacing w:after="0" w:line="117" w:lineRule="exact"/>
        <w:rPr>
          <w:sz w:val="20"/>
          <w:szCs w:val="20"/>
          <w:color w:val="auto"/>
        </w:rPr>
      </w:pPr>
    </w:p>
    <w:p>
      <w:pPr>
        <w:ind w:left="1880" w:right="20"/>
        <w:spacing w:after="0" w:line="282" w:lineRule="auto"/>
        <w:rPr>
          <w:sz w:val="20"/>
          <w:szCs w:val="20"/>
          <w:color w:val="auto"/>
        </w:rPr>
      </w:pPr>
      <w:r>
        <w:rPr>
          <w:rFonts w:ascii="Times New Roman" w:cs="Times New Roman" w:eastAsia="Times New Roman" w:hAnsi="Times New Roman"/>
          <w:sz w:val="18"/>
          <w:szCs w:val="18"/>
          <w:color w:val="auto"/>
        </w:rPr>
        <w:t>shall, unless otherwise expressly provided by the Statutes, be construed as though any treasury shares held by the Company had been cancelled.</w:t>
      </w:r>
    </w:p>
    <w:p>
      <w:pPr>
        <w:spacing w:after="0" w:line="67" w:lineRule="exact"/>
        <w:rPr>
          <w:sz w:val="20"/>
          <w:szCs w:val="20"/>
          <w:color w:val="auto"/>
        </w:rPr>
      </w:pPr>
    </w:p>
    <w:p>
      <w:pPr>
        <w:ind w:left="1860" w:right="20" w:hanging="543"/>
        <w:spacing w:after="0" w:line="282" w:lineRule="auto"/>
        <w:tabs>
          <w:tab w:leader="none" w:pos="186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 special resolution shall be effective for any purpose for which an ordinary resolution is expressed to be required under these articles.</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to these articles are inserted for convenience only and shall not affect construction.</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liability</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members is limited to the amount, if any, unpaid on the shares in the Company respectively held by them.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52" w:lineRule="exact"/>
        <w:rPr>
          <w:sz w:val="20"/>
          <w:szCs w:val="20"/>
          <w:color w:val="auto"/>
        </w:rPr>
      </w:pPr>
    </w:p>
    <w:p>
      <w:pPr>
        <w:ind w:left="660" w:hanging="544"/>
        <w:spacing w:after="0"/>
        <w:tabs>
          <w:tab w:leader="none" w:pos="660"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and rights attached to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issue the following shares in the capital of the Company with rights attaching to them as follows:</w:t>
      </w:r>
    </w:p>
    <w:p>
      <w:pPr>
        <w:spacing w:after="0" w:line="126" w:lineRule="exact"/>
        <w:rPr>
          <w:rFonts w:ascii="Times New Roman" w:cs="Times New Roman" w:eastAsia="Times New Roman" w:hAnsi="Times New Roman"/>
          <w:sz w:val="18"/>
          <w:szCs w:val="18"/>
          <w:b w:val="1"/>
          <w:bCs w:val="1"/>
          <w:color w:val="auto"/>
        </w:rPr>
      </w:pPr>
    </w:p>
    <w:p>
      <w:pPr>
        <w:ind w:left="1860" w:hanging="543"/>
        <w:spacing w:after="0" w:line="268" w:lineRule="auto"/>
        <w:tabs>
          <w:tab w:leader="none" w:pos="186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Each Ordinary Share shall be non-redeemable and shall have one vote attaching to it for voting purposes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as provided in article 5(b) in respect of those shares held by the Founder and/or in which he is interested or of which he is Beneficial Owner).</w:t>
      </w:r>
    </w:p>
    <w:p>
      <w:pPr>
        <w:spacing w:after="0" w:line="76" w:lineRule="exact"/>
        <w:rPr>
          <w:rFonts w:ascii="Times New Roman" w:cs="Times New Roman" w:eastAsia="Times New Roman" w:hAnsi="Times New Roman"/>
          <w:sz w:val="18"/>
          <w:szCs w:val="18"/>
          <w:color w:val="auto"/>
        </w:rPr>
      </w:pPr>
    </w:p>
    <w:p>
      <w:pPr>
        <w:ind w:left="1860" w:right="460" w:hanging="543"/>
        <w:spacing w:after="0" w:line="286" w:lineRule="auto"/>
        <w:tabs>
          <w:tab w:leader="none" w:pos="186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Shares</w:t>
      </w:r>
      <w:r>
        <w:rPr>
          <w:rFonts w:ascii="Times New Roman" w:cs="Times New Roman" w:eastAsia="Times New Roman" w:hAnsi="Times New Roman"/>
          <w:sz w:val="18"/>
          <w:szCs w:val="18"/>
          <w:color w:val="auto"/>
        </w:rPr>
        <w:t>: Each Deferred Share shall be redeemable at the option of the Company and shall have the rights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restrictions set out in article 6 below.</w:t>
      </w:r>
    </w:p>
    <w:p>
      <w:pPr>
        <w:spacing w:after="0" w:line="51"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Ordinary Shares shall form a single class in the capital of the Company in all respects including as to rights: (i) to receive a dividend or other distribution; (ii) upon a liquidation, dissolution or winding up of the Company; or (iii) upon a direct or indirect change of control of the Company. For the avoidance of doubt, the Deferred Shares shall have the rights and be subject to the restrictions set out in article 6 below only and shall be treated in all respects as a distinct and separate class of shares in the capital of the Company to those of the Ordinary Shares.</w:t>
      </w:r>
    </w:p>
    <w:p>
      <w:pPr>
        <w:spacing w:after="0" w:line="324" w:lineRule="exact"/>
        <w:rPr>
          <w:sz w:val="20"/>
          <w:szCs w:val="20"/>
          <w:color w:val="auto"/>
        </w:rPr>
      </w:pPr>
    </w:p>
    <w:p>
      <w:pPr>
        <w:ind w:left="660" w:hanging="544"/>
        <w:spacing w:after="0"/>
        <w:tabs>
          <w:tab w:leader="none" w:pos="660"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attaching to Founder’s Shares</w:t>
      </w:r>
    </w:p>
    <w:p>
      <w:pPr>
        <w:spacing w:after="0" w:line="134" w:lineRule="exact"/>
        <w:rPr>
          <w:rFonts w:ascii="Times New Roman" w:cs="Times New Roman" w:eastAsia="Times New Roman" w:hAnsi="Times New Roman"/>
          <w:sz w:val="18"/>
          <w:szCs w:val="18"/>
          <w:b w:val="1"/>
          <w:bCs w:val="1"/>
          <w:color w:val="auto"/>
        </w:rPr>
      </w:pPr>
    </w:p>
    <w:p>
      <w:pPr>
        <w:ind w:left="1860" w:right="120" w:hanging="543"/>
        <w:spacing w:after="0" w:line="282" w:lineRule="auto"/>
        <w:tabs>
          <w:tab w:leader="none" w:pos="186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this article 5, any rights attaching to the Ordinary Shares may only be varied in accordance with the provisions of article 18.</w:t>
      </w:r>
    </w:p>
    <w:p>
      <w:pPr>
        <w:spacing w:after="0" w:line="67" w:lineRule="exact"/>
        <w:rPr>
          <w:rFonts w:ascii="Times New Roman" w:cs="Times New Roman" w:eastAsia="Times New Roman" w:hAnsi="Times New Roman"/>
          <w:sz w:val="18"/>
          <w:szCs w:val="18"/>
          <w:color w:val="auto"/>
        </w:rPr>
      </w:pPr>
    </w:p>
    <w:p>
      <w:pPr>
        <w:ind w:left="1860" w:right="440" w:hanging="543"/>
        <w:spacing w:after="0" w:line="282" w:lineRule="auto"/>
        <w:tabs>
          <w:tab w:leader="none" w:pos="186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the aggregate number of votes attaching to all the shares held by the Founder and/or in which he is interested or of which he is Beneficial Owner shall be equal to the higher of:</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00"/>
          </w:cols>
          <w:pgMar w:left="320" w:top="455" w:right="47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20" w:hanging="649"/>
        <w:spacing w:after="0"/>
        <w:tabs>
          <w:tab w:leader="none" w:pos="2520" w:val="left"/>
        </w:tabs>
        <w:numPr>
          <w:ilvl w:val="2"/>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have been conferred on the Founder if this article 5, did not apply.</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attaching to the Deferred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Deferred Share shall confer upon the holder such rights, and be subject to restrictions, as follows:</w:t>
      </w:r>
    </w:p>
    <w:p>
      <w:pPr>
        <w:spacing w:after="0" w:line="130"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a Deferred Share:</w:t>
      </w:r>
    </w:p>
    <w:p>
      <w:pPr>
        <w:spacing w:after="0" w:line="130" w:lineRule="exact"/>
        <w:rPr>
          <w:rFonts w:ascii="Times New Roman" w:cs="Times New Roman" w:eastAsia="Times New Roman" w:hAnsi="Times New Roman"/>
          <w:sz w:val="18"/>
          <w:szCs w:val="18"/>
          <w:color w:val="auto"/>
        </w:rPr>
      </w:pPr>
    </w:p>
    <w:p>
      <w:pPr>
        <w:ind w:left="2520" w:right="300" w:hanging="649"/>
        <w:spacing w:after="0" w:line="282" w:lineRule="auto"/>
        <w:tabs>
          <w:tab w:leader="none" w:pos="2520" w:val="left"/>
        </w:tabs>
        <w:numPr>
          <w:ilvl w:val="2"/>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any dividend or distribution declared, made or paid or any return of capital and does not entitle its holder to any further or other right of participation in the assets of the Company;</w:t>
      </w:r>
    </w:p>
    <w:p>
      <w:pPr>
        <w:spacing w:after="0" w:line="67" w:lineRule="exact"/>
        <w:rPr>
          <w:sz w:val="20"/>
          <w:szCs w:val="20"/>
          <w:color w:val="auto"/>
        </w:rPr>
      </w:pPr>
    </w:p>
    <w:p>
      <w:pPr>
        <w:ind w:left="2520" w:right="620" w:hanging="649"/>
        <w:spacing w:after="0" w:line="282" w:lineRule="auto"/>
        <w:tabs>
          <w:tab w:leader="none" w:pos="2520"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participate on a return of assets on a winding up of the Company beyond $1 for all Deferred Shares in issue;</w:t>
      </w:r>
    </w:p>
    <w:p>
      <w:pPr>
        <w:spacing w:after="0" w:line="67"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a share certificate in respect of his or her shareholding, save as required by the Statutes;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notice of, attend, speak or vote at, any general meeting of the Company;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transferable at any time other than with the prior written consent of the Board;</w:t>
      </w:r>
    </w:p>
    <w:p>
      <w:pPr>
        <w:spacing w:after="0" w:line="130"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Deferred Shares from time to time shall be redeemable at the option of the Company (but not any member) for US$ 1.00 in aggregate for all such Deferred Shares being redeemed or such higher amount as may be determined by the Board and, as the case may be, specified in any agreement with the member holding such Deferred Shares;</w:t>
      </w:r>
    </w:p>
    <w:p>
      <w:pPr>
        <w:spacing w:after="0" w:line="81" w:lineRule="exact"/>
        <w:rPr>
          <w:rFonts w:ascii="Times New Roman" w:cs="Times New Roman" w:eastAsia="Times New Roman" w:hAnsi="Times New Roman"/>
          <w:sz w:val="18"/>
          <w:szCs w:val="18"/>
          <w:color w:val="auto"/>
        </w:rPr>
      </w:pPr>
    </w:p>
    <w:p>
      <w:pPr>
        <w:ind w:left="1860" w:right="220" w:hanging="543"/>
        <w:spacing w:after="0" w:line="282" w:lineRule="auto"/>
        <w:tabs>
          <w:tab w:leader="none" w:pos="186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and where required pursuant to the terms of the Merger Agreement (but subject always to any applicable law) the Board shall:</w:t>
      </w:r>
    </w:p>
    <w:p>
      <w:pPr>
        <w:spacing w:after="0" w:line="67"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such actions as are required to redeem any or all of the Deferred Shares in issue from time to time (subject to the requirements of the Statutes) and without any requirement to obtain the consent or sanction of the holders thereof; and</w:t>
      </w:r>
    </w:p>
    <w:p>
      <w:pPr>
        <w:spacing w:after="0" w:line="81" w:lineRule="exact"/>
        <w:rPr>
          <w:rFonts w:ascii="Times New Roman" w:cs="Times New Roman" w:eastAsia="Times New Roman" w:hAnsi="Times New Roman"/>
          <w:sz w:val="18"/>
          <w:szCs w:val="18"/>
          <w:color w:val="auto"/>
        </w:rPr>
      </w:pPr>
    </w:p>
    <w:p>
      <w:pPr>
        <w:ind w:left="2520" w:right="20" w:hanging="649"/>
        <w:spacing w:after="0" w:line="282" w:lineRule="auto"/>
        <w:tabs>
          <w:tab w:leader="none" w:pos="252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any person to execute and do all such deeds, documents, acts and things as may be necessary to give effect to the actions contemplated by this article 6; and</w:t>
      </w:r>
    </w:p>
    <w:p>
      <w:pPr>
        <w:spacing w:after="0" w:line="67" w:lineRule="exact"/>
        <w:rPr>
          <w:rFonts w:ascii="Times New Roman" w:cs="Times New Roman" w:eastAsia="Times New Roman" w:hAnsi="Times New Roman"/>
          <w:sz w:val="18"/>
          <w:szCs w:val="18"/>
          <w:color w:val="auto"/>
        </w:rPr>
      </w:pPr>
    </w:p>
    <w:p>
      <w:pPr>
        <w:ind w:left="1860" w:right="200" w:hanging="543"/>
        <w:spacing w:after="0" w:line="261" w:lineRule="auto"/>
        <w:tabs>
          <w:tab w:leader="none" w:pos="186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attached to the Deferred Shares shall not be deemed to be varied or abrogated by the creation or issue of any new shares ranking in priority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shares, any amendment or variation of the rights of any other class of shares of the Company, the Company reducing its share capital or surrender or purchase of any share, whether a Deferred Share or otherwise.</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to Deferred Shares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6" w:lineRule="auto"/>
        <w:tabs>
          <w:tab w:leader="none" w:pos="18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agree with any member terms and conditions upon which all or any part of the Ordinary Shares held by such member from time to time shall be automatically and irrevocably converted into Deferred Shares without any requirement to obtain the further consent or sanction of such member and may deal with any such Deferred Shares in accordance with article 6.</w:t>
      </w:r>
    </w:p>
    <w:p>
      <w:pPr>
        <w:spacing w:after="0" w:line="81"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other provisions of these articles (including but not limited to article 7(a) or article 10(c)(iii)), the Board may, pursuant to any agreement with a member granting the Company an express right to do so, convert any Ordinary Shares to Deferred Shares without any requirement to obtain the further consent or sanction of that member and may deal with any such Deferred Shares in accordance with article 6.</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5" w:right="45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80" w:hanging="543"/>
        <w:spacing w:after="0" w:line="261" w:lineRule="auto"/>
        <w:tabs>
          <w:tab w:leader="none" w:pos="18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director of the Company (or any affiliate of any such director) is a holder of Ordinary Shares that are subject to conversion to Deferred Shares as envisaged by articles 7(a) and 7(b) above, such director shall be prohibited from counting in the quorum or voting in respect of any resolutions proposed to be passed by the Board in connection with the conversion and/or subsequent redemption of such shares.</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w:t>
      </w:r>
    </w:p>
    <w:p>
      <w:pPr>
        <w:spacing w:after="0" w:line="130" w:lineRule="exact"/>
        <w:rPr>
          <w:rFonts w:ascii="Times New Roman" w:cs="Times New Roman" w:eastAsia="Times New Roman" w:hAnsi="Times New Roman"/>
          <w:sz w:val="18"/>
          <w:szCs w:val="18"/>
          <w:color w:val="auto"/>
        </w:rPr>
      </w:pPr>
    </w:p>
    <w:p>
      <w:pPr>
        <w:ind w:left="2520" w:hanging="649"/>
        <w:spacing w:after="0" w:line="256" w:lineRule="auto"/>
        <w:tabs>
          <w:tab w:leader="none" w:pos="2520"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 employee or consultant (other than the Founder) ceases to be an employee or consultant of or to the Company or any subsidiary (such that he is neither an employee or consultant of or to the Company or any subsidiary), then unless the Board resolves otherwise with the written consent of the Founder all the Shares held by such holder and/or his Permitted Transferees (the “</w:t>
      </w:r>
      <w:r>
        <w:rPr>
          <w:rFonts w:ascii="Times New Roman" w:cs="Times New Roman" w:eastAsia="Times New Roman" w:hAnsi="Times New Roman"/>
          <w:sz w:val="18"/>
          <w:szCs w:val="18"/>
          <w:b w:val="1"/>
          <w:bCs w:val="1"/>
          <w:color w:val="auto"/>
        </w:rPr>
        <w:t>Departing Employee Shares</w:t>
      </w:r>
      <w:r>
        <w:rPr>
          <w:rFonts w:ascii="Times New Roman" w:cs="Times New Roman" w:eastAsia="Times New Roman" w:hAnsi="Times New Roman"/>
          <w:sz w:val="18"/>
          <w:szCs w:val="18"/>
          <w:color w:val="auto"/>
        </w:rPr>
        <w:t>”) shall automatically convert into Deferred Shares (on the basis of one Deferred Share for each Share held) on the date of such cessation (the “Cessation Date”) (rounded down to the nearest whole share).</w:t>
      </w:r>
    </w:p>
    <w:p>
      <w:pPr>
        <w:spacing w:after="0" w:line="92" w:lineRule="exact"/>
        <w:rPr>
          <w:rFonts w:ascii="Times New Roman" w:cs="Times New Roman" w:eastAsia="Times New Roman" w:hAnsi="Times New Roman"/>
          <w:sz w:val="18"/>
          <w:szCs w:val="18"/>
          <w:color w:val="auto"/>
        </w:rPr>
      </w:pPr>
    </w:p>
    <w:p>
      <w:pPr>
        <w:ind w:left="2520" w:hanging="649"/>
        <w:spacing w:after="0" w:line="255" w:lineRule="auto"/>
        <w:tabs>
          <w:tab w:leader="none" w:pos="2520"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conversion into Deferred Shares, the Company shall be entitled to enter the holder of the Deferred Shares on the register of members of the Company as the holder of the appropriate number of Deferred Shares as from the Cessation Date. Upon the Cessation Date, the holder of the Departing Employee Shares shall deliver to the Company at its registered office the share certificate(s) (to the extent not already in the possession of the Company) (or an indemnity for lost certificate in a form acceptable to the Board) for the Shares so converting and upon such delivery there shall be issued to him (or his Permitted Transferee(s)) share certificate(s) for the number of Deferred Shares resulting from the relevant conversion.</w:t>
      </w:r>
    </w:p>
    <w:p>
      <w:pPr>
        <w:spacing w:after="0" w:line="333"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Authority to allot shares and grant rights</w:t>
      </w:r>
    </w:p>
    <w:p>
      <w:pPr>
        <w:spacing w:after="0" w:line="121"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these articles and any resolution of the Company, the Board may offer, allot (with or without conferring a right of renunciation), grant options over, grant rights to subscribe for or to convert any security into or otherwise deal with or dispose of any unissued shares in the Company to such persons, at such times and generally on such terms as the Board may decide.</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pay commission</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pay commissions or brokerage fees in respect of shares on such terms as the directors may think proper.</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alter share capital</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exercise the powers conferred by the Statutes to:</w:t>
      </w:r>
    </w:p>
    <w:p>
      <w:pPr>
        <w:spacing w:after="0" w:line="130" w:lineRule="exact"/>
        <w:rPr>
          <w:rFonts w:ascii="Times New Roman" w:cs="Times New Roman" w:eastAsia="Times New Roman" w:hAnsi="Times New Roman"/>
          <w:sz w:val="18"/>
          <w:szCs w:val="18"/>
          <w:color w:val="auto"/>
        </w:rPr>
      </w:pPr>
    </w:p>
    <w:p>
      <w:pPr>
        <w:ind w:left="2520" w:right="660" w:hanging="649"/>
        <w:spacing w:after="0" w:line="282" w:lineRule="auto"/>
        <w:tabs>
          <w:tab w:leader="none" w:pos="2520"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creating new shares of such amount and in such currency or currencies as it thinks expedient;</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or consolidate and divide all or any of its share capital;</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redenominate all or any of its shares and cancel some of its shares in connection with such a redenomination;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its share capital in any other manner permitted by the 2006 Act.</w:t>
      </w:r>
    </w:p>
    <w:p>
      <w:pPr>
        <w:spacing w:after="0" w:line="130"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by which any share is sub-divided may determine that, as between the holders of the shares resulting from the sub-division, one or more of the shares may have such preferred or other special rights or may have such qualified or deferred rights or be subject to such restrictions, as compared with the other or others, as the Company has power to attach to new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20"/>
          </w:cols>
          <w:pgMar w:left="320" w:top="455" w:right="45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240" w:hanging="543"/>
        <w:spacing w:after="0" w:line="282" w:lineRule="auto"/>
        <w:tabs>
          <w:tab w:leader="none" w:pos="18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consolidation and division or sub-division of shares any members would become entitled to fractions of a share, the Board may deal with the fractions as it thinks fit. In particular, the Board may:</w:t>
      </w:r>
    </w:p>
    <w:p>
      <w:pPr>
        <w:spacing w:after="0" w:line="67" w:lineRule="exact"/>
        <w:rPr>
          <w:rFonts w:ascii="Times New Roman" w:cs="Times New Roman" w:eastAsia="Times New Roman" w:hAnsi="Times New Roman"/>
          <w:sz w:val="18"/>
          <w:szCs w:val="18"/>
          <w:color w:val="auto"/>
        </w:rPr>
      </w:pPr>
    </w:p>
    <w:p>
      <w:pPr>
        <w:ind w:left="2520" w:right="100" w:hanging="649"/>
        <w:spacing w:after="0" w:line="258" w:lineRule="auto"/>
        <w:tabs>
          <w:tab w:leader="none" w:pos="2520" w:val="left"/>
        </w:tabs>
        <w:numPr>
          <w:ilvl w:val="2"/>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those members) aggregate and sell the shares representing the fractions to any person (including, subject to the Statutes, the Company) and distribute the net proceeds of sale in due proportion among those members (except that any proceeds in respect of any holding less than a sum fixed by the Board may be retained for the benefit of the Company) and the directors may authorise some person to execute an instrument of transfer of shares and/or any relevant buyback instrument (if applicable) to, or in accordance with the directions of, the purchaser; or</w:t>
      </w:r>
    </w:p>
    <w:p>
      <w:pPr>
        <w:spacing w:after="0" w:line="88" w:lineRule="exact"/>
        <w:rPr>
          <w:rFonts w:ascii="Times New Roman" w:cs="Times New Roman" w:eastAsia="Times New Roman" w:hAnsi="Times New Roman"/>
          <w:sz w:val="18"/>
          <w:szCs w:val="18"/>
          <w:color w:val="auto"/>
        </w:rPr>
      </w:pPr>
    </w:p>
    <w:p>
      <w:pPr>
        <w:ind w:left="2520" w:right="100" w:hanging="649"/>
        <w:spacing w:after="0" w:line="266" w:lineRule="auto"/>
        <w:tabs>
          <w:tab w:leader="none" w:pos="2520" w:val="left"/>
        </w:tabs>
        <w:numPr>
          <w:ilvl w:val="2"/>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first, allot to a member credited as fully paid by way of capitalisation of any reserve account of the Company such number of shares as rounds up the member’s holding to a number which, following consolidation and division or sub-division, leaves a whole number of shares; or</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such fractional entitlements into Deferred Shares.</w:t>
      </w:r>
    </w:p>
    <w:p>
      <w:pPr>
        <w:spacing w:after="0" w:line="130"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 sale under paragraph (c)(i) above, the Board may authorise a person to transfer the shares to, or as directed by, the purchaser, who shall not be bound to see to the application of the purchase money and the title of the new holder to the shares shall not be affected by any irregularity in or invalidity of the proceedings relating to the sale.</w:t>
      </w:r>
    </w:p>
    <w:p>
      <w:pPr>
        <w:spacing w:after="0" w:line="320" w:lineRule="exact"/>
        <w:rPr>
          <w:rFonts w:ascii="Times New Roman" w:cs="Times New Roman" w:eastAsia="Times New Roman" w:hAnsi="Times New Roman"/>
          <w:sz w:val="18"/>
          <w:szCs w:val="18"/>
          <w:color w:val="auto"/>
        </w:rPr>
      </w:pPr>
    </w:p>
    <w:p>
      <w:pPr>
        <w:ind w:left="660" w:right="4060" w:hanging="544"/>
        <w:spacing w:after="0" w:line="385" w:lineRule="auto"/>
        <w:tabs>
          <w:tab w:leader="none" w:pos="649"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 to issue redeemable shares and conversion of existing non-redeemable shares </w:t>
      </w:r>
      <w:r>
        <w:rPr>
          <w:rFonts w:ascii="Times New Roman" w:cs="Times New Roman" w:eastAsia="Times New Roman" w:hAnsi="Times New Roman"/>
          <w:sz w:val="18"/>
          <w:szCs w:val="18"/>
          <w:color w:val="auto"/>
        </w:rPr>
        <w:t>Subject to the Statutes:</w:t>
      </w:r>
    </w:p>
    <w:p>
      <w:pPr>
        <w:spacing w:after="0" w:line="1" w:lineRule="exact"/>
        <w:rPr>
          <w:rFonts w:ascii="Times New Roman" w:cs="Times New Roman" w:eastAsia="Times New Roman" w:hAnsi="Times New Roman"/>
          <w:sz w:val="18"/>
          <w:szCs w:val="18"/>
          <w:b w:val="1"/>
          <w:bCs w:val="1"/>
          <w:color w:val="auto"/>
        </w:rPr>
      </w:pPr>
    </w:p>
    <w:p>
      <w:pPr>
        <w:ind w:left="1860" w:right="200" w:hanging="543"/>
        <w:spacing w:after="0" w:line="266" w:lineRule="auto"/>
        <w:tabs>
          <w:tab w:leader="none" w:pos="186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may be issued on terms that it is to be redeemed or is liable to be redeemed at the option of the Company or the holder and the terms, conditions and manner of redemption of such shares shall be determined by the Board before the shares are allotted (and such terms and conditions shall apply as if the same were set out in these articles); and</w:t>
      </w:r>
    </w:p>
    <w:p>
      <w:pPr>
        <w:spacing w:after="0" w:line="81"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non-redeemable shares (whether issued or not) may, where permitted by these articles and determined by the Board, be converted into shares that are to be redeemed or are liable to be redeemed in accordance with their terms, which may include provision for redemption at the option of either or both of the Company or holder thereof.</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purchase own shares</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and to any rights conferred on the holders of any class of shares, the Company may purchase all or any of its shares of any class, including any redeemable shares. Subject to the Statutes, the Company may hold as treasury shares any shares purchased or redeemed by it.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reduce capital</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and to any rights conferred on the holders of any class of shares, the Company may by ordinary resolution reduce its share capital, any capital redemption reserves and any share premium account in any way.</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Trusts not recognised</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a court of competent jurisdiction or these articles, no person shall be recognised by the Company as holding any share upon any trust and the Company shall not be bound by or required to recognise (even when having notice of it) any equitable, contingent, future, partial or other claim to or interest in or in respect of any share, except the holder’s absolute right to the entirety of the share.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5" w:right="45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4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Redemption, Purchase and Surrender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that the Company redeems, purchases, accepts by way of surrender or otherwise acquires pursuant to these articles may:</w:t>
      </w:r>
    </w:p>
    <w:p>
      <w:pPr>
        <w:spacing w:after="0" w:line="130"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or</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held as Treasury Shares on such terms and in such manner as the Directors determine prior to such acquisition.</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and obligations attaching to a treasury share are suspended and shall not be exercised by the Company while it holds the share as a treasury share, other than as set out in this article. The Company may:</w:t>
      </w:r>
    </w:p>
    <w:p>
      <w:pPr>
        <w:spacing w:after="0" w:line="67"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treasury shares on such terms and in such a manner as the directors may determine; and</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treasury shares in accordance with these articles.</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UNCERTIFICATED SHARES – GENERAL POWERS</w:t>
      </w:r>
    </w:p>
    <w:p>
      <w:pPr>
        <w:spacing w:after="0" w:line="252" w:lineRule="exact"/>
        <w:rPr>
          <w:sz w:val="20"/>
          <w:szCs w:val="20"/>
          <w:color w:val="auto"/>
        </w:rPr>
      </w:pPr>
    </w:p>
    <w:p>
      <w:pPr>
        <w:ind w:left="660" w:hanging="544"/>
        <w:spacing w:after="0"/>
        <w:tabs>
          <w:tab w:leader="none" w:pos="660"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Uncertificated shares – general powers</w:t>
      </w:r>
    </w:p>
    <w:p>
      <w:pPr>
        <w:spacing w:after="0" w:line="134" w:lineRule="exact"/>
        <w:rPr>
          <w:rFonts w:ascii="Times New Roman" w:cs="Times New Roman" w:eastAsia="Times New Roman" w:hAnsi="Times New Roman"/>
          <w:sz w:val="18"/>
          <w:szCs w:val="18"/>
          <w:b w:val="1"/>
          <w:bCs w:val="1"/>
          <w:color w:val="auto"/>
        </w:rPr>
      </w:pPr>
    </w:p>
    <w:p>
      <w:pPr>
        <w:ind w:left="1860" w:right="340" w:hanging="543"/>
        <w:spacing w:after="0" w:line="282" w:lineRule="auto"/>
        <w:tabs>
          <w:tab w:leader="none" w:pos="186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Board may permit any class of shares to be held in uncertificated form and to be transferred by means of a relevant system and may revoke any such permission.</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share which is for the time being held in uncertificated form:</w:t>
      </w:r>
    </w:p>
    <w:p>
      <w:pPr>
        <w:spacing w:after="0" w:line="130" w:lineRule="exact"/>
        <w:rPr>
          <w:rFonts w:ascii="Times New Roman" w:cs="Times New Roman" w:eastAsia="Times New Roman" w:hAnsi="Times New Roman"/>
          <w:sz w:val="18"/>
          <w:szCs w:val="18"/>
          <w:color w:val="auto"/>
        </w:rPr>
      </w:pPr>
    </w:p>
    <w:p>
      <w:pPr>
        <w:ind w:left="2520" w:hanging="649"/>
        <w:spacing w:after="0" w:line="261" w:lineRule="auto"/>
        <w:tabs>
          <w:tab w:leader="none" w:pos="2520" w:val="left"/>
        </w:tabs>
        <w:numPr>
          <w:ilvl w:val="2"/>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utilise the relevant system in which it is held to the fullest extent available from time to time in the exercise of any of its powers or functions under the Statutes or these articles or otherwise in effecting any actions and the Board may from time to time determine the manner in which such powers, functions and actions shall be so exercised or effected;</w:t>
      </w:r>
    </w:p>
    <w:p>
      <w:pPr>
        <w:spacing w:after="0" w:line="8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these articles which is inconsistent with:</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or transfer of that share in the manner prescribed or permitted by the Statutes;</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of the Statutes relating to shares held in uncertificated form;</w:t>
      </w:r>
    </w:p>
    <w:p>
      <w:pPr>
        <w:spacing w:after="0" w:line="130" w:lineRule="exact"/>
        <w:rPr>
          <w:rFonts w:ascii="Times New Roman" w:cs="Times New Roman" w:eastAsia="Times New Roman" w:hAnsi="Times New Roman"/>
          <w:sz w:val="18"/>
          <w:szCs w:val="18"/>
          <w:color w:val="auto"/>
        </w:rPr>
      </w:pPr>
    </w:p>
    <w:p>
      <w:pPr>
        <w:ind w:left="3080" w:right="200" w:hanging="548"/>
        <w:spacing w:after="0" w:line="282" w:lineRule="auto"/>
        <w:tabs>
          <w:tab w:leader="none" w:pos="3080" w:val="left"/>
        </w:tabs>
        <w:numPr>
          <w:ilvl w:val="3"/>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powers or functions by the Company or the effecting by the Company of any actions by means of a relevant system; or</w:t>
      </w:r>
    </w:p>
    <w:p>
      <w:pPr>
        <w:spacing w:after="0" w:line="67"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provisions of the Statutes relating to the shares held in uncertificated form,</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shall not apply;</w:t>
      </w:r>
    </w:p>
    <w:p>
      <w:pPr>
        <w:spacing w:after="0" w:line="131" w:lineRule="exact"/>
        <w:rPr>
          <w:sz w:val="20"/>
          <w:szCs w:val="20"/>
          <w:color w:val="auto"/>
        </w:rPr>
      </w:pPr>
    </w:p>
    <w:p>
      <w:pPr>
        <w:ind w:left="2520" w:right="560" w:hanging="649"/>
        <w:spacing w:after="0" w:line="282" w:lineRule="auto"/>
        <w:tabs>
          <w:tab w:leader="none" w:pos="252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notice to the holder of that share, require the holder to change the form of such share to certificated form within such period as may be specified in the notice;</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that share to be converted into certificated form in accordance with the Statutes;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 certificate.</w:t>
      </w:r>
    </w:p>
    <w:p>
      <w:pPr>
        <w:spacing w:after="0" w:line="130" w:lineRule="exact"/>
        <w:rPr>
          <w:rFonts w:ascii="Times New Roman" w:cs="Times New Roman" w:eastAsia="Times New Roman" w:hAnsi="Times New Roman"/>
          <w:sz w:val="18"/>
          <w:szCs w:val="18"/>
          <w:color w:val="auto"/>
        </w:rPr>
      </w:pPr>
    </w:p>
    <w:p>
      <w:pPr>
        <w:ind w:left="1860" w:right="380" w:hanging="543"/>
        <w:spacing w:after="0" w:line="282" w:lineRule="auto"/>
        <w:tabs>
          <w:tab w:leader="none" w:pos="186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notice to the holder of any share in certificated form, direct that the form of such share may not be changed to uncertificated form for a period specified in such notice.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0980"/>
          </w:cols>
          <w:pgMar w:left="320" w:top="455" w:right="59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80" w:hanging="543"/>
        <w:spacing w:after="0" w:line="261" w:lineRule="auto"/>
        <w:tabs>
          <w:tab w:leader="none" w:pos="186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effecting any action by the Company, the Board may determine that shares held by a person in uncertificated form shall be treated as a separate holding from shares held by that person in certificated form but shares of a class held by a person in uncertificated form shall not be treated as a separate class from shares of that class held by that person in certificated form.</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52" w:lineRule="exact"/>
        <w:rPr>
          <w:sz w:val="20"/>
          <w:szCs w:val="20"/>
          <w:color w:val="auto"/>
        </w:rPr>
      </w:pPr>
    </w:p>
    <w:p>
      <w:pPr>
        <w:ind w:left="660" w:hanging="544"/>
        <w:spacing w:after="0"/>
        <w:tabs>
          <w:tab w:leader="none" w:pos="660"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72" w:lineRule="auto"/>
        <w:tabs>
          <w:tab w:leader="none" w:pos="1860" w:val="left"/>
        </w:tabs>
        <w:numPr>
          <w:ilvl w:val="1"/>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share capital of the Company is divided into different classes of shares, all or any of the rights for the time being attached to any class of shares in issue may from time to time (subject to the Statutes and whether or not the Company is being wound up) be varied in such manner as those rights may provide or (if no such provision is made) either with the consent in writing of the holders entitled to exercise 75% of the votes attaching to the issued shares of that class or with the authority of a special resolution passed at a separate general meeting of the holders of those shares and for this purpose the Founder shall be deemed to have not less than 75% of the voting rights attaching to the Ordinary Shares or such greater percentage as is determined pursuant to article 5(b). To every such separate general meeting all the provisions of these articles relating to general meetings of the Company and to the proceedings at such general meetings shall with necessary modifications apply, except that:</w:t>
      </w:r>
    </w:p>
    <w:p>
      <w:pPr>
        <w:spacing w:after="0" w:line="77" w:lineRule="exact"/>
        <w:rPr>
          <w:rFonts w:ascii="Times New Roman" w:cs="Times New Roman" w:eastAsia="Times New Roman" w:hAnsi="Times New Roman"/>
          <w:sz w:val="17"/>
          <w:szCs w:val="17"/>
          <w:color w:val="auto"/>
        </w:rPr>
      </w:pPr>
    </w:p>
    <w:p>
      <w:pPr>
        <w:ind w:left="2520" w:right="80" w:hanging="649"/>
        <w:spacing w:after="0" w:line="266" w:lineRule="auto"/>
        <w:tabs>
          <w:tab w:leader="none" w:pos="2520"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two persons holding or representing by proxy issued shares of the class (but so that if at any adjourned meeting a quorum as defined above is not present, any one holder of any shares of the class present in person or by proxy shall be a quorum); and</w:t>
      </w:r>
    </w:p>
    <w:p>
      <w:pPr>
        <w:spacing w:after="0" w:line="81" w:lineRule="exact"/>
        <w:rPr>
          <w:rFonts w:ascii="Times New Roman" w:cs="Times New Roman" w:eastAsia="Times New Roman" w:hAnsi="Times New Roman"/>
          <w:sz w:val="18"/>
          <w:szCs w:val="18"/>
          <w:color w:val="auto"/>
        </w:rPr>
      </w:pPr>
    </w:p>
    <w:p>
      <w:pPr>
        <w:ind w:left="2520" w:right="20" w:hanging="649"/>
        <w:spacing w:after="0" w:line="282" w:lineRule="auto"/>
        <w:tabs>
          <w:tab w:leader="none" w:pos="2520"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of the class present in person or by proxy may demand a poll and every such holder shall on a poll have one vote for every share of the class held by him.</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by the rights attached to any class of shares those rights shall not be deemed to be varied:</w:t>
      </w:r>
    </w:p>
    <w:p>
      <w:pPr>
        <w:spacing w:after="0" w:line="128" w:lineRule="exact"/>
        <w:rPr>
          <w:rFonts w:ascii="Times New Roman" w:cs="Times New Roman" w:eastAsia="Times New Roman" w:hAnsi="Times New Roman"/>
          <w:sz w:val="18"/>
          <w:szCs w:val="18"/>
          <w:color w:val="auto"/>
        </w:rPr>
      </w:pPr>
    </w:p>
    <w:p>
      <w:pPr>
        <w:ind w:left="2520" w:right="200" w:hanging="649"/>
        <w:spacing w:after="0" w:line="284" w:lineRule="auto"/>
        <w:tabs>
          <w:tab w:leader="none" w:pos="2520"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them but in no respect in priority to such shares;</w:t>
      </w:r>
    </w:p>
    <w:p>
      <w:pPr>
        <w:spacing w:after="0" w:line="65"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 or redemption by the Company of any of its own shares (and the holding of any such shares as treasury shares);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 of the relevant system permitting such class of shares to be, a participating security.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TRANSFERS OF SHARES</w:t>
      </w:r>
    </w:p>
    <w:p>
      <w:pPr>
        <w:spacing w:after="0" w:line="252" w:lineRule="exact"/>
        <w:rPr>
          <w:sz w:val="20"/>
          <w:szCs w:val="20"/>
          <w:color w:val="auto"/>
        </w:rPr>
      </w:pPr>
    </w:p>
    <w:p>
      <w:pPr>
        <w:ind w:left="660" w:hanging="544"/>
        <w:spacing w:after="0"/>
        <w:tabs>
          <w:tab w:leader="none" w:pos="660"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transfer shares</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restrictions in these articles, a member may transfer all or any of the member’s shares in any manner which is permitted by the Statutes, save that no Deferred Shares may be transferred without the consent of the Board.</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of uncertificated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 record of uncertificated shares in accordance with the Statutes.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55" w:right="45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of certificated shares</w:t>
      </w:r>
    </w:p>
    <w:p>
      <w:pPr>
        <w:spacing w:after="0" w:line="134" w:lineRule="exact"/>
        <w:rPr>
          <w:rFonts w:ascii="Times New Roman" w:cs="Times New Roman" w:eastAsia="Times New Roman" w:hAnsi="Times New Roman"/>
          <w:sz w:val="18"/>
          <w:szCs w:val="18"/>
          <w:b w:val="1"/>
          <w:bCs w:val="1"/>
          <w:color w:val="auto"/>
        </w:rPr>
      </w:pPr>
    </w:p>
    <w:p>
      <w:pPr>
        <w:ind w:left="1860" w:right="260" w:hanging="543"/>
        <w:spacing w:after="0" w:line="266" w:lineRule="auto"/>
        <w:tabs>
          <w:tab w:leader="none" w:pos="186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of transfer of a certificated share may be in any usual form or in any other form which the Board may approve and shall be signed by or on behalf of the transferor and (except in the case of a fully paid share) by or on behalf of the transferee.</w:t>
      </w:r>
    </w:p>
    <w:p>
      <w:pPr>
        <w:spacing w:after="0" w:line="81"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21(c), the Board may in its absolute discretion refuse to register any instrument of transfer of a certificated share unless it is: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left at the office, the transfer office, or at such other place as the Board may decide, for registration;</w:t>
      </w:r>
    </w:p>
    <w:p>
      <w:pPr>
        <w:spacing w:after="0" w:line="130" w:lineRule="exact"/>
        <w:rPr>
          <w:rFonts w:ascii="Times New Roman" w:cs="Times New Roman" w:eastAsia="Times New Roman" w:hAnsi="Times New Roman"/>
          <w:sz w:val="18"/>
          <w:szCs w:val="18"/>
          <w:color w:val="auto"/>
        </w:rPr>
      </w:pPr>
    </w:p>
    <w:p>
      <w:pPr>
        <w:ind w:left="2520" w:right="80" w:hanging="649"/>
        <w:spacing w:after="0" w:line="266" w:lineRule="auto"/>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accompanied by the certificate for the shares to be transferred and such other evidence (if any) as the Board may reasonably require to prove the title of the intending transferor or the intending transferor’s right to transfer the shares; and</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only one class of shares.</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absolute discretion also refuse to register: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certificated share which is not a fully paid share;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certificated and/or uncertificated share on which the Company has a lien,</w:t>
      </w:r>
    </w:p>
    <w:p>
      <w:pPr>
        <w:spacing w:after="0" w:line="117"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provided that in the case of any class of shares which is admitted to trading on NASDAQ, the refusal does not prevent dealings in those shares from taking place on an open and proper basis.</w:t>
      </w:r>
    </w:p>
    <w:p>
      <w:pPr>
        <w:spacing w:after="0" w:line="67" w:lineRule="exact"/>
        <w:rPr>
          <w:sz w:val="20"/>
          <w:szCs w:val="20"/>
          <w:color w:val="auto"/>
        </w:rPr>
      </w:pPr>
    </w:p>
    <w:p>
      <w:pPr>
        <w:ind w:left="1860" w:right="400" w:hanging="543"/>
        <w:spacing w:after="0" w:line="282" w:lineRule="auto"/>
        <w:tabs>
          <w:tab w:leader="none" w:pos="18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refuse to register a transfer of a certificated share to or from Cede &amp; Co. unless the registration of such transfer would be contrary to the provisions of these articles or applicable legislation.</w:t>
      </w:r>
    </w:p>
    <w:p>
      <w:pPr>
        <w:spacing w:after="0" w:line="67"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which are registered may be retained by the Company, but any instrument of transfer which the Board refuses to register shall (except in any case where fraud or any other crime involving dishonesty is suspected in relation to such transfer) be returned to the person presenting it.</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 relating to transfers</w:t>
      </w:r>
    </w:p>
    <w:p>
      <w:pPr>
        <w:spacing w:after="0" w:line="134" w:lineRule="exact"/>
        <w:rPr>
          <w:rFonts w:ascii="Times New Roman" w:cs="Times New Roman" w:eastAsia="Times New Roman" w:hAnsi="Times New Roman"/>
          <w:sz w:val="18"/>
          <w:szCs w:val="18"/>
          <w:b w:val="1"/>
          <w:bCs w:val="1"/>
          <w:color w:val="auto"/>
        </w:rPr>
      </w:pPr>
    </w:p>
    <w:p>
      <w:pPr>
        <w:ind w:left="1860" w:right="420" w:hanging="543"/>
        <w:spacing w:after="0" w:line="282"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shall be charged for registration of a transfer or other document or instruction relating to or affecting the title to any share.</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shall be deemed to remain the holder of the share until the name of the transferee is entered in the register in respect of the share.</w:t>
      </w:r>
    </w:p>
    <w:p>
      <w:pPr>
        <w:spacing w:after="0" w:line="67"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these articles shall preclude the Board from recognising a renunciation of the allotment of any share by the allottee in favour of some other person.</w:t>
      </w:r>
    </w:p>
    <w:p>
      <w:pPr>
        <w:spacing w:after="0" w:line="67"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21(c), unless otherwise agreed by the Board in any particular case, the maximum number of persons who may be entered on the register as joint holders of a share is four.</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refusal</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Board refuses to register a transfer of a certificated share it shall, as soon as practicable and in any event within two months after the date on which the instrument of transfer was lodged, give to the transferor and the transferee notice of the refusal together with its reasons for refusal. The Board shall provide the transferor and/or the transferee with such further information about the reasons for the refusal as the transferor and/or the transferee may reasonably request.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20"/>
          </w:cols>
          <w:pgMar w:left="320" w:top="455" w:right="45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52" w:lineRule="exact"/>
        <w:rPr>
          <w:sz w:val="20"/>
          <w:szCs w:val="20"/>
          <w:color w:val="auto"/>
        </w:rPr>
      </w:pPr>
    </w:p>
    <w:p>
      <w:pPr>
        <w:ind w:left="660" w:hanging="544"/>
        <w:spacing w:after="0"/>
        <w:tabs>
          <w:tab w:leader="none" w:pos="660"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on death</w:t>
      </w:r>
    </w:p>
    <w:p>
      <w:pPr>
        <w:spacing w:after="0" w:line="121"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member dies, the survivor, where the deceased was a joint holder, and the member’s personal representatives where the member was a sole or the only surviving holder, shall be the only person or persons recognised by the Company as having any title to the member’s shares; but nothing in these articles shall release the estate of a deceased holder from any liability in respect of any share held by the member solely or jointly.</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person entitled by transmission</w:t>
      </w:r>
    </w:p>
    <w:p>
      <w:pPr>
        <w:spacing w:after="0" w:line="134" w:lineRule="exact"/>
        <w:rPr>
          <w:rFonts w:ascii="Times New Roman" w:cs="Times New Roman" w:eastAsia="Times New Roman" w:hAnsi="Times New Roman"/>
          <w:sz w:val="18"/>
          <w:szCs w:val="18"/>
          <w:b w:val="1"/>
          <w:bCs w:val="1"/>
          <w:color w:val="auto"/>
        </w:rPr>
      </w:pPr>
    </w:p>
    <w:p>
      <w:pPr>
        <w:ind w:left="1860" w:right="40" w:hanging="543"/>
        <w:spacing w:after="0" w:line="261" w:lineRule="auto"/>
        <w:tabs>
          <w:tab w:leader="none" w:pos="186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in consequence of the death or bankruptcy of a member or of any other event giving rise to a transmission by operation of law may, on producing such evidence as the Board may require and subject as provided in this article, elect either to be registered personally as the holder of the share or to nominate some other person to be registered as the holder of the share.</w:t>
      </w:r>
    </w:p>
    <w:p>
      <w:pPr>
        <w:spacing w:after="0" w:line="85"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elects to be registered personally, the person shall give notice to the Company to that effect. If the person elects to have another person registered, the first person shall execute a transfer of the share to that other person or shall execute such other document or take such other action as the Board may require to enable that other person to be registered.</w:t>
      </w:r>
    </w:p>
    <w:p>
      <w:pPr>
        <w:spacing w:after="0" w:line="81" w:lineRule="exact"/>
        <w:rPr>
          <w:rFonts w:ascii="Times New Roman" w:cs="Times New Roman" w:eastAsia="Times New Roman" w:hAnsi="Times New Roman"/>
          <w:sz w:val="18"/>
          <w:szCs w:val="18"/>
          <w:color w:val="auto"/>
        </w:rPr>
      </w:pPr>
    </w:p>
    <w:p>
      <w:pPr>
        <w:ind w:left="1860" w:right="200" w:hanging="543"/>
        <w:spacing w:after="0" w:line="266" w:lineRule="auto"/>
        <w:tabs>
          <w:tab w:leader="none" w:pos="186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relating to the transfer of shares shall apply to the notice or instrument of transfer or other document or action as if it were a transfer effected by the person from whom the title by transmission is derived and the event giving rise to such transmission had not occurred.</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person entitled by transmission</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56" w:lineRule="auto"/>
        <w:tabs>
          <w:tab w:leader="none" w:pos="186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in consequence of a death or bankruptcy or of any other event giving rise to a transmission by operation of law shall (upon supplying to the Company such evidence as the Board may reasonably require to show his title to the share) have the right to receive and give a discharge for any dividends or other moneys payable in respect of the share and shall have the same rights in relation to the share as the person would have if the person were the holder except that, until the person becomes the holder, the person shall not be entitled to attend or vote at any general meeting of the Company.</w:t>
      </w:r>
    </w:p>
    <w:p>
      <w:pPr>
        <w:spacing w:after="0" w:line="92" w:lineRule="exact"/>
        <w:rPr>
          <w:rFonts w:ascii="Times New Roman" w:cs="Times New Roman" w:eastAsia="Times New Roman" w:hAnsi="Times New Roman"/>
          <w:sz w:val="18"/>
          <w:szCs w:val="18"/>
          <w:color w:val="auto"/>
        </w:rPr>
      </w:pPr>
    </w:p>
    <w:p>
      <w:pPr>
        <w:jc w:val="both"/>
        <w:ind w:left="1860" w:right="320" w:hanging="543"/>
        <w:spacing w:after="0" w:line="266" w:lineRule="auto"/>
        <w:tabs>
          <w:tab w:leader="none" w:pos="186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give notice requiring any such person to elect either to be registered personally or to transfer the share and, if after 90 days the notice has not been complied with, the Board may withhold payment of all dividends or other moneys payable in respect of the share until the requirements of the notice have been complied with.</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252" w:lineRule="exact"/>
        <w:rPr>
          <w:sz w:val="20"/>
          <w:szCs w:val="20"/>
          <w:color w:val="auto"/>
        </w:rPr>
      </w:pPr>
    </w:p>
    <w:p>
      <w:pPr>
        <w:ind w:left="660" w:hanging="544"/>
        <w:spacing w:after="0"/>
        <w:tabs>
          <w:tab w:leader="none" w:pos="660"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Disenfranchisement</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1" w:lineRule="auto"/>
        <w:tabs>
          <w:tab w:leader="none" w:pos="186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or any other person appearing to be interested in, any share has been given notice under section 793 of the 2006 Act (a </w:t>
      </w:r>
      <w:r>
        <w:rPr>
          <w:rFonts w:ascii="Times New Roman" w:cs="Times New Roman" w:eastAsia="Times New Roman" w:hAnsi="Times New Roman"/>
          <w:sz w:val="18"/>
          <w:szCs w:val="18"/>
          <w:b w:val="1"/>
          <w:bCs w:val="1"/>
          <w:color w:val="auto"/>
        </w:rPr>
        <w:t>section 793 notice</w:t>
      </w:r>
      <w:r>
        <w:rPr>
          <w:rFonts w:ascii="Times New Roman" w:cs="Times New Roman" w:eastAsia="Times New Roman" w:hAnsi="Times New Roman"/>
          <w:sz w:val="18"/>
          <w:szCs w:val="18"/>
          <w:color w:val="auto"/>
        </w:rPr>
        <w:t xml:space="preserve">) and has failed in relation to that share (the </w:t>
      </w:r>
      <w:r>
        <w:rPr>
          <w:rFonts w:ascii="Times New Roman" w:cs="Times New Roman" w:eastAsia="Times New Roman" w:hAnsi="Times New Roman"/>
          <w:sz w:val="18"/>
          <w:szCs w:val="18"/>
          <w:b w:val="1"/>
          <w:bCs w:val="1"/>
          <w:color w:val="auto"/>
        </w:rPr>
        <w:t>default share</w:t>
      </w:r>
      <w:r>
        <w:rPr>
          <w:rFonts w:ascii="Times New Roman" w:cs="Times New Roman" w:eastAsia="Times New Roman" w:hAnsi="Times New Roman"/>
          <w:sz w:val="18"/>
          <w:szCs w:val="18"/>
          <w:color w:val="auto"/>
        </w:rPr>
        <w:t>) to give the Company the information required by that notice within the prescribed period from the date of service of the notice, the restrictions referred to below shall apply (provided that the Board may waive those restrictions in whole or in part at any time).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00"/>
          </w:cols>
          <w:pgMar w:left="320" w:top="455" w:right="47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120" w:hanging="543"/>
        <w:spacing w:after="0" w:line="282" w:lineRule="auto"/>
        <w:tabs>
          <w:tab w:leader="none" w:pos="186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while any of the restrictions referred to below apply to a share, another share is allotted in right of it (or in right of any share to which this article applies), the same restrictions shall apply to that other share as if it were a default share.</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above are as follows: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above are as follows:</w:t>
      </w:r>
    </w:p>
    <w:p>
      <w:pPr>
        <w:spacing w:after="0" w:line="130" w:lineRule="exact"/>
        <w:rPr>
          <w:rFonts w:ascii="Times New Roman" w:cs="Times New Roman" w:eastAsia="Times New Roman" w:hAnsi="Times New Roman"/>
          <w:sz w:val="18"/>
          <w:szCs w:val="18"/>
          <w:color w:val="auto"/>
        </w:rPr>
      </w:pPr>
    </w:p>
    <w:p>
      <w:pPr>
        <w:ind w:left="3080" w:right="240" w:hanging="548"/>
        <w:spacing w:after="0" w:line="282" w:lineRule="auto"/>
        <w:tabs>
          <w:tab w:leader="none" w:pos="3080" w:val="left"/>
        </w:tabs>
        <w:numPr>
          <w:ilvl w:val="2"/>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default shares shall not be entitled in respect of those shares to attend or vote at any general meeting or any separate meeting of the holders on that class of shares or on a poll;</w:t>
      </w:r>
    </w:p>
    <w:p>
      <w:pPr>
        <w:spacing w:after="0" w:line="67" w:lineRule="exact"/>
        <w:rPr>
          <w:rFonts w:ascii="Times New Roman" w:cs="Times New Roman" w:eastAsia="Times New Roman" w:hAnsi="Times New Roman"/>
          <w:sz w:val="18"/>
          <w:szCs w:val="18"/>
          <w:color w:val="auto"/>
        </w:rPr>
      </w:pPr>
    </w:p>
    <w:p>
      <w:pPr>
        <w:ind w:left="3080" w:right="340" w:hanging="548"/>
        <w:spacing w:after="0" w:line="282" w:lineRule="auto"/>
        <w:tabs>
          <w:tab w:leader="none" w:pos="3080" w:val="left"/>
        </w:tabs>
        <w:numPr>
          <w:ilvl w:val="2"/>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where the default shares in which any one person is interested or appears to the Company to be interested represent 0.25 per cent or more in nominal value of the issued shares of their class:</w:t>
      </w:r>
    </w:p>
    <w:p>
      <w:pPr>
        <w:spacing w:after="0" w:line="67" w:lineRule="exact"/>
        <w:rPr>
          <w:sz w:val="20"/>
          <w:szCs w:val="20"/>
          <w:color w:val="auto"/>
        </w:rPr>
      </w:pPr>
    </w:p>
    <w:p>
      <w:pPr>
        <w:ind w:left="3740" w:right="140" w:hanging="654"/>
        <w:spacing w:after="0" w:line="261" w:lineRule="auto"/>
        <w:tabs>
          <w:tab w:leader="none" w:pos="374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other money which would otherwise be payable in respect of the default shares shall be retained by the Company without any liability to pay interest on it when such dividend or other money is finally paid to the member and the member shall not be entitled to receive shares in lieu of any dividend; and</w:t>
      </w:r>
    </w:p>
    <w:p>
      <w:pPr>
        <w:spacing w:after="0" w:line="85" w:lineRule="exact"/>
        <w:rPr>
          <w:sz w:val="20"/>
          <w:szCs w:val="20"/>
          <w:color w:val="auto"/>
        </w:rPr>
      </w:pPr>
    </w:p>
    <w:p>
      <w:pPr>
        <w:ind w:left="3740" w:right="20" w:hanging="654"/>
        <w:spacing w:after="0" w:line="255" w:lineRule="auto"/>
        <w:tabs>
          <w:tab w:leader="none" w:pos="3740" w:val="left"/>
        </w:tabs>
        <w:numPr>
          <w:ilvl w:val="4"/>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any shares held by the member shall be registered unless: (a) the holder is not himself in default as regards supplying the information required and the holder provides evidence to the satisfaction of the Board that no person in default as regards supplying such information is interested in any of the shares which are the subject of the transfer, or (b) the transfer is an approved transfer, or</w:t>
      </w:r>
    </w:p>
    <w:p>
      <w:pPr>
        <w:spacing w:after="0" w:line="2" w:lineRule="exact"/>
        <w:rPr>
          <w:rFonts w:ascii="Times New Roman" w:cs="Times New Roman" w:eastAsia="Times New Roman" w:hAnsi="Times New Roman"/>
          <w:sz w:val="18"/>
          <w:szCs w:val="18"/>
          <w:color w:val="auto"/>
        </w:rPr>
      </w:pPr>
    </w:p>
    <w:p>
      <w:pPr>
        <w:ind w:left="3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registration of the transfer is required by the Uncertificated Securities Regulations.</w:t>
      </w:r>
    </w:p>
    <w:p>
      <w:pPr>
        <w:spacing w:after="0" w:line="112"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w:t>
      </w:r>
    </w:p>
    <w:p>
      <w:pPr>
        <w:spacing w:after="0" w:line="130" w:lineRule="exact"/>
        <w:rPr>
          <w:rFonts w:ascii="Times New Roman" w:cs="Times New Roman" w:eastAsia="Times New Roman" w:hAnsi="Times New Roman"/>
          <w:sz w:val="18"/>
          <w:szCs w:val="18"/>
          <w:color w:val="auto"/>
        </w:rPr>
      </w:pPr>
    </w:p>
    <w:p>
      <w:pPr>
        <w:ind w:left="2520" w:hanging="649"/>
        <w:spacing w:after="0" w:line="261" w:lineRule="auto"/>
        <w:tabs>
          <w:tab w:leader="none" w:pos="2520" w:val="left"/>
        </w:tabs>
        <w:numPr>
          <w:ilvl w:val="2"/>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under any section 793 notice and any other relevant information) knows or has reasonable cause to believe that the person is, or may be, so interested;</w:t>
      </w:r>
    </w:p>
    <w:p>
      <w:pPr>
        <w:spacing w:after="0" w:line="8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transfer in relation to any shares is a transfer under:</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takeover offer (within the meaning of section 974 of the 2006 Act) which relates to the share; or</w:t>
      </w:r>
    </w:p>
    <w:p>
      <w:pPr>
        <w:spacing w:after="0" w:line="130" w:lineRule="exact"/>
        <w:rPr>
          <w:rFonts w:ascii="Times New Roman" w:cs="Times New Roman" w:eastAsia="Times New Roman" w:hAnsi="Times New Roman"/>
          <w:sz w:val="18"/>
          <w:szCs w:val="18"/>
          <w:color w:val="auto"/>
        </w:rPr>
      </w:pPr>
    </w:p>
    <w:p>
      <w:pPr>
        <w:jc w:val="both"/>
        <w:ind w:left="3080" w:right="60" w:hanging="548"/>
        <w:spacing w:after="0" w:line="266" w:lineRule="auto"/>
        <w:tabs>
          <w:tab w:leader="none" w:pos="3080" w:val="left"/>
        </w:tabs>
        <w:numPr>
          <w:ilvl w:val="3"/>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made through a recognised investment exchange (as defined in section 285 of the Financial Services and Markets Act 2000) or any other stock exchange or market outside the United Kingdom on which shares of that class are normally traded; or</w:t>
      </w:r>
    </w:p>
    <w:p>
      <w:pPr>
        <w:spacing w:after="0" w:line="81" w:lineRule="exact"/>
        <w:rPr>
          <w:rFonts w:ascii="Times New Roman" w:cs="Times New Roman" w:eastAsia="Times New Roman" w:hAnsi="Times New Roman"/>
          <w:sz w:val="18"/>
          <w:szCs w:val="18"/>
          <w:color w:val="auto"/>
        </w:rPr>
      </w:pPr>
    </w:p>
    <w:p>
      <w:pPr>
        <w:ind w:left="3080" w:right="200" w:hanging="548"/>
        <w:spacing w:after="0" w:line="282" w:lineRule="auto"/>
        <w:tabs>
          <w:tab w:leader="none" w:pos="3080" w:val="left"/>
        </w:tabs>
        <w:numPr>
          <w:ilvl w:val="3"/>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sale of the whole of the beneficial interest in the shares to a person whom the Board is satisfied is unconnected with the member or with any other person appearing to be interested in the share; and</w:t>
      </w:r>
    </w:p>
    <w:p>
      <w:pPr>
        <w:spacing w:after="0" w:line="67"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2"/>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issued shares of a class represented by a particular holding shall be calculated by reference to the shares in issue at the time that the section 793 notice is served.</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of notices on non-members and Depositaries</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82" w:lineRule="auto"/>
        <w:tabs>
          <w:tab w:leader="none" w:pos="186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section 793 notice is given by the Company to a person appearing to be interested in any share, a copy of the notice shall be given to the holder at the same time, but the failure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120"/>
          </w:cols>
          <w:pgMar w:left="320" w:top="455" w:right="45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omission to do so, or the non-receipt by that person of the copy, shall not prejudice the operation of this article.</w:t>
      </w:r>
    </w:p>
    <w:p>
      <w:pPr>
        <w:spacing w:after="0" w:line="131" w:lineRule="exact"/>
        <w:rPr>
          <w:sz w:val="20"/>
          <w:szCs w:val="20"/>
          <w:color w:val="auto"/>
        </w:rPr>
      </w:pPr>
    </w:p>
    <w:p>
      <w:pPr>
        <w:ind w:left="1860" w:hanging="543"/>
        <w:spacing w:after="0" w:line="266" w:lineRule="auto"/>
        <w:tabs>
          <w:tab w:leader="none" w:pos="1860"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default shares in which a person appears to be interested are held by a Depositary, the provisions of this article 28 shall be treated as applying only to those shares held by the Depositary in which such person appears to be interested and not (insofar as such person’s apparent interest is concerned) to any other shares held by the Depositary.</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disenfranchisement</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82" w:lineRule="auto"/>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sanctions under article 27 shall have effect for the period determined by the Board being not more than seven days after the earlier of:</w:t>
      </w:r>
    </w:p>
    <w:p>
      <w:pPr>
        <w:spacing w:after="0" w:line="67" w:lineRule="exact"/>
        <w:rPr>
          <w:rFonts w:ascii="Times New Roman" w:cs="Times New Roman" w:eastAsia="Times New Roman" w:hAnsi="Times New Roman"/>
          <w:sz w:val="18"/>
          <w:szCs w:val="18"/>
          <w:color w:val="auto"/>
        </w:rPr>
      </w:pPr>
    </w:p>
    <w:p>
      <w:pPr>
        <w:ind w:left="1860" w:right="40" w:hanging="543"/>
        <w:spacing w:after="0" w:line="282" w:lineRule="auto"/>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being notified that the default shares have been transferred under an approved transfer or otherwise in accordance with article 27(c)(i)(B)II; or</w:t>
      </w:r>
    </w:p>
    <w:p>
      <w:pPr>
        <w:spacing w:after="0" w:line="67" w:lineRule="exact"/>
        <w:rPr>
          <w:rFonts w:ascii="Times New Roman" w:cs="Times New Roman" w:eastAsia="Times New Roman" w:hAnsi="Times New Roman"/>
          <w:sz w:val="18"/>
          <w:szCs w:val="18"/>
          <w:color w:val="auto"/>
        </w:rPr>
      </w:pPr>
    </w:p>
    <w:p>
      <w:pPr>
        <w:ind w:left="1860" w:right="60" w:hanging="543"/>
        <w:spacing w:after="0" w:line="266" w:lineRule="auto"/>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the section 793 notice has been received in writing by the Company to the satisfaction of the Board at the address supplied by the Company in the section 793 notice or otherwise expressly supplied by the Company for the purpose of receiving such information.</w:t>
      </w:r>
    </w:p>
    <w:p>
      <w:pPr>
        <w:spacing w:after="0" w:line="81" w:lineRule="exact"/>
        <w:rPr>
          <w:rFonts w:ascii="Times New Roman" w:cs="Times New Roman" w:eastAsia="Times New Roman" w:hAnsi="Times New Roman"/>
          <w:sz w:val="18"/>
          <w:szCs w:val="18"/>
          <w:color w:val="auto"/>
        </w:rPr>
      </w:pPr>
    </w:p>
    <w:p>
      <w:pPr>
        <w:ind w:left="1860" w:right="260" w:hanging="543"/>
        <w:spacing w:after="0" w:line="282" w:lineRule="auto"/>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dividend or other distribution is withheld under article 27(c)(i)(B)I above, the member shall be entitled to receive it as soon as practicable after the sanction ceases to apply.</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uncertificated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exercise any of its powers under article 17in respect of any default share that is held in uncertificated form.</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794 and 795 of the 2006 Act</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articles 22 to 25 are without prejudice to the provisions of section 794 and 795 of the 2006 Act, and in particular the Company may apply to the Court under section 794(1) of the 2006 Act whether or not these provisions apply or have been applied.</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52" w:lineRule="exact"/>
        <w:rPr>
          <w:sz w:val="20"/>
          <w:szCs w:val="20"/>
          <w:color w:val="auto"/>
        </w:rPr>
      </w:pPr>
    </w:p>
    <w:p>
      <w:pPr>
        <w:ind w:left="660" w:hanging="544"/>
        <w:spacing w:after="0"/>
        <w:tabs>
          <w:tab w:leader="none" w:pos="660"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determine whether any general meeting is to be held as: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physical general meeting;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general meeting;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hybrid general meeting.</w:t>
      </w:r>
    </w:p>
    <w:p>
      <w:pPr>
        <w:spacing w:after="0" w:line="130" w:lineRule="exact"/>
        <w:rPr>
          <w:rFonts w:ascii="Times New Roman" w:cs="Times New Roman" w:eastAsia="Times New Roman" w:hAnsi="Times New Roman"/>
          <w:sz w:val="18"/>
          <w:szCs w:val="18"/>
          <w:color w:val="auto"/>
        </w:rPr>
      </w:pPr>
    </w:p>
    <w:p>
      <w:pPr>
        <w:ind w:left="1860" w:right="360" w:hanging="543"/>
        <w:spacing w:after="0" w:line="266" w:lineRule="auto"/>
        <w:tabs>
          <w:tab w:leader="none" w:pos="186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make whatever arrangements it considers fit to allow those entitled to do so to participate in any general meeting. In the case of an electronic general meeting, the Board need only make arrangements for those entitled to do so to participate electronically (and need not make any provision for attendance at any physical venue).</w:t>
      </w:r>
    </w:p>
    <w:p>
      <w:pPr>
        <w:spacing w:after="0" w:line="81"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notice of meeting; decided by the Board in accordance with article 33(a)(ii); or determined by the chair of the meeting either pursuant to article 33(a)(iii) or otherwise, a general meeting is deemed to take place at the place where the chair of the meeting is at the time of the meeting.</w:t>
      </w:r>
    </w:p>
    <w:p>
      <w:pPr>
        <w:spacing w:after="0" w:line="81" w:lineRule="exact"/>
        <w:rPr>
          <w:rFonts w:ascii="Times New Roman" w:cs="Times New Roman" w:eastAsia="Times New Roman" w:hAnsi="Times New Roman"/>
          <w:sz w:val="18"/>
          <w:szCs w:val="18"/>
          <w:color w:val="auto"/>
        </w:rPr>
      </w:pPr>
    </w:p>
    <w:p>
      <w:pPr>
        <w:ind w:left="1860" w:right="20" w:hanging="543"/>
        <w:spacing w:after="0" w:line="312" w:lineRule="auto"/>
        <w:tabs>
          <w:tab w:leader="none" w:pos="1860" w:val="left"/>
        </w:tabs>
        <w:numPr>
          <w:ilvl w:val="1"/>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or more persons who may not be in the same place as each other attend a general meeting if their circumstances are such that if they have rights to speak and vote at that meeting, they are able to exercise them, and are able to hear the other attendees.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080"/>
          </w:cols>
          <w:pgMar w:left="320" w:top="455" w:right="49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tabs>
          <w:tab w:leader="none" w:pos="186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present at a general meeting if the person attends it in accordance with the provisions of these articles.</w:t>
      </w:r>
    </w:p>
    <w:p>
      <w:pPr>
        <w:spacing w:after="0" w:line="130" w:lineRule="exact"/>
        <w:rPr>
          <w:rFonts w:ascii="Times New Roman" w:cs="Times New Roman" w:eastAsia="Times New Roman" w:hAnsi="Times New Roman"/>
          <w:sz w:val="18"/>
          <w:szCs w:val="18"/>
          <w:color w:val="auto"/>
        </w:rPr>
      </w:pPr>
    </w:p>
    <w:p>
      <w:pPr>
        <w:ind w:left="1860" w:right="140" w:hanging="543"/>
        <w:spacing w:after="0" w:line="282" w:lineRule="auto"/>
        <w:tabs>
          <w:tab w:leader="none" w:pos="186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participate in a meeting if the person’s circumstances are such that if the person has rights in relation to the meeting, the person is able to exercise them.</w:t>
      </w:r>
    </w:p>
    <w:p>
      <w:pPr>
        <w:spacing w:after="0" w:line="67" w:lineRule="exact"/>
        <w:rPr>
          <w:rFonts w:ascii="Times New Roman" w:cs="Times New Roman" w:eastAsia="Times New Roman" w:hAnsi="Times New Roman"/>
          <w:sz w:val="18"/>
          <w:szCs w:val="18"/>
          <w:color w:val="auto"/>
        </w:rPr>
      </w:pPr>
    </w:p>
    <w:p>
      <w:pPr>
        <w:ind w:left="1860" w:right="400" w:hanging="543"/>
        <w:spacing w:after="0" w:line="266" w:lineRule="auto"/>
        <w:tabs>
          <w:tab w:leader="none" w:pos="186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persons are attending or participating in a meeting, other than a physical general meeting, it is immaterial where any of them are or how they are able to communicate with each other, provided they can hear each other speak.</w:t>
      </w:r>
    </w:p>
    <w:p>
      <w:pPr>
        <w:spacing w:after="0" w:line="81" w:lineRule="exact"/>
        <w:rPr>
          <w:rFonts w:ascii="Times New Roman" w:cs="Times New Roman" w:eastAsia="Times New Roman" w:hAnsi="Times New Roman"/>
          <w:sz w:val="18"/>
          <w:szCs w:val="18"/>
          <w:color w:val="auto"/>
        </w:rPr>
      </w:pPr>
    </w:p>
    <w:p>
      <w:pPr>
        <w:jc w:val="both"/>
        <w:ind w:left="1860" w:right="100" w:hanging="543"/>
        <w:spacing w:after="0" w:line="266" w:lineRule="auto"/>
        <w:tabs>
          <w:tab w:leader="none" w:pos="186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exercise the right to speak at a general meeting when the chair of the meeting is satisfied that arrangements are in place so as to enable that person to communicate by speaking to all those attending the meeting, during the meeting, any information or opinions which that person has on the business of the meeting.</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exercise the right to vote at a general meeting when:</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is able to vote, during the meeting, on resolutions put to the vote at the meeting; and</w:t>
      </w:r>
    </w:p>
    <w:p>
      <w:pPr>
        <w:spacing w:after="0" w:line="130"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person’s vote can be taken into account in determining whether or not such resolutions are passed at the same time as the votes of all the other persons attending the meeting.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 at more than one place or in more than one format</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be held at more than one place, or may be participated in in more than one way, if:</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convening the meeting so specifies;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resolves, after the notice convening the meeting has been given, that:</w:t>
      </w:r>
    </w:p>
    <w:p>
      <w:pPr>
        <w:spacing w:after="0" w:line="130" w:lineRule="exact"/>
        <w:rPr>
          <w:rFonts w:ascii="Times New Roman" w:cs="Times New Roman" w:eastAsia="Times New Roman" w:hAnsi="Times New Roman"/>
          <w:sz w:val="18"/>
          <w:szCs w:val="18"/>
          <w:color w:val="auto"/>
        </w:rPr>
      </w:pPr>
    </w:p>
    <w:p>
      <w:pPr>
        <w:ind w:left="3080" w:right="460" w:hanging="548"/>
        <w:spacing w:after="0" w:line="282" w:lineRule="auto"/>
        <w:tabs>
          <w:tab w:leader="none" w:pos="3080" w:val="left"/>
        </w:tabs>
        <w:numPr>
          <w:ilvl w:val="3"/>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shall be held at one or more than one place in addition to any place or places specified in the notice; or</w:t>
      </w:r>
    </w:p>
    <w:p>
      <w:pPr>
        <w:spacing w:after="0" w:line="67"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will also be made for attendance and participation electronically; or</w:t>
      </w:r>
    </w:p>
    <w:p>
      <w:pPr>
        <w:spacing w:after="0" w:line="130" w:lineRule="exact"/>
        <w:rPr>
          <w:rFonts w:ascii="Times New Roman" w:cs="Times New Roman" w:eastAsia="Times New Roman" w:hAnsi="Times New Roman"/>
          <w:sz w:val="18"/>
          <w:szCs w:val="18"/>
          <w:color w:val="auto"/>
        </w:rPr>
      </w:pPr>
    </w:p>
    <w:p>
      <w:pPr>
        <w:ind w:left="2520" w:right="360" w:hanging="649"/>
        <w:spacing w:after="0" w:line="282" w:lineRule="auto"/>
        <w:tabs>
          <w:tab w:leader="none" w:pos="2520" w:val="left"/>
        </w:tabs>
        <w:numPr>
          <w:ilvl w:val="2"/>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appears to the chair of the meeting that the place of the meeting specified in the notice convening the meeting is inadequate to accommodate all persons entitled and wishing to attend at that place.</w:t>
      </w:r>
    </w:p>
    <w:p>
      <w:pPr>
        <w:spacing w:after="0" w:line="67" w:lineRule="exact"/>
        <w:rPr>
          <w:rFonts w:ascii="Times New Roman" w:cs="Times New Roman" w:eastAsia="Times New Roman" w:hAnsi="Times New Roman"/>
          <w:sz w:val="18"/>
          <w:szCs w:val="18"/>
          <w:color w:val="auto"/>
        </w:rPr>
      </w:pPr>
    </w:p>
    <w:p>
      <w:pPr>
        <w:ind w:left="1860" w:right="40" w:hanging="543"/>
        <w:spacing w:after="0" w:line="258" w:lineRule="auto"/>
        <w:tabs>
          <w:tab w:leader="none" w:pos="18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held at more than one place or participated in in more than one way in accordance with paragraph (a) above, is duly constituted and its proceedings are valid if (in addition to the other provisions of these articles relating to general meetings being satisfied) the chair of the meeting is satisfied that facilities (whether electronic or otherwise) are available to enable each person present at each place and/or attending or participating in it electronically to participate in the business of the meeting.</w:t>
      </w:r>
    </w:p>
    <w:p>
      <w:pPr>
        <w:spacing w:after="0" w:line="88" w:lineRule="exact"/>
        <w:rPr>
          <w:rFonts w:ascii="Times New Roman" w:cs="Times New Roman" w:eastAsia="Times New Roman" w:hAnsi="Times New Roman"/>
          <w:sz w:val="18"/>
          <w:szCs w:val="18"/>
          <w:color w:val="auto"/>
        </w:rPr>
      </w:pPr>
    </w:p>
    <w:p>
      <w:pPr>
        <w:ind w:left="1860" w:right="60" w:hanging="543"/>
        <w:spacing w:after="0" w:line="266" w:lineRule="auto"/>
        <w:tabs>
          <w:tab w:leader="none" w:pos="18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present at any place of the meeting or who is attending it electronically, and who would be entitled to count towards the quorum in accordance with the provisions of article 40 shall be counted in the quorum for, and shall be entitled to vote at, the meeting.</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Hybrid meetings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6" w:lineRule="auto"/>
        <w:tabs>
          <w:tab w:leader="none" w:pos="18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at article 33, the directors may decide to enable persons entitled to attend a meeting to do so by either electronic means or physical attendance at the hybrid meeting. Members or their proxies present shall be counted in the quorum for, and entitled to vote at, the general meeting in question, and that meeting shall be duly constituted and its proceedings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080"/>
          </w:cols>
          <w:pgMar w:left="320" w:top="455" w:right="49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right="320"/>
        <w:spacing w:after="0" w:line="282" w:lineRule="auto"/>
        <w:rPr>
          <w:sz w:val="20"/>
          <w:szCs w:val="20"/>
          <w:color w:val="auto"/>
        </w:rPr>
      </w:pPr>
      <w:r>
        <w:rPr>
          <w:rFonts w:ascii="Times New Roman" w:cs="Times New Roman" w:eastAsia="Times New Roman" w:hAnsi="Times New Roman"/>
          <w:sz w:val="18"/>
          <w:szCs w:val="18"/>
          <w:color w:val="auto"/>
        </w:rPr>
        <w:t>valid if the chair of the meeting is satisfied that adequate facilities are available throughout the hybrid meeting to ensure that members or their proxies attending the hybrid meeting who are not present together at the same place may:</w:t>
      </w:r>
    </w:p>
    <w:p>
      <w:pPr>
        <w:spacing w:after="0" w:line="67" w:lineRule="exact"/>
        <w:rPr>
          <w:sz w:val="20"/>
          <w:szCs w:val="20"/>
          <w:color w:val="auto"/>
        </w:rPr>
      </w:pPr>
    </w:p>
    <w:p>
      <w:pPr>
        <w:ind w:left="2520" w:hanging="649"/>
        <w:spacing w:after="0"/>
        <w:tabs>
          <w:tab w:leader="none" w:pos="2520" w:val="left"/>
        </w:tabs>
        <w:numPr>
          <w:ilvl w:val="2"/>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for which the meeting has been convened;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all persons who speak at the meeting;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by all other persons present at the meeting.</w:t>
      </w:r>
    </w:p>
    <w:p>
      <w:pPr>
        <w:spacing w:after="0" w:line="130"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appears to the chair of the meeting that the electronic platform(s), facilities or security at the hybrid meeting have become inadequate for the purposes referred to in article 34(a), then the chair may, without the consent of the meeting, interrupt or adjourn the general meeting. All business conducted at that general meeting up to the time of that adjournment shall be valid and the relevant provisions of these articles shall apply to that adjournment.</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general meetings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convene and the Company shall hold annual general meetings in accordance with the Statutes.</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Convening of general meetings other than annual general meetings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convene a general meeting other than an annual general meeting whenever it thinks fit.</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also be convened in accordance with article 78.</w:t>
      </w:r>
    </w:p>
    <w:p>
      <w:pPr>
        <w:spacing w:after="0" w:line="130"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shall also be convened by the Board on the requisition of members under the Statutes or, in default, may be convened by such requisitionists, as provided by the Statutes.</w:t>
      </w:r>
    </w:p>
    <w:p>
      <w:pPr>
        <w:spacing w:after="0" w:line="67" w:lineRule="exact"/>
        <w:rPr>
          <w:rFonts w:ascii="Times New Roman" w:cs="Times New Roman" w:eastAsia="Times New Roman" w:hAnsi="Times New Roman"/>
          <w:sz w:val="18"/>
          <w:szCs w:val="18"/>
          <w:color w:val="auto"/>
        </w:rPr>
      </w:pPr>
    </w:p>
    <w:p>
      <w:pPr>
        <w:ind w:left="1860" w:right="60" w:hanging="543"/>
        <w:spacing w:after="0" w:line="266" w:lineRule="auto"/>
        <w:tabs>
          <w:tab w:leader="none" w:pos="18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comply with the Statutes regarding the giving and the circulation, on the requisition of members, of notices of resolutions and of statements with respect to matters relating to any resolution to be proposed or business to be dealt with at any general meeting of the Company.</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Separate general meetings</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these articles and to any rights for the time being attached to any class of shares in the Company, the provisions of these articles relating to general meetings of the Company (including, for the avoidance of doubt, provisions relating to the proceedings at general meetings or to the rights of any person to attend or vote or be represented at general meetings or to any restrictions on these rights)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in relation to every separate general meeting of the holders of any class of shares in the Company.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52" w:lineRule="exact"/>
        <w:rPr>
          <w:sz w:val="20"/>
          <w:szCs w:val="20"/>
          <w:color w:val="auto"/>
        </w:rPr>
      </w:pPr>
    </w:p>
    <w:p>
      <w:pPr>
        <w:ind w:left="660" w:hanging="544"/>
        <w:spacing w:after="0"/>
        <w:tabs>
          <w:tab w:leader="none" w:pos="66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Length, form and content of notice</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66" w:lineRule="auto"/>
        <w:tabs>
          <w:tab w:leader="none" w:pos="1860"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 annual general meeting shall be called by not less than 21 clear days’ notice and all other general meetings shall be called by not less than 14 clear days’ notice or by not less than such minimum notice period as is permitted by the Statutes.</w:t>
      </w:r>
    </w:p>
    <w:p>
      <w:pPr>
        <w:spacing w:after="0" w:line="81"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to all members other than any who, under these articles or the terms of issue of the shares they hold, are not entitled to receive such notices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140"/>
          </w:cols>
          <w:pgMar w:left="320" w:top="455" w:right="43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from the Company, and also to the auditors (or, if more than one, each of them) and to each director.</w:t>
      </w:r>
    </w:p>
    <w:p>
      <w:pPr>
        <w:spacing w:after="0" w:line="131" w:lineRule="exact"/>
        <w:rPr>
          <w:sz w:val="20"/>
          <w:szCs w:val="20"/>
          <w:color w:val="auto"/>
        </w:rPr>
      </w:pPr>
    </w:p>
    <w:p>
      <w:pPr>
        <w:ind w:left="1860" w:right="20" w:hanging="543"/>
        <w:spacing w:after="0" w:line="282" w:lineRule="auto"/>
        <w:tabs>
          <w:tab w:leader="none" w:pos="1860"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(including any notice given by means of a website) shall comply with all applicable requirements in the Statutes and shall specify whether the meeting will be an annual general meeting.</w:t>
      </w:r>
    </w:p>
    <w:p>
      <w:pPr>
        <w:spacing w:after="0" w:line="67"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provisions of article 33(a), if it is anticipated that a meeting will be conducted as an electronic general meeting, the notice of meeting shall state how it is proposed that persons attending or participating in the meeting electronically should communicate with the meeting.</w:t>
      </w:r>
    </w:p>
    <w:p>
      <w:pPr>
        <w:spacing w:after="0" w:line="7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Omission or non-receipt of notice</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accidental omission to give notice of a general meeting or to send an instrument of proxy (where this is intended to be sent out with the notice) to, or the non-receipt of the notice or instrument of proxy (as applicable) by, any person entitled to receive the same shall not invalidate the proceedings of that meeting.</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52" w:lineRule="exact"/>
        <w:rPr>
          <w:sz w:val="20"/>
          <w:szCs w:val="20"/>
          <w:color w:val="auto"/>
        </w:rPr>
      </w:pPr>
    </w:p>
    <w:p>
      <w:pPr>
        <w:ind w:left="660" w:hanging="544"/>
        <w:spacing w:after="0"/>
        <w:tabs>
          <w:tab w:leader="none" w:pos="66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35" w:lineRule="exact"/>
        <w:rPr>
          <w:sz w:val="20"/>
          <w:szCs w:val="20"/>
          <w:color w:val="auto"/>
        </w:rPr>
      </w:pPr>
    </w:p>
    <w:p>
      <w:pPr>
        <w:ind w:left="1860" w:right="260" w:hanging="543"/>
        <w:spacing w:after="0" w:line="282" w:lineRule="auto"/>
        <w:tabs>
          <w:tab w:leader="none" w:pos="186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w:t>
      </w:r>
    </w:p>
    <w:p>
      <w:pPr>
        <w:spacing w:after="0" w:line="67" w:lineRule="exact"/>
        <w:rPr>
          <w:rFonts w:ascii="Times New Roman" w:cs="Times New Roman" w:eastAsia="Times New Roman" w:hAnsi="Times New Roman"/>
          <w:sz w:val="18"/>
          <w:szCs w:val="18"/>
          <w:color w:val="auto"/>
        </w:rPr>
      </w:pPr>
    </w:p>
    <w:p>
      <w:pPr>
        <w:ind w:left="1860" w:right="100" w:hanging="543"/>
        <w:spacing w:after="0" w:line="258" w:lineRule="auto"/>
        <w:tabs>
          <w:tab w:leader="none" w:pos="186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persons entitled to vote upon the business to be transacted, each being a member, the proxy of a member or a duly authorised representative of a corporation which is a member, shall be a quorum (provided that, for so longer as the Founder is the holder, directly or indirectly or Beneficial Owner of or beneficially interested in Ordinary Shares and is entitled to exercise not less than 10% of the votes attaching to all shares in the capital of the Company immediately prior to the beginning of the general meeting, he must be present for a general meeting to be quorate).</w:t>
      </w:r>
    </w:p>
    <w:p>
      <w:pPr>
        <w:spacing w:after="0" w:line="328" w:lineRule="exact"/>
        <w:rPr>
          <w:sz w:val="20"/>
          <w:szCs w:val="20"/>
          <w:color w:val="auto"/>
        </w:rPr>
      </w:pPr>
    </w:p>
    <w:p>
      <w:pPr>
        <w:ind w:left="660" w:hanging="544"/>
        <w:spacing w:after="0"/>
        <w:tabs>
          <w:tab w:leader="none" w:pos="660"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w:t>
      </w:r>
    </w:p>
    <w:p>
      <w:pPr>
        <w:spacing w:after="0" w:line="135" w:lineRule="exact"/>
        <w:rPr>
          <w:sz w:val="20"/>
          <w:szCs w:val="20"/>
          <w:color w:val="auto"/>
        </w:rPr>
      </w:pPr>
    </w:p>
    <w:p>
      <w:pPr>
        <w:ind w:left="1860" w:right="80" w:hanging="543"/>
        <w:spacing w:after="0" w:line="261" w:lineRule="auto"/>
        <w:tabs>
          <w:tab w:leader="none" w:pos="18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subject to the Statutes, make any physical or electronic security arrangements which it considers appropriate relating to the holding of a general meeting of the Company including, without limitation, arranging for any person attending a meeting physically to be searched and for items of personal property which may be taken into a meeting to be restricted. A director or the secretary may:</w:t>
      </w:r>
    </w:p>
    <w:p>
      <w:pPr>
        <w:spacing w:after="0" w:line="85"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physical or electronic entry to a meeting to any person (other than the Founder) who refuses to comply with any such arrangements; and</w:t>
      </w:r>
    </w:p>
    <w:p>
      <w:pPr>
        <w:spacing w:after="0" w:line="67" w:lineRule="exact"/>
        <w:rPr>
          <w:rFonts w:ascii="Times New Roman" w:cs="Times New Roman" w:eastAsia="Times New Roman" w:hAnsi="Times New Roman"/>
          <w:sz w:val="18"/>
          <w:szCs w:val="18"/>
          <w:color w:val="auto"/>
        </w:rPr>
      </w:pPr>
    </w:p>
    <w:p>
      <w:pPr>
        <w:ind w:left="2520" w:right="200" w:hanging="649"/>
        <w:spacing w:after="0" w:line="282" w:lineRule="auto"/>
        <w:tabs>
          <w:tab w:leader="none" w:pos="252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physically or electronically eject from a meeting any person (other than the Founder) who causes the proceedings to become disorderly.</w:t>
      </w:r>
    </w:p>
    <w:p>
      <w:pPr>
        <w:spacing w:after="0" w:line="67" w:lineRule="exact"/>
        <w:rPr>
          <w:rFonts w:ascii="Times New Roman" w:cs="Times New Roman" w:eastAsia="Times New Roman" w:hAnsi="Times New Roman"/>
          <w:sz w:val="18"/>
          <w:szCs w:val="18"/>
          <w:color w:val="auto"/>
        </w:rPr>
      </w:pPr>
    </w:p>
    <w:p>
      <w:pPr>
        <w:ind w:left="1860" w:right="500" w:hanging="543"/>
        <w:spacing w:after="0" w:line="282" w:lineRule="auto"/>
        <w:tabs>
          <w:tab w:leader="none" w:pos="18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electronic and/or hybrid meetings, the directors may make any arrangement and impose any requirement or restriction as is:</w:t>
      </w:r>
    </w:p>
    <w:p>
      <w:pPr>
        <w:spacing w:after="0" w:line="67"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ensure the identification of those taking part by way of an electronic platform(s) and the security of any electronic communication; and</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proportionate to those objectives.</w:t>
      </w:r>
    </w:p>
    <w:p>
      <w:pPr>
        <w:spacing w:after="0" w:line="117" w:lineRule="exact"/>
        <w:rPr>
          <w:sz w:val="20"/>
          <w:szCs w:val="20"/>
          <w:color w:val="auto"/>
        </w:rPr>
      </w:pPr>
    </w:p>
    <w:p>
      <w:pPr>
        <w:ind w:left="1880" w:right="20"/>
        <w:spacing w:after="0" w:line="282" w:lineRule="auto"/>
        <w:rPr>
          <w:sz w:val="20"/>
          <w:szCs w:val="20"/>
          <w:color w:val="auto"/>
        </w:rPr>
      </w:pPr>
      <w:r>
        <w:rPr>
          <w:rFonts w:ascii="Times New Roman" w:cs="Times New Roman" w:eastAsia="Times New Roman" w:hAnsi="Times New Roman"/>
          <w:sz w:val="18"/>
          <w:szCs w:val="18"/>
          <w:color w:val="auto"/>
        </w:rPr>
        <w:t>In this respect, the directors may authorise any voting application, system or facility for electronic meetings or hybrid meetings as they see fit.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060"/>
          </w:cols>
          <w:pgMar w:left="320" w:top="455" w:right="51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w:t>
      </w:r>
    </w:p>
    <w:p>
      <w:pPr>
        <w:spacing w:after="0" w:line="135" w:lineRule="exact"/>
        <w:rPr>
          <w:sz w:val="20"/>
          <w:szCs w:val="20"/>
          <w:color w:val="auto"/>
        </w:rPr>
      </w:pPr>
    </w:p>
    <w:p>
      <w:pPr>
        <w:ind w:left="1860" w:hanging="543"/>
        <w:spacing w:after="0" w:line="255" w:lineRule="auto"/>
        <w:tabs>
          <w:tab w:leader="none" w:pos="186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general meeting, the chair of the Board (if any) or, if the chair is absent or unwilling, the deputy chair (if any) of the Board or (if more than one deputy chair is present and willing) the deputy chair who has been longest in such office, shall preside as chair of the meeting. If neither the chair nor deputy chair is present and willing, one of the other directors selected for the purpose by the directors present or, if only one director is present and willing, that director, shall preside as chair of the meeting. If no director is present within 15 minutes after the time fixed for holding the meeting or if none of the directors present are willing to preside as chair of the meeting, the members present and entitled to vote shall choose one of their number to preside as chair of the meeting.</w:t>
      </w:r>
    </w:p>
    <w:p>
      <w:pPr>
        <w:spacing w:after="0" w:line="94" w:lineRule="exact"/>
        <w:rPr>
          <w:rFonts w:ascii="Times New Roman" w:cs="Times New Roman" w:eastAsia="Times New Roman" w:hAnsi="Times New Roman"/>
          <w:sz w:val="18"/>
          <w:szCs w:val="18"/>
          <w:color w:val="auto"/>
        </w:rPr>
      </w:pPr>
    </w:p>
    <w:p>
      <w:pPr>
        <w:ind w:left="1860" w:right="140" w:hanging="543"/>
        <w:spacing w:after="0" w:line="261" w:lineRule="auto"/>
        <w:tabs>
          <w:tab w:leader="none" w:pos="186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without prejudice to any other powers vested in the chair of a meeting) when conducting a general meeting, the chair of the meeting may make whatever arrangements and take whatever actions as the chair considers, in the chair’s sole discretion, to be appropriate or conducive to the facilitation of the conduct of the business of the meeting, proportionate discussion on any item of business of the meeting, or the maintenance of good order.</w:t>
      </w:r>
    </w:p>
    <w:p>
      <w:pPr>
        <w:spacing w:after="0" w:line="85" w:lineRule="exact"/>
        <w:rPr>
          <w:rFonts w:ascii="Times New Roman" w:cs="Times New Roman" w:eastAsia="Times New Roman" w:hAnsi="Times New Roman"/>
          <w:sz w:val="18"/>
          <w:szCs w:val="18"/>
          <w:color w:val="auto"/>
        </w:rPr>
      </w:pPr>
    </w:p>
    <w:p>
      <w:pPr>
        <w:ind w:left="1860" w:right="120" w:hanging="543"/>
        <w:spacing w:after="0" w:line="256" w:lineRule="auto"/>
        <w:tabs>
          <w:tab w:leader="none" w:pos="186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 of a general meeting is participating in that meeting electronically and becomes disconnected from the meeting, another person (determined in accordance with the provisions of paragraph (a) above) shall preside as chair of the meeting unless and until the original chair regains electronic connection with the meeting. In the event that no replacement chair is presiding over the general meeting (and the original chair has not regained electronic connection with the meeting) 20 minutes after the original chair became disconnected from the meeting, the meeting shall be adjourned to a time and place (and/or, if appropriate, facilities for electronic attendance and participation) to be fixed by the Board.</w:t>
      </w:r>
    </w:p>
    <w:p>
      <w:pPr>
        <w:spacing w:after="0" w:line="33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attend and speak</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be entitled to attend and speak at any general meeting of the Company whether or not the director is a member.</w:t>
      </w:r>
    </w:p>
    <w:p>
      <w:pPr>
        <w:spacing w:after="0" w:line="130" w:lineRule="exact"/>
        <w:rPr>
          <w:rFonts w:ascii="Times New Roman" w:cs="Times New Roman" w:eastAsia="Times New Roman" w:hAnsi="Times New Roman"/>
          <w:sz w:val="18"/>
          <w:szCs w:val="18"/>
          <w:color w:val="auto"/>
        </w:rPr>
      </w:pPr>
    </w:p>
    <w:p>
      <w:pPr>
        <w:jc w:val="both"/>
        <w:ind w:left="1860" w:right="320" w:hanging="543"/>
        <w:spacing w:after="0" w:line="312" w:lineRule="auto"/>
        <w:tabs>
          <w:tab w:leader="none" w:pos="1860" w:val="left"/>
        </w:tabs>
        <w:numPr>
          <w:ilvl w:val="1"/>
          <w:numId w:val="5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may invite any person to attend and speak at any general meeting of the Company if the chair considers that such person has the appropriate knowledge or experience of the Company’s business to assist in the deliberations of the meeting.</w:t>
      </w:r>
    </w:p>
    <w:p>
      <w:pPr>
        <w:spacing w:after="0" w:line="45" w:lineRule="exact"/>
        <w:rPr>
          <w:rFonts w:ascii="Times New Roman" w:cs="Times New Roman" w:eastAsia="Times New Roman" w:hAnsi="Times New Roman"/>
          <w:sz w:val="17"/>
          <w:szCs w:val="17"/>
          <w:color w:val="auto"/>
        </w:rPr>
      </w:pPr>
    </w:p>
    <w:p>
      <w:pPr>
        <w:ind w:left="1860" w:hanging="543"/>
        <w:spacing w:after="0"/>
        <w:tabs>
          <w:tab w:leader="none" w:pos="18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shall be entitled to speak at any general meeting of the Company.</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and amendments</w:t>
      </w:r>
    </w:p>
    <w:p>
      <w:pPr>
        <w:spacing w:after="0" w:line="134" w:lineRule="exact"/>
        <w:rPr>
          <w:rFonts w:ascii="Times New Roman" w:cs="Times New Roman" w:eastAsia="Times New Roman" w:hAnsi="Times New Roman"/>
          <w:sz w:val="18"/>
          <w:szCs w:val="18"/>
          <w:b w:val="1"/>
          <w:bCs w:val="1"/>
          <w:color w:val="auto"/>
        </w:rPr>
      </w:pPr>
    </w:p>
    <w:p>
      <w:pPr>
        <w:ind w:left="1860" w:right="280" w:hanging="543"/>
        <w:spacing w:after="0" w:line="282" w:lineRule="auto"/>
        <w:tabs>
          <w:tab w:leader="none" w:pos="18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 resolution may only be put to the vote at a general meeting if the chair of the meeting in the chair’s absolute discretion decides that the resolution may properly be regarded as within the scope of the meeting.</w:t>
      </w:r>
    </w:p>
    <w:p>
      <w:pPr>
        <w:spacing w:after="0" w:line="67" w:lineRule="exact"/>
        <w:rPr>
          <w:rFonts w:ascii="Times New Roman" w:cs="Times New Roman" w:eastAsia="Times New Roman" w:hAnsi="Times New Roman"/>
          <w:sz w:val="18"/>
          <w:szCs w:val="18"/>
          <w:color w:val="auto"/>
        </w:rPr>
      </w:pPr>
    </w:p>
    <w:p>
      <w:pPr>
        <w:jc w:val="both"/>
        <w:ind w:left="1860" w:hanging="543"/>
        <w:spacing w:after="0" w:line="266" w:lineRule="auto"/>
        <w:tabs>
          <w:tab w:leader="none" w:pos="18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resolution to be proposed as a special resolution no amendment may be made, at or before the time at which the resolution is put to the vote, to the form of the resolution as set out in the notice of meeting, except to correct a patent error or as may otherwise be permitted by law.</w:t>
      </w:r>
    </w:p>
    <w:p>
      <w:pPr>
        <w:spacing w:after="0" w:line="81"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resolution to be proposed as an ordinary resolution no amendment may be made, at or before the time at which the resolution is put to the vote, unless:</w:t>
      </w:r>
    </w:p>
    <w:p>
      <w:pPr>
        <w:spacing w:after="0" w:line="67" w:lineRule="exact"/>
        <w:rPr>
          <w:rFonts w:ascii="Times New Roman" w:cs="Times New Roman" w:eastAsia="Times New Roman" w:hAnsi="Times New Roman"/>
          <w:sz w:val="18"/>
          <w:szCs w:val="18"/>
          <w:color w:val="auto"/>
        </w:rPr>
      </w:pPr>
    </w:p>
    <w:p>
      <w:pPr>
        <w:ind w:left="2520" w:right="120" w:hanging="649"/>
        <w:spacing w:after="0" w:line="266" w:lineRule="auto"/>
        <w:tabs>
          <w:tab w:leader="none" w:pos="2520" w:val="left"/>
        </w:tabs>
        <w:numPr>
          <w:ilvl w:val="2"/>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amendment to the form of the resolution as set out in the notice of meeting, notice of the intention to move the amendment is received at the office at least 48 hours before the time fixed for the holding of the relevant meeting; or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B-19</w:t>
      </w:r>
    </w:p>
    <w:p>
      <w:pPr>
        <w:sectPr>
          <w:pgSz w:w="11900" w:h="16838" w:orient="portrait"/>
          <w:cols w:equalWidth="0" w:num="1">
            <w:col w:w="11080"/>
          </w:cols>
          <w:pgMar w:left="320" w:top="455" w:right="49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20" w:right="640" w:hanging="649"/>
        <w:spacing w:after="0" w:line="282" w:lineRule="auto"/>
        <w:tabs>
          <w:tab w:leader="none" w:pos="252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the chair of the meeting in the chair’s absolute discretion otherwise decides that the amendment or amended resolution may properly be put to the vote.</w:t>
      </w:r>
    </w:p>
    <w:p>
      <w:pPr>
        <w:spacing w:after="0" w:line="54" w:lineRule="exact"/>
        <w:rPr>
          <w:sz w:val="20"/>
          <w:szCs w:val="20"/>
          <w:color w:val="auto"/>
        </w:rPr>
      </w:pPr>
    </w:p>
    <w:p>
      <w:pPr>
        <w:ind w:left="1880" w:right="120"/>
        <w:spacing w:after="0" w:line="282" w:lineRule="auto"/>
        <w:rPr>
          <w:sz w:val="20"/>
          <w:szCs w:val="20"/>
          <w:color w:val="auto"/>
        </w:rPr>
      </w:pPr>
      <w:r>
        <w:rPr>
          <w:rFonts w:ascii="Times New Roman" w:cs="Times New Roman" w:eastAsia="Times New Roman" w:hAnsi="Times New Roman"/>
          <w:sz w:val="18"/>
          <w:szCs w:val="18"/>
          <w:color w:val="auto"/>
        </w:rPr>
        <w:t>The giving of notice under paragraph (i) above shall not prejudice the power of the chair of the meeting to rule the amendment out of order.</w:t>
      </w:r>
    </w:p>
    <w:p>
      <w:pPr>
        <w:spacing w:after="0" w:line="67" w:lineRule="exact"/>
        <w:rPr>
          <w:sz w:val="20"/>
          <w:szCs w:val="20"/>
          <w:color w:val="auto"/>
        </w:rPr>
      </w:pPr>
    </w:p>
    <w:p>
      <w:pPr>
        <w:ind w:left="1860" w:right="160" w:hanging="543"/>
        <w:spacing w:after="0" w:line="282" w:lineRule="auto"/>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chair of the meeting, a person who proposes an amendment to a resolution may withdraw it before it is put to the vote.</w:t>
      </w:r>
    </w:p>
    <w:p>
      <w:pPr>
        <w:spacing w:after="0" w:line="67" w:lineRule="exact"/>
        <w:rPr>
          <w:rFonts w:ascii="Times New Roman" w:cs="Times New Roman" w:eastAsia="Times New Roman" w:hAnsi="Times New Roman"/>
          <w:sz w:val="18"/>
          <w:szCs w:val="18"/>
          <w:color w:val="auto"/>
        </w:rPr>
      </w:pPr>
    </w:p>
    <w:p>
      <w:pPr>
        <w:jc w:val="both"/>
        <w:ind w:left="1860" w:right="20" w:hanging="543"/>
        <w:spacing w:after="0" w:line="266" w:lineRule="auto"/>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 of the meeting rules a resolution or an amendment to a resolution admissible or out of order (as the case may be), the proceedings of the meeting or the resolution in question shall not be invalidated by any error in the chair’s ruling. Any ruling by the chair of the meeting in relation to a resolution or an amendment to a resolution shall be final and conclusive.</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Adjournment</w:t>
      </w:r>
    </w:p>
    <w:p>
      <w:pPr>
        <w:spacing w:after="0" w:line="134" w:lineRule="exact"/>
        <w:rPr>
          <w:rFonts w:ascii="Times New Roman" w:cs="Times New Roman" w:eastAsia="Times New Roman" w:hAnsi="Times New Roman"/>
          <w:sz w:val="18"/>
          <w:szCs w:val="18"/>
          <w:b w:val="1"/>
          <w:bCs w:val="1"/>
          <w:color w:val="auto"/>
        </w:rPr>
      </w:pPr>
    </w:p>
    <w:p>
      <w:pPr>
        <w:ind w:left="1860" w:right="160" w:hanging="543"/>
        <w:spacing w:after="0" w:line="266"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any general meeting at which a quorum is present the chair of the meeting may (and shall if so directed by the meeting) adjourn the meeting from time to time and from place (and/or, if appropriate, facilities for electronic attendance and participation) to place (and/or, if appropriate, facilities for electronic attendance and participation).</w:t>
      </w:r>
    </w:p>
    <w:p>
      <w:pPr>
        <w:spacing w:after="0" w:line="81"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chair of the meeting may at any time without the consent of the meeting adjourn the meeting (whether or not it has commenced or a quorum is present) to another time and/or place (and, if the chair considers it appropriate, facilities for electronic attendance and participation) if, in the chair’s opinion, it would facilitate the conduct of the business of the meeting to do so.</w:t>
      </w:r>
    </w:p>
    <w:p>
      <w:pPr>
        <w:spacing w:after="0" w:line="85" w:lineRule="exact"/>
        <w:rPr>
          <w:rFonts w:ascii="Times New Roman" w:cs="Times New Roman" w:eastAsia="Times New Roman" w:hAnsi="Times New Roman"/>
          <w:sz w:val="18"/>
          <w:szCs w:val="18"/>
          <w:color w:val="auto"/>
        </w:rPr>
      </w:pPr>
    </w:p>
    <w:p>
      <w:pPr>
        <w:ind w:left="1860" w:right="120" w:hanging="543"/>
        <w:spacing w:after="0" w:line="258"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chair of the meeting shall at any time without the consent of the meeting adjourn the meeting (whether or not it has commenced or a quorum is present) to another time and/or place (and/or, if appropriate, with other facilities for electronic attendance and participation) if, in the chair’s opinion, the facilities (whether electronic or otherwise, and whether affecting the place (or more than one place) of the meeting or any electronic participation arrangements) are not sufficient to allow the meeting to be conducted substantially in accordance with the provisions set out in the notice of meeting.</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shall limit any other power vested in the chair of the meeting to adjourn the meeting.</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conducted at a general meeting up to the time of any adjournment shall, subject to paragraph (f) below, be valid.</w:t>
      </w:r>
    </w:p>
    <w:p>
      <w:pPr>
        <w:spacing w:after="0" w:line="130" w:lineRule="exact"/>
        <w:rPr>
          <w:rFonts w:ascii="Times New Roman" w:cs="Times New Roman" w:eastAsia="Times New Roman" w:hAnsi="Times New Roman"/>
          <w:sz w:val="18"/>
          <w:szCs w:val="18"/>
          <w:color w:val="auto"/>
        </w:rPr>
      </w:pPr>
    </w:p>
    <w:p>
      <w:pPr>
        <w:ind w:left="1860" w:right="40" w:hanging="543"/>
        <w:spacing w:after="0" w:line="282"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may specify that only the business conducted at a general meeting up to a point in time which is earlier than the time of adjournment is valid if, in the chair’s opinion, to do so would be more appropriate.</w:t>
      </w:r>
    </w:p>
    <w:p>
      <w:pPr>
        <w:spacing w:after="0" w:line="65" w:lineRule="exact"/>
        <w:rPr>
          <w:rFonts w:ascii="Times New Roman" w:cs="Times New Roman" w:eastAsia="Times New Roman" w:hAnsi="Times New Roman"/>
          <w:sz w:val="18"/>
          <w:szCs w:val="18"/>
          <w:color w:val="auto"/>
        </w:rPr>
      </w:pPr>
    </w:p>
    <w:p>
      <w:pPr>
        <w:ind w:left="1860" w:hanging="543"/>
        <w:spacing w:after="0" w:line="267"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 meeting is adjourned for 30 days or more or </w:t>
      </w:r>
      <w:r>
        <w:rPr>
          <w:rFonts w:ascii="Times New Roman" w:cs="Times New Roman" w:eastAsia="Times New Roman" w:hAnsi="Times New Roman"/>
          <w:sz w:val="18"/>
          <w:szCs w:val="18"/>
          <w:i w:val="1"/>
          <w:iCs w:val="1"/>
          <w:color w:val="auto"/>
        </w:rPr>
        <w:t>sine die</w:t>
      </w:r>
      <w:r>
        <w:rPr>
          <w:rFonts w:ascii="Times New Roman" w:cs="Times New Roman" w:eastAsia="Times New Roman" w:hAnsi="Times New Roman"/>
          <w:sz w:val="18"/>
          <w:szCs w:val="18"/>
          <w:color w:val="auto"/>
        </w:rPr>
        <w:t>, at least 14 clear days’ notice of the adjourned meeting shall be given in the same manner as in the case of the original meeting but otherwise no person shall be entitled to any notice of an adjourned meeting or of the business to be transacted at an adjourned meeting.</w:t>
      </w:r>
    </w:p>
    <w:p>
      <w:pPr>
        <w:spacing w:after="0" w:line="80" w:lineRule="exact"/>
        <w:rPr>
          <w:rFonts w:ascii="Times New Roman" w:cs="Times New Roman" w:eastAsia="Times New Roman" w:hAnsi="Times New Roman"/>
          <w:sz w:val="18"/>
          <w:szCs w:val="18"/>
          <w:color w:val="auto"/>
        </w:rPr>
      </w:pPr>
    </w:p>
    <w:p>
      <w:pPr>
        <w:ind w:left="1860" w:right="520" w:hanging="543"/>
        <w:spacing w:after="0" w:line="282"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adjourned meeting other than the business which might have been transacted at the meeting from which the adjournment took place.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voting</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(before or on the declaration of the result of the show of hands) a poll is demanded by:</w:t>
      </w:r>
    </w:p>
    <w:p>
      <w:pPr>
        <w:spacing w:after="0" w:line="67"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fewer than five members present in person or by proxy and entitled to vote on the resolution;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120"/>
          </w:cols>
          <w:pgMar w:left="320" w:top="455" w:right="45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120" w:hanging="543"/>
        <w:spacing w:after="0" w:line="282" w:lineRule="auto"/>
        <w:tabs>
          <w:tab w:leader="none" w:pos="18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or members present in person or by proxy and representing not less than one-tenth of the total voting rights of all the members having the right to vote on the resolution;</w:t>
      </w:r>
    </w:p>
    <w:p>
      <w:pPr>
        <w:spacing w:after="0" w:line="67"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or members present in person or by proxy and holding shares in the Company conferring a right to vote on the resolution, being shares on which an aggregate sum has been paid up equal to not less than one-tenth of the total sum paid up on all the shares conferring that right; or</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poll is to be taken</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66"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shall be taken at such time (either at the meeting at which the resolution is proposed or within 30 days after the meeting), at such place and in such manner (including electronically) as the chair of the meeting shall direct and the chair may appoint scrutineers (who need not be members).</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a question of adjournment shall be taken at the meeting without adjournment.</w:t>
      </w:r>
    </w:p>
    <w:p>
      <w:pPr>
        <w:spacing w:after="0" w:line="130" w:lineRule="exact"/>
        <w:rPr>
          <w:rFonts w:ascii="Times New Roman" w:cs="Times New Roman" w:eastAsia="Times New Roman" w:hAnsi="Times New Roman"/>
          <w:sz w:val="18"/>
          <w:szCs w:val="18"/>
          <w:color w:val="auto"/>
        </w:rPr>
      </w:pPr>
    </w:p>
    <w:p>
      <w:pPr>
        <w:ind w:left="1860" w:right="240" w:hanging="543"/>
        <w:spacing w:after="0" w:line="282"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(unless the chair of the meeting otherwise directs) for notice to be given of a poll whether taken at or after the meeting at which it was demanded.</w:t>
      </w:r>
    </w:p>
    <w:p>
      <w:pPr>
        <w:spacing w:after="0" w:line="67" w:lineRule="exact"/>
        <w:rPr>
          <w:rFonts w:ascii="Times New Roman" w:cs="Times New Roman" w:eastAsia="Times New Roman" w:hAnsi="Times New Roman"/>
          <w:sz w:val="18"/>
          <w:szCs w:val="18"/>
          <w:color w:val="auto"/>
        </w:rPr>
      </w:pPr>
    </w:p>
    <w:p>
      <w:pPr>
        <w:ind w:left="1860" w:right="280" w:hanging="543"/>
        <w:spacing w:after="0" w:line="282"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 and a member entitled to more than one vote need not use all the member’s votes or cast all the votes used in the same way.</w:t>
      </w:r>
    </w:p>
    <w:p>
      <w:pPr>
        <w:spacing w:after="0" w:line="67"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the poll shall be deemed to be a resolution of the meeting at which the poll was demanded (or deemed to have been demanded).</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meeting</w:t>
      </w:r>
    </w:p>
    <w:p>
      <w:pPr>
        <w:spacing w:after="0" w:line="121" w:lineRule="exact"/>
        <w:rPr>
          <w:rFonts w:ascii="Times New Roman" w:cs="Times New Roman" w:eastAsia="Times New Roman" w:hAnsi="Times New Roman"/>
          <w:sz w:val="18"/>
          <w:szCs w:val="18"/>
          <w:b w:val="1"/>
          <w:bCs w:val="1"/>
          <w:color w:val="auto"/>
        </w:rPr>
      </w:pPr>
    </w:p>
    <w:p>
      <w:pPr>
        <w:jc w:val="both"/>
        <w:ind w:left="6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persons seeking to attend or participate in a general meeting electronically shall be responsible for maintaining adequate facilities to enable them to do so. Subject only to the requirement for the chair to adjourn a general meeting in accordance with the provisions of article 45(c), any inability of a person or persons to attend or participate in a general meeting electronically shall not invalidate the proceedings of that meeting.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VOTES OF MEMBERS</w:t>
      </w:r>
    </w:p>
    <w:p>
      <w:pPr>
        <w:spacing w:after="0" w:line="252" w:lineRule="exact"/>
        <w:rPr>
          <w:sz w:val="20"/>
          <w:szCs w:val="20"/>
          <w:color w:val="auto"/>
        </w:rPr>
      </w:pPr>
    </w:p>
    <w:p>
      <w:pPr>
        <w:ind w:left="660" w:hanging="544"/>
        <w:spacing w:after="0"/>
        <w:tabs>
          <w:tab w:leader="none" w:pos="660"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p>
    <w:p>
      <w:pPr>
        <w:spacing w:after="0" w:line="134" w:lineRule="exact"/>
        <w:rPr>
          <w:rFonts w:ascii="Times New Roman" w:cs="Times New Roman" w:eastAsia="Times New Roman" w:hAnsi="Times New Roman"/>
          <w:sz w:val="18"/>
          <w:szCs w:val="18"/>
          <w:b w:val="1"/>
          <w:bCs w:val="1"/>
          <w:color w:val="auto"/>
        </w:rPr>
      </w:pPr>
    </w:p>
    <w:p>
      <w:pPr>
        <w:ind w:left="1860" w:right="100" w:hanging="543"/>
        <w:spacing w:after="0" w:line="282" w:lineRule="auto"/>
        <w:tabs>
          <w:tab w:leader="none" w:pos="18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any special rights or restrictions as to voting for the time being attached to any class of shares in the Company (including, for the avoidance of doubt, such rights and restrictions as apply as set out in article 5(b) above):</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who is present in person shall have one vote;</w:t>
      </w:r>
    </w:p>
    <w:p>
      <w:pPr>
        <w:spacing w:after="0" w:line="130" w:lineRule="exact"/>
        <w:rPr>
          <w:rFonts w:ascii="Times New Roman" w:cs="Times New Roman" w:eastAsia="Times New Roman" w:hAnsi="Times New Roman"/>
          <w:sz w:val="18"/>
          <w:szCs w:val="18"/>
          <w:color w:val="auto"/>
        </w:rPr>
      </w:pPr>
    </w:p>
    <w:p>
      <w:pPr>
        <w:ind w:left="3080" w:right="40" w:hanging="548"/>
        <w:spacing w:after="0" w:line="256" w:lineRule="auto"/>
        <w:tabs>
          <w:tab w:leader="none" w:pos="3080" w:val="left"/>
        </w:tabs>
        <w:numPr>
          <w:ilvl w:val="3"/>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proxy present who has been duly appointed by one or more members entitled to vote on the resolution shall have one vote, except that if the proxy has been duly appointed by more than one member entitled to vote on the resolution and is instructed by one or more of those members to vote for the resolution and by one or more others to vote against it, or is instructed by one or more of those members to vote in one way and is given discretion as to how to vote by one or more others (and wishes to use that discretion to vote in the other way) he or she shall have one vote for and one vote against the resolution; and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120"/>
          </w:cols>
          <w:pgMar w:left="320" w:top="455" w:right="45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080" w:right="440" w:hanging="548"/>
        <w:spacing w:after="0" w:line="282" w:lineRule="auto"/>
        <w:tabs>
          <w:tab w:leader="none" w:pos="3080" w:val="left"/>
        </w:tabs>
        <w:numPr>
          <w:ilvl w:val="3"/>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corporate representative present who has been duly authorised by a corporation shall have the same voting rights as the corporation would be entitled to; and</w:t>
      </w:r>
    </w:p>
    <w:p>
      <w:pPr>
        <w:spacing w:after="0" w:line="67" w:lineRule="exact"/>
        <w:rPr>
          <w:rFonts w:ascii="Times New Roman" w:cs="Times New Roman" w:eastAsia="Times New Roman" w:hAnsi="Times New Roman"/>
          <w:sz w:val="18"/>
          <w:szCs w:val="18"/>
          <w:color w:val="auto"/>
        </w:rPr>
      </w:pPr>
    </w:p>
    <w:p>
      <w:pPr>
        <w:ind w:left="2520" w:right="220" w:hanging="649"/>
        <w:spacing w:after="0" w:line="266" w:lineRule="auto"/>
        <w:tabs>
          <w:tab w:leader="none" w:pos="2520" w:val="left"/>
        </w:tabs>
        <w:numPr>
          <w:ilvl w:val="2"/>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and subject to article 5(b), every member who is present in person or by a duly appointed proxy shall have one vote for each share of which he or she is the holder or in respect of which his or her appointment of proxy or corporate representative has been made.</w:t>
      </w:r>
    </w:p>
    <w:p>
      <w:pPr>
        <w:spacing w:after="0" w:line="81" w:lineRule="exact"/>
        <w:rPr>
          <w:rFonts w:ascii="Times New Roman" w:cs="Times New Roman" w:eastAsia="Times New Roman" w:hAnsi="Times New Roman"/>
          <w:sz w:val="18"/>
          <w:szCs w:val="18"/>
          <w:color w:val="auto"/>
        </w:rPr>
      </w:pPr>
    </w:p>
    <w:p>
      <w:pPr>
        <w:ind w:left="1860" w:right="60" w:hanging="543"/>
        <w:spacing w:after="0" w:line="258" w:lineRule="auto"/>
        <w:tabs>
          <w:tab w:leader="none" w:pos="186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which persons are entitled to attend or vote at any general meeting, and how many votes such persons may cast, the Company must specify in the notice of the meeting a time, determined by the Board, by which a person must be entered on the register in order to have the right to attend or vote at the meeting. Changes to entries on the register after the time so specified shall be disregarded in determining the rights of any person to attend or vote at the meeting, notwithstanding any provisions in the Statutes or these articles to the contrary.</w:t>
      </w:r>
    </w:p>
    <w:p>
      <w:pPr>
        <w:spacing w:after="0" w:line="32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corporations</w:t>
      </w:r>
    </w:p>
    <w:p>
      <w:pPr>
        <w:spacing w:after="0" w:line="134" w:lineRule="exact"/>
        <w:rPr>
          <w:rFonts w:ascii="Times New Roman" w:cs="Times New Roman" w:eastAsia="Times New Roman" w:hAnsi="Times New Roman"/>
          <w:sz w:val="18"/>
          <w:szCs w:val="18"/>
          <w:b w:val="1"/>
          <w:bCs w:val="1"/>
          <w:color w:val="auto"/>
        </w:rPr>
      </w:pPr>
    </w:p>
    <w:p>
      <w:pPr>
        <w:ind w:left="1860" w:right="360" w:hanging="543"/>
        <w:spacing w:after="0" w:line="282" w:lineRule="auto"/>
        <w:tabs>
          <w:tab w:leader="none" w:pos="1860"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of the Company may, by resolution of its Board or other governing body, authorise any person or persons to act as its representative or representatives at any general meeting of the Company.</w:t>
      </w:r>
    </w:p>
    <w:p>
      <w:pPr>
        <w:spacing w:after="0" w:line="67" w:lineRule="exact"/>
        <w:rPr>
          <w:rFonts w:ascii="Times New Roman" w:cs="Times New Roman" w:eastAsia="Times New Roman" w:hAnsi="Times New Roman"/>
          <w:sz w:val="18"/>
          <w:szCs w:val="18"/>
          <w:color w:val="auto"/>
        </w:rPr>
      </w:pPr>
    </w:p>
    <w:p>
      <w:pPr>
        <w:ind w:left="1860" w:right="660" w:hanging="543"/>
        <w:spacing w:after="0" w:line="282" w:lineRule="auto"/>
        <w:tabs>
          <w:tab w:leader="none" w:pos="1860"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any director or the secretary may (but shall not be bound to) require evidence of the authority of any such representative.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joint holders</w:t>
      </w:r>
    </w:p>
    <w:p>
      <w:pPr>
        <w:spacing w:after="0" w:line="121" w:lineRule="exact"/>
        <w:rPr>
          <w:rFonts w:ascii="Times New Roman" w:cs="Times New Roman" w:eastAsia="Times New Roman" w:hAnsi="Times New Roman"/>
          <w:sz w:val="18"/>
          <w:szCs w:val="18"/>
          <w:b w:val="1"/>
          <w:bCs w:val="1"/>
          <w:color w:val="auto"/>
        </w:rPr>
      </w:pPr>
    </w:p>
    <w:p>
      <w:pPr>
        <w:jc w:val="both"/>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of the joint holders of a share tenders a vote on the same resolution, whether in person or by proxy, the vote of the senior who tenders a vote shall be accepted to the exclusion of the vote(s) of the other joint holder(s); and for this purpose, seniority shall be determined by the order in which the names stand in the register in respect of the relevant share.</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members incapable of managing their affairs</w:t>
      </w:r>
    </w:p>
    <w:p>
      <w:pPr>
        <w:spacing w:after="0" w:line="121"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member in respect of whom an order has been made by any court having jurisdiction (whether in the United Kingdom or elsewhere) in matters concerning mental disorder may vote by the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in the nature of a receiver or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appointed by that court, and the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may, on a poll, vote by proxy. Evidence to the satisfaction of the Board of the authority of the person claiming the right to vote must be received at the office (or at such other address as may be specified for the receipt of proxy appointments) not later than the last time by which a proxy appointment must be received in order to be valid for use at the meeting or adjourned meeting or on the holding of the poll at or on which that person proposes to vote and, in default, the right to vote shall not be exercisable.</w:t>
      </w:r>
    </w:p>
    <w:p>
      <w:pPr>
        <w:spacing w:after="0" w:line="333"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suspended where sums overdue</w:t>
      </w:r>
    </w:p>
    <w:p>
      <w:pPr>
        <w:spacing w:after="0" w:line="12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Board otherwise decides, a member shall not be entitled to vote, either in person or by proxy, at any general meeting of the Company in respect of any share held by that member unless all calls and other sums presently payable by that member in respect of that share have been paid.</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Objections to admissibility of votes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objection shall be raised as to the admissibility of any vote except at the meeting or adjourned meeting or poll at which the vote objected to is or may be given or tendered, and every vote not disallowed at such meeting or poll shall be valid for all purposes. Any such objection made in due time shall be referred to the chair of the meeting, whose decision shall be final and conclusive.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120"/>
          </w:cols>
          <w:pgMar w:left="320" w:top="455" w:right="45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52" w:lineRule="exact"/>
        <w:rPr>
          <w:sz w:val="20"/>
          <w:szCs w:val="20"/>
          <w:color w:val="auto"/>
        </w:rPr>
      </w:pPr>
    </w:p>
    <w:p>
      <w:pPr>
        <w:ind w:left="660" w:hanging="544"/>
        <w:spacing w:after="0"/>
        <w:tabs>
          <w:tab w:leader="none" w:pos="660" w:val="left"/>
        </w:tabs>
        <w:numPr>
          <w:ilvl w:val="0"/>
          <w:numId w:val="5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Proxies</w:t>
      </w:r>
    </w:p>
    <w:p>
      <w:pPr>
        <w:spacing w:after="0" w:line="135" w:lineRule="exact"/>
        <w:rPr>
          <w:sz w:val="20"/>
          <w:szCs w:val="20"/>
          <w:color w:val="auto"/>
        </w:rPr>
      </w:pPr>
    </w:p>
    <w:p>
      <w:pPr>
        <w:ind w:left="1860" w:right="520" w:hanging="543"/>
        <w:spacing w:after="0" w:line="282" w:lineRule="auto"/>
        <w:tabs>
          <w:tab w:leader="none" w:pos="186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member of the Company and a member may appoint more than one proxy in relation to a meeting, provided that each proxy is appointed to exercise the rights attached to a different share or shares held by the member.</w:t>
      </w:r>
    </w:p>
    <w:p>
      <w:pPr>
        <w:spacing w:after="0" w:line="67" w:lineRule="exact"/>
        <w:rPr>
          <w:rFonts w:ascii="Times New Roman" w:cs="Times New Roman" w:eastAsia="Times New Roman" w:hAnsi="Times New Roman"/>
          <w:sz w:val="18"/>
          <w:szCs w:val="18"/>
          <w:color w:val="auto"/>
        </w:rPr>
      </w:pPr>
    </w:p>
    <w:p>
      <w:pPr>
        <w:ind w:left="1860" w:right="460" w:hanging="543"/>
        <w:spacing w:after="0" w:line="282" w:lineRule="auto"/>
        <w:tabs>
          <w:tab w:leader="none" w:pos="186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proxy shall not preclude a member from attending and voting in person at the meeting or on the poll concerned.</w:t>
      </w:r>
    </w:p>
    <w:p>
      <w:pPr>
        <w:spacing w:after="0" w:line="67"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proxy shall only be valid for the meeting mentioned in it and any adjournment of that meeting (including on any poll demanded at the meeting or any adjourned meeting).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proxy</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61" w:lineRule="auto"/>
        <w:tabs>
          <w:tab w:leader="none" w:pos="186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appointment of a proxy may be in such form as is usual or common or in such other form as the Board may from time to time approve and shall be signed by the appointor, or the appointor’s duly authorised agent, or, if the appointor is a corporation, shall either be executed under its common seal or be signed by an agent or officer authorised for that purpose. The signature need not be witnessed.</w:t>
      </w:r>
    </w:p>
    <w:p>
      <w:pPr>
        <w:spacing w:after="0" w:line="85" w:lineRule="exact"/>
        <w:rPr>
          <w:rFonts w:ascii="Times New Roman" w:cs="Times New Roman" w:eastAsia="Times New Roman" w:hAnsi="Times New Roman"/>
          <w:sz w:val="18"/>
          <w:szCs w:val="18"/>
          <w:color w:val="auto"/>
        </w:rPr>
      </w:pPr>
    </w:p>
    <w:p>
      <w:pPr>
        <w:ind w:left="1860" w:hanging="543"/>
        <w:spacing w:after="0" w:line="254" w:lineRule="auto"/>
        <w:tabs>
          <w:tab w:leader="none" w:pos="186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these articles, the Board may from time to time in relation to uncertificated shares: (i) approve the appointment of a proxy by means of a communication sent in electronic form which is sent by means of the relevant system and received by such participant in that system acting on behalf of the Company as the Board may prescribe, in such form and subject to such terms and conditions as the Board may from time to time prescribe (subject always to the facilities and requirements of the relevant system)); and (ii) approve supplements to, or amendments or revocations of, any such uncertificated proxy instruction by the same means. In addition, the Board may prescribe the method of determining the time at which any such uncertificated proxy instruction is to be treated as received by the Company or such participant and may treat any such uncertificated proxy instruction which purports to be or is expressed to be sent on behalf of a holder of a share as sufficient evidence of the authority of the person sending that instruction to send it on behalf of that holder.</w:t>
      </w:r>
    </w:p>
    <w:p>
      <w:pPr>
        <w:spacing w:after="0" w:line="332"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Receipt of proxy</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appointment:</w:t>
      </w:r>
    </w:p>
    <w:p>
      <w:pPr>
        <w:spacing w:after="0" w:line="130" w:lineRule="exact"/>
        <w:rPr>
          <w:rFonts w:ascii="Times New Roman" w:cs="Times New Roman" w:eastAsia="Times New Roman" w:hAnsi="Times New Roman"/>
          <w:sz w:val="18"/>
          <w:szCs w:val="18"/>
          <w:color w:val="auto"/>
        </w:rPr>
      </w:pPr>
    </w:p>
    <w:p>
      <w:pPr>
        <w:ind w:left="2520" w:right="420" w:hanging="649"/>
        <w:spacing w:after="0" w:line="282" w:lineRule="auto"/>
        <w:tabs>
          <w:tab w:leader="none" w:pos="2520"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received at a proxy notification address not less than 48 hours (or such shorter time as the Board decides) before the time fixed for holding the meeting at which the appointee proposes to vote; or</w:t>
      </w:r>
    </w:p>
    <w:p>
      <w:pPr>
        <w:spacing w:after="0" w:line="67" w:lineRule="exact"/>
        <w:rPr>
          <w:rFonts w:ascii="Times New Roman" w:cs="Times New Roman" w:eastAsia="Times New Roman" w:hAnsi="Times New Roman"/>
          <w:sz w:val="18"/>
          <w:szCs w:val="18"/>
          <w:color w:val="auto"/>
        </w:rPr>
      </w:pPr>
    </w:p>
    <w:p>
      <w:pPr>
        <w:ind w:left="2520" w:right="300" w:hanging="649"/>
        <w:spacing w:after="0" w:line="261" w:lineRule="auto"/>
        <w:tabs>
          <w:tab w:leader="none" w:pos="2520"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or in the case of an adjourned meeting to be held more than 48 hours after the time fixed for holding the original meeting, must be received at a proxy notification address not less than 24 hours (or such shorter time as the Board decides) before the time fixed for the taking of the poll or, as the case may be, the time fixed for holding the adjourned meeting; or</w:t>
      </w:r>
    </w:p>
    <w:p>
      <w:pPr>
        <w:spacing w:after="0" w:line="85" w:lineRule="exact"/>
        <w:rPr>
          <w:rFonts w:ascii="Times New Roman" w:cs="Times New Roman" w:eastAsia="Times New Roman" w:hAnsi="Times New Roman"/>
          <w:sz w:val="18"/>
          <w:szCs w:val="18"/>
          <w:color w:val="auto"/>
        </w:rPr>
      </w:pPr>
    </w:p>
    <w:p>
      <w:pPr>
        <w:ind w:left="2520" w:right="280" w:hanging="649"/>
        <w:spacing w:after="0" w:line="266" w:lineRule="auto"/>
        <w:tabs>
          <w:tab w:leader="none" w:pos="2520"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which is not taken at the meeting at which it is demanded but is taken 48 hours or less after it is demanded, or in the case of an adjourned meeting to be held 48 hours or less after the time fixed for holding the original meeting, must be received:</w:t>
      </w:r>
    </w:p>
    <w:p>
      <w:pPr>
        <w:spacing w:after="0" w:line="81"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proxy notification address in accordance with (i) above;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B-23</w:t>
      </w:r>
    </w:p>
    <w:p>
      <w:pPr>
        <w:sectPr>
          <w:pgSz w:w="11900" w:h="16838" w:orient="portrait"/>
          <w:cols w:equalWidth="0" w:num="1">
            <w:col w:w="11120"/>
          </w:cols>
          <w:pgMar w:left="320" w:top="455" w:right="45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080" w:right="160" w:hanging="548"/>
        <w:spacing w:after="0" w:line="282" w:lineRule="auto"/>
        <w:tabs>
          <w:tab w:leader="none" w:pos="308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 of the meeting or the secretary or any director at the meeting at which the poll is demanded or, as the case may be, at the original meeting; or</w:t>
      </w:r>
    </w:p>
    <w:p>
      <w:pPr>
        <w:spacing w:after="0" w:line="67" w:lineRule="exact"/>
        <w:rPr>
          <w:rFonts w:ascii="Times New Roman" w:cs="Times New Roman" w:eastAsia="Times New Roman" w:hAnsi="Times New Roman"/>
          <w:sz w:val="18"/>
          <w:szCs w:val="18"/>
          <w:color w:val="auto"/>
        </w:rPr>
      </w:pPr>
    </w:p>
    <w:p>
      <w:pPr>
        <w:ind w:left="3080" w:right="160" w:hanging="548"/>
        <w:spacing w:after="0" w:line="282" w:lineRule="auto"/>
        <w:tabs>
          <w:tab w:leader="none" w:pos="308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proxy notification address by such time as the chair of the meeting may direct at the meeting at which the poll is demanded.</w:t>
      </w:r>
    </w:p>
    <w:p>
      <w:pPr>
        <w:spacing w:after="0" w:line="54" w:lineRule="exact"/>
        <w:rPr>
          <w:sz w:val="20"/>
          <w:szCs w:val="20"/>
          <w:color w:val="auto"/>
        </w:rPr>
      </w:pPr>
    </w:p>
    <w:p>
      <w:pPr>
        <w:ind w:left="1880" w:right="600"/>
        <w:spacing w:after="0" w:line="282" w:lineRule="auto"/>
        <w:rPr>
          <w:sz w:val="20"/>
          <w:szCs w:val="20"/>
          <w:color w:val="auto"/>
        </w:rPr>
      </w:pPr>
      <w:r>
        <w:rPr>
          <w:rFonts w:ascii="Times New Roman" w:cs="Times New Roman" w:eastAsia="Times New Roman" w:hAnsi="Times New Roman"/>
          <w:sz w:val="18"/>
          <w:szCs w:val="18"/>
          <w:color w:val="auto"/>
        </w:rPr>
        <w:t>In calculating the periods mentioned, no account shall be taken of any part of a day that is not a working day (within the meaning of the 2006 Act).</w:t>
      </w:r>
    </w:p>
    <w:p>
      <w:pPr>
        <w:spacing w:after="0" w:line="67" w:lineRule="exact"/>
        <w:rPr>
          <w:sz w:val="20"/>
          <w:szCs w:val="20"/>
          <w:color w:val="auto"/>
        </w:rPr>
      </w:pPr>
    </w:p>
    <w:p>
      <w:pPr>
        <w:ind w:left="1860" w:right="160" w:hanging="543"/>
        <w:spacing w:after="0" w:line="266" w:lineRule="auto"/>
        <w:tabs>
          <w:tab w:leader="none" w:pos="186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but shall not be bound to, require reasonable evidence of the identity of the member and of the proxy, the member’s instructions (if any) as to how the proxy is to vote and, where the proxy is appointed by a person acting on behalf of the member, authority of that person to make the appointment.</w:t>
      </w:r>
    </w:p>
    <w:p>
      <w:pPr>
        <w:spacing w:after="0" w:line="81" w:lineRule="exact"/>
        <w:rPr>
          <w:rFonts w:ascii="Times New Roman" w:cs="Times New Roman" w:eastAsia="Times New Roman" w:hAnsi="Times New Roman"/>
          <w:sz w:val="18"/>
          <w:szCs w:val="18"/>
          <w:color w:val="auto"/>
        </w:rPr>
      </w:pPr>
    </w:p>
    <w:p>
      <w:pPr>
        <w:ind w:left="1860" w:right="120" w:hanging="543"/>
        <w:spacing w:after="0" w:line="266" w:lineRule="auto"/>
        <w:tabs>
          <w:tab w:leader="none" w:pos="186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either generally or in any particular case, to treat a proxy appointment as valid notwithstanding that the appointment or any of the information required under paragraph (b) above has not been received in accordance with the requirements of this article.</w:t>
      </w:r>
    </w:p>
    <w:p>
      <w:pPr>
        <w:spacing w:after="0" w:line="81" w:lineRule="exact"/>
        <w:rPr>
          <w:rFonts w:ascii="Times New Roman" w:cs="Times New Roman" w:eastAsia="Times New Roman" w:hAnsi="Times New Roman"/>
          <w:sz w:val="18"/>
          <w:szCs w:val="18"/>
          <w:color w:val="auto"/>
        </w:rPr>
      </w:pPr>
    </w:p>
    <w:p>
      <w:pPr>
        <w:ind w:left="1860" w:right="140" w:hanging="543"/>
        <w:spacing w:after="0" w:line="266" w:lineRule="auto"/>
        <w:tabs>
          <w:tab w:leader="none" w:pos="186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above, if the proxy appointment and any of the information required under paragraph (b) above, is not received in the manner set out in paragraph (a) above, the appointee shall not be entitled to vote in respect of the shares in question.</w:t>
      </w:r>
    </w:p>
    <w:p>
      <w:pPr>
        <w:spacing w:after="0" w:line="81"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valid but differing proxy appointments are received in respect of the same share for use at the same meeting or on the same poll, the one which is last received (regardless of its date or of the date of its execution) shall be treated as replacing and revoking the others as regards that share and if the Company is unable to determine which was last received, none of them shall be treated as valid in respect of that share.</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revocation of authority etc.</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58" w:lineRule="auto"/>
        <w:tabs>
          <w:tab w:leader="none" w:pos="18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or poll demanded by proxy or by a representative of a corporation shall be valid notwithstanding the previous termination of the authority of the person voting or demanding a poll or (until entered in the register) the transfer of the share in respect of which the appointment of the relevant person was made unless notice of the termination was received at a proxy notification address not less than six hours before the time fixed for holding the relevant meeting or adjourned meeting or, in the case of a poll not taken on the same day as the meeting or adjourned meeting, before the time fixed for taking the poll.</w:t>
      </w:r>
    </w:p>
    <w:p>
      <w:pPr>
        <w:spacing w:after="0" w:line="88"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by a proxy or by a representative of a corporation shall be valid notwithstanding that the vote was not cast in accordance with any instructions given by the member by whom the proxy or representative of a corporation is appointed. The Company shall not be obliged to check whether the proxy or representative of a corporation has in fact voted in accordance with any such member’s instructions.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52" w:lineRule="exact"/>
        <w:rPr>
          <w:sz w:val="20"/>
          <w:szCs w:val="20"/>
          <w:color w:val="auto"/>
        </w:rPr>
      </w:pPr>
    </w:p>
    <w:p>
      <w:pPr>
        <w:ind w:left="660" w:hanging="544"/>
        <w:spacing w:after="0"/>
        <w:tabs>
          <w:tab w:leader="none" w:pos="660" w:val="left"/>
        </w:tabs>
        <w:numPr>
          <w:ilvl w:val="0"/>
          <w:numId w:val="5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and class of directors</w:t>
      </w:r>
    </w:p>
    <w:p>
      <w:pPr>
        <w:spacing w:after="0" w:line="134" w:lineRule="exact"/>
        <w:rPr>
          <w:rFonts w:ascii="Times New Roman" w:cs="Times New Roman" w:eastAsia="Times New Roman" w:hAnsi="Times New Roman"/>
          <w:sz w:val="18"/>
          <w:szCs w:val="18"/>
          <w:b w:val="1"/>
          <w:bCs w:val="1"/>
          <w:color w:val="auto"/>
        </w:rPr>
      </w:pPr>
    </w:p>
    <w:p>
      <w:pPr>
        <w:ind w:left="1860" w:right="180" w:hanging="543"/>
        <w:spacing w:after="0" w:line="282" w:lineRule="auto"/>
        <w:tabs>
          <w:tab w:leader="none" w:pos="186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not, unless otherwise determined by an ordinary resolution of the Company, be less than three but shall not be subject to a maximum number.</w:t>
      </w:r>
    </w:p>
    <w:p>
      <w:pPr>
        <w:spacing w:after="0" w:line="67" w:lineRule="exact"/>
        <w:rPr>
          <w:rFonts w:ascii="Times New Roman" w:cs="Times New Roman" w:eastAsia="Times New Roman" w:hAnsi="Times New Roman"/>
          <w:sz w:val="18"/>
          <w:szCs w:val="18"/>
          <w:color w:val="auto"/>
        </w:rPr>
      </w:pPr>
    </w:p>
    <w:p>
      <w:pPr>
        <w:ind w:left="1860" w:hanging="543"/>
        <w:spacing w:after="0" w:line="281" w:lineRule="auto"/>
        <w:tabs>
          <w:tab w:leader="none" w:pos="1860" w:val="left"/>
        </w:tabs>
        <w:numPr>
          <w:ilvl w:val="1"/>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be classified, with respect to the term for which they severally hold office, into three classes, designated as Class I, Class II and Class III, respectively. Subject to article 59(c), each class shall consist, as nearly as may be possible, of one-third of the total number of directors. The directors shall be assigned to each class in accordance with a resolution or resolutions adopted by the Board, with the number of directors in each class to be divided as nearly equal as reasonably possible.</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B-24</w:t>
      </w:r>
    </w:p>
    <w:p>
      <w:pPr>
        <w:sectPr>
          <w:pgSz w:w="11900" w:h="16838" w:orient="portrait"/>
          <w:cols w:equalWidth="0" w:num="1">
            <w:col w:w="11120"/>
          </w:cols>
          <w:pgMar w:left="320" w:top="455" w:right="45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400" w:hanging="543"/>
        <w:spacing w:after="0" w:line="282" w:lineRule="auto"/>
        <w:tabs>
          <w:tab w:leader="none" w:pos="186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where there are ten (10) directors, three (3) directors shall be designated as Class I directors, three (3) directors designated as Class II directors, and four (4) directors designated as Class III directors.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need not be members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need not be a member of the Company.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RETIREMENT AND REMOVAL OF DIRECTORS</w:t>
      </w:r>
    </w:p>
    <w:p>
      <w:pPr>
        <w:spacing w:after="0" w:line="252" w:lineRule="exact"/>
        <w:rPr>
          <w:sz w:val="20"/>
          <w:szCs w:val="20"/>
          <w:color w:val="auto"/>
        </w:rPr>
      </w:pPr>
    </w:p>
    <w:p>
      <w:pPr>
        <w:ind w:left="660" w:hanging="544"/>
        <w:spacing w:after="0"/>
        <w:tabs>
          <w:tab w:leader="none" w:pos="660"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 by the Company</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266" w:lineRule="auto"/>
        <w:tabs>
          <w:tab w:leader="none" w:pos="186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ordinary resolution (including pursuant to article 49 where applicable) elect any person who is willing to act to be a director, either to fill a vacancy or as an additional director, but so that the total number of directors shall not exceed any maximum number fixed by or in accordance with these articles.</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a director retiring in accordance with these articles) shall be elected or re-elected a director unless: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recommended by the Board; or</w:t>
      </w:r>
    </w:p>
    <w:p>
      <w:pPr>
        <w:spacing w:after="0" w:line="130" w:lineRule="exact"/>
        <w:rPr>
          <w:rFonts w:ascii="Times New Roman" w:cs="Times New Roman" w:eastAsia="Times New Roman" w:hAnsi="Times New Roman"/>
          <w:sz w:val="18"/>
          <w:szCs w:val="18"/>
          <w:color w:val="auto"/>
        </w:rPr>
      </w:pPr>
    </w:p>
    <w:p>
      <w:pPr>
        <w:ind w:left="2520" w:right="140" w:hanging="649"/>
        <w:spacing w:after="0" w:line="258" w:lineRule="auto"/>
        <w:tabs>
          <w:tab w:leader="none" w:pos="2520" w:val="left"/>
        </w:tabs>
        <w:numPr>
          <w:ilvl w:val="2"/>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seven nor more than 42 days before the day appointed for the meeting there has been given to the Company, by a member (other than the person to be proposed) entitled to attend and vote at the meeting, notice of the member’s intention to propose a resolution for the appointment of that person, stating the particulars which would, if the person were so appointed, be required to be included in the Company’s register of directors and a notice executed by that person of the person’s willingness to be elected.</w:t>
      </w:r>
    </w:p>
    <w:p>
      <w:pPr>
        <w:spacing w:after="0" w:line="88" w:lineRule="exact"/>
        <w:rPr>
          <w:rFonts w:ascii="Times New Roman" w:cs="Times New Roman" w:eastAsia="Times New Roman" w:hAnsi="Times New Roman"/>
          <w:sz w:val="18"/>
          <w:szCs w:val="18"/>
          <w:color w:val="auto"/>
        </w:rPr>
      </w:pPr>
    </w:p>
    <w:p>
      <w:pPr>
        <w:ind w:left="1860" w:right="120" w:hanging="543"/>
        <w:spacing w:after="0" w:line="277" w:lineRule="auto"/>
        <w:tabs>
          <w:tab w:leader="none" w:pos="1860" w:val="left"/>
        </w:tabs>
        <w:numPr>
          <w:ilvl w:val="1"/>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any general meeting at which resolutions contained any member’s notice referred to in article 61(b) are proposed may waive the notice requirements set out in article 61(b)and submit to the general meeting the name(s) of any person(s) duly qualified and willing to be elected as a director of the Company for election or re-election (as the case may be). Where article 61(b)(ii) applies and a director is proposed to be elected or re-elected by ordinary resolution of the Company, the holder(s) of a simple majority of the Ordinary Shares may waive the notice requirements set out in article 61(b)(ii) in writing.</w:t>
      </w:r>
    </w:p>
    <w:p>
      <w:pPr>
        <w:spacing w:after="0" w:line="312" w:lineRule="exact"/>
        <w:rPr>
          <w:rFonts w:ascii="Times New Roman" w:cs="Times New Roman" w:eastAsia="Times New Roman" w:hAnsi="Times New Roman"/>
          <w:sz w:val="17"/>
          <w:szCs w:val="17"/>
          <w:color w:val="auto"/>
        </w:rPr>
      </w:pPr>
    </w:p>
    <w:p>
      <w:pPr>
        <w:ind w:left="660" w:hanging="544"/>
        <w:spacing w:after="0"/>
        <w:tabs>
          <w:tab w:leader="none" w:pos="660"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Separate resolutions for election of each director</w:t>
      </w:r>
    </w:p>
    <w:p>
      <w:pPr>
        <w:spacing w:after="0" w:line="121" w:lineRule="exact"/>
        <w:rPr>
          <w:rFonts w:ascii="Times New Roman" w:cs="Times New Roman" w:eastAsia="Times New Roman" w:hAnsi="Times New Roman"/>
          <w:sz w:val="18"/>
          <w:szCs w:val="18"/>
          <w:b w:val="1"/>
          <w:bCs w:val="1"/>
          <w:color w:val="auto"/>
        </w:rPr>
      </w:pPr>
    </w:p>
    <w:p>
      <w:pPr>
        <w:jc w:val="both"/>
        <w:ind w:left="6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ordinary resolution for the election of a director shall relate to one named person and a single resolution for the election of two or more persons shall be void, unless at a general meeting a resolution that it shall be so proposed has been first agreed to by the meeting without any vote being cast against it.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Board’s power to appoint directors</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appoint any person who is willing to act to be a director, either to fill a vacancy or by way of addition to their number, but so that the total number of directors shall not exceed any maximum number fixed by or in accordance with these articles.</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of directors</w:t>
      </w:r>
    </w:p>
    <w:p>
      <w:pPr>
        <w:spacing w:after="0" w:line="130"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Class I, II and III directors appointed as at the date of the adoption of these articles (“</w:t>
      </w:r>
      <w:r>
        <w:rPr>
          <w:rFonts w:ascii="Times New Roman" w:cs="Times New Roman" w:eastAsia="Times New Roman" w:hAnsi="Times New Roman"/>
          <w:sz w:val="18"/>
          <w:szCs w:val="18"/>
          <w:b w:val="1"/>
          <w:bCs w:val="1"/>
          <w:color w:val="auto"/>
        </w:rPr>
        <w:t>Adoption Date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2"/>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shall serve for a term expiring at the first annual meeting of shareholders following the Adoption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B-25</w:t>
      </w:r>
    </w:p>
    <w:p>
      <w:pPr>
        <w:sectPr>
          <w:pgSz w:w="11900" w:h="16838" w:orient="portrait"/>
          <w:cols w:equalWidth="0" w:num="1">
            <w:col w:w="11120"/>
          </w:cols>
          <w:pgMar w:left="320" w:top="455" w:right="45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20" w:right="600" w:hanging="649"/>
        <w:spacing w:after="0" w:line="282" w:lineRule="auto"/>
        <w:tabs>
          <w:tab w:leader="none" w:pos="252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shall serve for a term expiring at the second annual meeting of shareholders following the Adoption Date; and</w:t>
      </w:r>
    </w:p>
    <w:p>
      <w:pPr>
        <w:spacing w:after="0" w:line="67" w:lineRule="exact"/>
        <w:rPr>
          <w:rFonts w:ascii="Times New Roman" w:cs="Times New Roman" w:eastAsia="Times New Roman" w:hAnsi="Times New Roman"/>
          <w:sz w:val="18"/>
          <w:szCs w:val="18"/>
          <w:color w:val="auto"/>
        </w:rPr>
      </w:pPr>
    </w:p>
    <w:p>
      <w:pPr>
        <w:ind w:left="2520" w:right="700" w:hanging="649"/>
        <w:spacing w:after="0" w:line="282" w:lineRule="auto"/>
        <w:tabs>
          <w:tab w:leader="none" w:pos="252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shall serve for a term expiring at the third annual meeting of shareholders following the Adoption Date.</w:t>
      </w:r>
    </w:p>
    <w:p>
      <w:pPr>
        <w:spacing w:after="0" w:line="54" w:lineRule="exact"/>
        <w:rPr>
          <w:sz w:val="20"/>
          <w:szCs w:val="20"/>
          <w:color w:val="auto"/>
        </w:rPr>
      </w:pPr>
    </w:p>
    <w:p>
      <w:pPr>
        <w:ind w:left="1880" w:right="360"/>
        <w:spacing w:after="0" w:line="282" w:lineRule="auto"/>
        <w:rPr>
          <w:sz w:val="20"/>
          <w:szCs w:val="20"/>
          <w:color w:val="auto"/>
        </w:rPr>
      </w:pPr>
      <w:r>
        <w:rPr>
          <w:rFonts w:ascii="Times New Roman" w:cs="Times New Roman" w:eastAsia="Times New Roman" w:hAnsi="Times New Roman"/>
          <w:sz w:val="18"/>
          <w:szCs w:val="18"/>
          <w:color w:val="auto"/>
        </w:rPr>
        <w:t>Each retiring director shall be eligible for re-election, and a director who is re-elected will be treated as continuing in office without a break.</w:t>
      </w:r>
    </w:p>
    <w:p>
      <w:pPr>
        <w:spacing w:after="0" w:line="67" w:lineRule="exact"/>
        <w:rPr>
          <w:sz w:val="20"/>
          <w:szCs w:val="20"/>
          <w:color w:val="auto"/>
        </w:rPr>
      </w:pPr>
    </w:p>
    <w:p>
      <w:pPr>
        <w:jc w:val="both"/>
        <w:ind w:left="1860" w:right="240" w:hanging="543"/>
        <w:spacing w:after="0" w:line="312" w:lineRule="auto"/>
        <w:tabs>
          <w:tab w:leader="none" w:pos="1860" w:val="left"/>
        </w:tabs>
        <w:numPr>
          <w:ilvl w:val="1"/>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annual meeting of shareholders, directors re-elected or elected to succeed those directors whose terms expire shall be elected for a term of office to expire at the third succeeding annual meeting of shareholders after their re-election or election.</w:t>
      </w:r>
    </w:p>
    <w:p>
      <w:pPr>
        <w:spacing w:after="0" w:line="45" w:lineRule="exact"/>
        <w:rPr>
          <w:rFonts w:ascii="Times New Roman" w:cs="Times New Roman" w:eastAsia="Times New Roman" w:hAnsi="Times New Roman"/>
          <w:sz w:val="17"/>
          <w:szCs w:val="17"/>
          <w:color w:val="auto"/>
        </w:rPr>
      </w:pPr>
    </w:p>
    <w:p>
      <w:pPr>
        <w:ind w:left="1860" w:hanging="543"/>
        <w:spacing w:after="0"/>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retiring director who is not re-elected shall retain office until the close of the meeting at which that director retires.</w:t>
      </w:r>
    </w:p>
    <w:p>
      <w:pPr>
        <w:spacing w:after="0" w:line="130" w:lineRule="exact"/>
        <w:rPr>
          <w:rFonts w:ascii="Times New Roman" w:cs="Times New Roman" w:eastAsia="Times New Roman" w:hAnsi="Times New Roman"/>
          <w:sz w:val="18"/>
          <w:szCs w:val="18"/>
          <w:color w:val="auto"/>
        </w:rPr>
      </w:pPr>
    </w:p>
    <w:p>
      <w:pPr>
        <w:ind w:left="1860" w:right="460" w:hanging="543"/>
        <w:spacing w:after="0" w:line="282"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provisions of this article 64 does not affect the Board’s right to remove any Initial Sponsor Director or the Independent Director pursuant to article 65.</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61" w:lineRule="auto"/>
        <w:tabs>
          <w:tab w:leader="none" w:pos="18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period ended 12 months after the date of their appointment, or from the time the Sponsor Group ceases to Beneficially Own any Ordinary Shares, whichever occurs the earliest, the Board may remove each and any of the Initial Sponsor Directors and the Independent Director notwithstanding any prior re-election of such an Initial Sponsor Director or such Independent Director under the terms of these articles.</w:t>
      </w:r>
    </w:p>
    <w:p>
      <w:pPr>
        <w:spacing w:after="0" w:line="85" w:lineRule="exact"/>
        <w:rPr>
          <w:rFonts w:ascii="Times New Roman" w:cs="Times New Roman" w:eastAsia="Times New Roman" w:hAnsi="Times New Roman"/>
          <w:sz w:val="18"/>
          <w:szCs w:val="18"/>
          <w:color w:val="auto"/>
        </w:rPr>
      </w:pPr>
    </w:p>
    <w:p>
      <w:pPr>
        <w:ind w:left="1860" w:right="1160" w:hanging="543"/>
        <w:spacing w:after="0" w:line="282" w:lineRule="auto"/>
        <w:tabs>
          <w:tab w:leader="none" w:pos="18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remove any director before that director’s period of office has expired notwithstanding anything in these articles or in any agreement between that director and the Company.</w:t>
      </w:r>
    </w:p>
    <w:p>
      <w:pPr>
        <w:spacing w:after="0" w:line="67"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removal of a director under this article shall be without prejudice to any claim which such director may have for damages for breach of any agreement between that director and the Company.</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the provisions of these articles for retirement or removal, the office of a director shall be vacated if:</w:t>
      </w:r>
    </w:p>
    <w:p>
      <w:pPr>
        <w:spacing w:after="0" w:line="130" w:lineRule="exact"/>
        <w:rPr>
          <w:rFonts w:ascii="Times New Roman" w:cs="Times New Roman" w:eastAsia="Times New Roman" w:hAnsi="Times New Roman"/>
          <w:sz w:val="18"/>
          <w:szCs w:val="18"/>
          <w:b w:val="1"/>
          <w:bCs w:val="1"/>
          <w:color w:val="auto"/>
        </w:rPr>
      </w:pPr>
    </w:p>
    <w:p>
      <w:pPr>
        <w:ind w:left="2520" w:hanging="649"/>
        <w:spacing w:after="0"/>
        <w:tabs>
          <w:tab w:leader="none" w:pos="252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prohibited by law from being a director;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bankrupt or makes any arrangement or composition with the director’s creditors generally; or</w:t>
      </w:r>
    </w:p>
    <w:p>
      <w:pPr>
        <w:spacing w:after="0" w:line="130" w:lineRule="exact"/>
        <w:rPr>
          <w:rFonts w:ascii="Times New Roman" w:cs="Times New Roman" w:eastAsia="Times New Roman" w:hAnsi="Times New Roman"/>
          <w:sz w:val="18"/>
          <w:szCs w:val="18"/>
          <w:color w:val="auto"/>
        </w:rPr>
      </w:pPr>
    </w:p>
    <w:p>
      <w:pPr>
        <w:ind w:left="2520" w:right="20" w:hanging="649"/>
        <w:spacing w:after="0" w:line="266" w:lineRule="auto"/>
        <w:tabs>
          <w:tab w:leader="none" w:pos="252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medical practitioner who has examined the director gives a written opinion to the Company stating that the director has become physically or mentally incapable of acting as a director and may remain so for more than three months and the Board resolves that the director’s office be vacated; or</w:t>
      </w:r>
    </w:p>
    <w:p>
      <w:pPr>
        <w:spacing w:after="0" w:line="81" w:lineRule="exact"/>
        <w:rPr>
          <w:rFonts w:ascii="Times New Roman" w:cs="Times New Roman" w:eastAsia="Times New Roman" w:hAnsi="Times New Roman"/>
          <w:sz w:val="18"/>
          <w:szCs w:val="18"/>
          <w:color w:val="auto"/>
        </w:rPr>
      </w:pPr>
    </w:p>
    <w:p>
      <w:pPr>
        <w:ind w:left="2520" w:right="640" w:hanging="649"/>
        <w:spacing w:after="0" w:line="282" w:lineRule="auto"/>
        <w:tabs>
          <w:tab w:leader="none" w:pos="252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more than six months the director is absent, without special leave of absence from the Board, from board meetings held during that period and the Board resolves that the director’s office be vacated; or</w:t>
      </w:r>
    </w:p>
    <w:p>
      <w:pPr>
        <w:spacing w:after="0" w:line="67" w:lineRule="exact"/>
        <w:rPr>
          <w:rFonts w:ascii="Times New Roman" w:cs="Times New Roman" w:eastAsia="Times New Roman" w:hAnsi="Times New Roman"/>
          <w:sz w:val="18"/>
          <w:szCs w:val="18"/>
          <w:color w:val="auto"/>
        </w:rPr>
      </w:pPr>
    </w:p>
    <w:p>
      <w:pPr>
        <w:ind w:left="2520" w:right="200" w:hanging="649"/>
        <w:spacing w:after="0" w:line="282" w:lineRule="auto"/>
        <w:tabs>
          <w:tab w:leader="none" w:pos="252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to the Company notice of the director’s wish to resign, in which event the director shall vacate that office on the receipt of that notice by the Company or at such later time as is specified in the notice.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B-26</w:t>
      </w:r>
    </w:p>
    <w:p>
      <w:pPr>
        <w:sectPr>
          <w:pgSz w:w="11900" w:h="16838" w:orient="portrait"/>
          <w:cols w:equalWidth="0" w:num="1">
            <w:col w:w="11120"/>
          </w:cols>
          <w:pgMar w:left="320" w:top="455" w:right="45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Disqualification of a director</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director shall be vacated in any of the following circumstances:</w:t>
      </w:r>
    </w:p>
    <w:p>
      <w:pPr>
        <w:spacing w:after="0" w:line="130" w:lineRule="exact"/>
        <w:rPr>
          <w:rFonts w:ascii="Times New Roman" w:cs="Times New Roman" w:eastAsia="Times New Roman" w:hAnsi="Times New Roman"/>
          <w:sz w:val="18"/>
          <w:szCs w:val="18"/>
          <w:b w:val="1"/>
          <w:bCs w:val="1"/>
          <w:color w:val="auto"/>
        </w:rPr>
      </w:pPr>
    </w:p>
    <w:p>
      <w:pPr>
        <w:ind w:left="1860" w:right="380" w:hanging="543"/>
        <w:spacing w:after="0" w:line="282"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removed or prohibited from being a director under any provisions of the Statutes or these articles or (if applicable) the NASDAQ Rules;</w:t>
      </w:r>
    </w:p>
    <w:p>
      <w:pPr>
        <w:spacing w:after="0" w:line="67" w:lineRule="exact"/>
        <w:rPr>
          <w:rFonts w:ascii="Times New Roman" w:cs="Times New Roman" w:eastAsia="Times New Roman" w:hAnsi="Times New Roman"/>
          <w:sz w:val="18"/>
          <w:szCs w:val="18"/>
          <w:color w:val="auto"/>
        </w:rPr>
      </w:pPr>
    </w:p>
    <w:p>
      <w:pPr>
        <w:ind w:left="1860" w:right="100" w:hanging="543"/>
        <w:spacing w:after="0" w:line="282"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gives to the Company notice executed by him of his wish to resign, in which event he shall vacate that office on the delivery of that notice to the Company or at such later time as is specified in the notice;</w:t>
      </w:r>
    </w:p>
    <w:p>
      <w:pPr>
        <w:spacing w:after="0" w:line="67" w:lineRule="exact"/>
        <w:rPr>
          <w:rFonts w:ascii="Times New Roman" w:cs="Times New Roman" w:eastAsia="Times New Roman" w:hAnsi="Times New Roman"/>
          <w:sz w:val="18"/>
          <w:szCs w:val="18"/>
          <w:color w:val="auto"/>
        </w:rPr>
      </w:pPr>
    </w:p>
    <w:p>
      <w:pPr>
        <w:ind w:left="1860" w:right="140" w:hanging="543"/>
        <w:spacing w:after="0" w:line="266"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bankrupt, insolvent or makes any arrangement or composition with his creditors generally or shall apply to the court for an interim order under section 253 of the Insolvency Act 1986 in connection with a voluntary arrangement under that Act; or</w:t>
      </w:r>
    </w:p>
    <w:p>
      <w:pPr>
        <w:spacing w:after="0" w:line="81" w:lineRule="exact"/>
        <w:rPr>
          <w:rFonts w:ascii="Times New Roman" w:cs="Times New Roman" w:eastAsia="Times New Roman" w:hAnsi="Times New Roman"/>
          <w:sz w:val="18"/>
          <w:szCs w:val="18"/>
          <w:color w:val="auto"/>
        </w:rPr>
      </w:pPr>
    </w:p>
    <w:p>
      <w:pPr>
        <w:jc w:val="both"/>
        <w:ind w:left="1860" w:right="40" w:hanging="543"/>
        <w:spacing w:after="0" w:line="261"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is, or may be, suffering from mental disorder and/or either he is admitted to hospital for treatment, or an order is made by a court (whether in the United Kingdom or elsewhere) having jurisdiction in matters concerning mental disorder for his detention or for the appointment of a receiver, curator bonis or other person to exercise powers with respect to his property or affairs and, in either case, the Board resolves that his office be vacated; or</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been appointed for a fixed term, the term expires or his office as a director is vacated under article 66; or</w:t>
      </w:r>
    </w:p>
    <w:p>
      <w:pPr>
        <w:spacing w:after="0" w:line="130" w:lineRule="exact"/>
        <w:rPr>
          <w:rFonts w:ascii="Times New Roman" w:cs="Times New Roman" w:eastAsia="Times New Roman" w:hAnsi="Times New Roman"/>
          <w:sz w:val="18"/>
          <w:szCs w:val="18"/>
          <w:color w:val="auto"/>
        </w:rPr>
      </w:pPr>
    </w:p>
    <w:p>
      <w:pPr>
        <w:ind w:left="1860" w:right="380" w:hanging="543"/>
        <w:spacing w:after="0" w:line="282"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absent from meetings of the Board for six consecutive months without leave and his alternate director (if any) has not, during such period, attended in his place and the Board resolves that his office be vacated; or</w:t>
      </w:r>
    </w:p>
    <w:p>
      <w:pPr>
        <w:spacing w:after="0" w:line="67" w:lineRule="exact"/>
        <w:rPr>
          <w:rFonts w:ascii="Times New Roman" w:cs="Times New Roman" w:eastAsia="Times New Roman" w:hAnsi="Times New Roman"/>
          <w:sz w:val="18"/>
          <w:szCs w:val="18"/>
          <w:color w:val="auto"/>
        </w:rPr>
      </w:pPr>
    </w:p>
    <w:p>
      <w:pPr>
        <w:ind w:left="1860" w:right="60" w:hanging="543"/>
        <w:spacing w:after="0" w:line="261"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removed from office by notice given to him and executed by all of his co-directors (or their alternates), but so that in the case of a director holding an executive office which automatically determines on his ceasing to be a director such removal shall be deemed an act of the Company and shall have effect without prejudice to any claim for damages in respect of the consequent termination of his executive office.</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directors</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261"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one or more directors to hold any executive office under the Company (including that of chair, chief executive or managing director) for such period (subject to the Statutes) and on such terms as it may decide and may revoke or terminate any appointment so made without prejudice to any claim for damages for breach of any contract of service between the director and the Company.</w:t>
      </w:r>
    </w:p>
    <w:p>
      <w:pPr>
        <w:spacing w:after="0" w:line="85" w:lineRule="exact"/>
        <w:rPr>
          <w:rFonts w:ascii="Times New Roman" w:cs="Times New Roman" w:eastAsia="Times New Roman" w:hAnsi="Times New Roman"/>
          <w:sz w:val="18"/>
          <w:szCs w:val="18"/>
          <w:color w:val="auto"/>
        </w:rPr>
      </w:pPr>
    </w:p>
    <w:p>
      <w:pPr>
        <w:jc w:val="both"/>
        <w:ind w:left="1860" w:right="480" w:hanging="543"/>
        <w:spacing w:after="0" w:line="266"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a director appointed to any executive office shall be fixed by the Board and may be by way of salary, commission, participation in profits or otherwise and either in addition to or inclusive of that director’s remuneration as a director.</w:t>
      </w:r>
    </w:p>
    <w:p>
      <w:pPr>
        <w:spacing w:after="0" w:line="81" w:lineRule="exact"/>
        <w:rPr>
          <w:rFonts w:ascii="Times New Roman" w:cs="Times New Roman" w:eastAsia="Times New Roman" w:hAnsi="Times New Roman"/>
          <w:sz w:val="18"/>
          <w:szCs w:val="18"/>
          <w:color w:val="auto"/>
        </w:rPr>
      </w:pPr>
    </w:p>
    <w:p>
      <w:pPr>
        <w:ind w:left="1860" w:hanging="543"/>
        <w:spacing w:after="0" w:line="256"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appointed as executive chair, chief executive or managing director shall automatically cease to hold that office if that person ceases to be a director but without prejudice to any claim for damages for breach of any contract of service between that director and the Company. A director appointed to any other executive office shall not automatically cease to hold that office if that person ceases to be a director unless the contract or any resolution under which the director holds office expressly states that the director shall, in which case that cessation shall be without prejudice to any claim for damages for breach of any contract of service between that director and the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B-27</w:t>
      </w:r>
    </w:p>
    <w:p>
      <w:pPr>
        <w:sectPr>
          <w:pgSz w:w="11900" w:h="16838" w:orient="portrait"/>
          <w:cols w:equalWidth="0" w:num="1">
            <w:col w:w="11120"/>
          </w:cols>
          <w:pgMar w:left="320" w:top="455" w:right="45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ALTERNATE DIRECTORS</w:t>
      </w:r>
    </w:p>
    <w:p>
      <w:pPr>
        <w:spacing w:after="0" w:line="252" w:lineRule="exact"/>
        <w:rPr>
          <w:sz w:val="20"/>
          <w:szCs w:val="20"/>
          <w:color w:val="auto"/>
        </w:rPr>
      </w:pPr>
    </w:p>
    <w:p>
      <w:pPr>
        <w:ind w:left="660" w:hanging="544"/>
        <w:spacing w:after="0"/>
        <w:tabs>
          <w:tab w:leader="none" w:pos="660"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appoint alternate directors</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61" w:lineRule="auto"/>
        <w:tabs>
          <w:tab w:leader="none" w:pos="186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(other than an alternate director) may appoint any person (including another director) to be his alternate director, and may remove him from that office. The appointment as an alternate director of any person who is not himself a director shall be subject to the approval of the majority of the other directors or a resolution of the Board. Any of the directors may appoint the same alternate director.</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Formalities for appointment and termination</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58" w:lineRule="auto"/>
        <w:tabs>
          <w:tab w:leader="none" w:pos="186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appointment and removal of an alternate director shall be made by notice to the Company executed by the director making the appointment or removal (or in any other manner approved by the Board) and shall, be effective (subject to article 71) on receipt of such notice by the Company which shall, in the case of a notice contained in an instrument, be at the office or at a board meeting or in the case of a notice contained in an electronic communication be at such address (if any) for the time being notified by or on behalf of the Company for the purpose.</w:t>
      </w:r>
    </w:p>
    <w:p>
      <w:pPr>
        <w:spacing w:after="0" w:line="88"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an alternate director shall determine on the happening of any event which, if he were a director, would cause him to vacate such office or if his appointor ceases to be a director (otherwise than by retirement by rotation or otherwise at a general meeting at which he is re-appointed or deemed to be re-appointed) or if the approval of the directors to his appointment is withdrawn.</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may, by giving notice to the Company, executed by him, resign such appointment.</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to receive notices</w:t>
      </w:r>
    </w:p>
    <w:p>
      <w:pPr>
        <w:spacing w:after="0" w:line="121"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alternate director shall be entitled to receive notices of board meetings and of all meetings of committees of which the director appointing him is a member to the same extent as the director appointing him and shall be entitled to attend and vote as a director and be counted for the purposes of a quorum at any such meeting at which the director appointing him is not personally present, and generally at such meeting, to exercise and discharge all the functions, powers and duties of his appointor as a director. For the purposes of the proceedings at such meeting, these articles shall apply as if he (instead of his appointor) were a director. If he shall himself be a director, or shall attend any such meeting as an alternate for more than one director, his voting rights shall be cumulative but he shall count as only one for the purpose of determining whether a quorum is present. If his appointor is for the time being absent from the United Kingdom, or temporarily unable to act through ill-health or disability, his signature to any resolution in writing of the directors shall be as effective as the signature of his appointor. An alternate director shall not (save as aforesaid) have power to act as a director nor shall he be deemed to be a director for the purposes of these articles.</w:t>
      </w:r>
    </w:p>
    <w:p>
      <w:pPr>
        <w:spacing w:after="0" w:line="332"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may be paid expenses but not remuneration</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alternate director shall be entitled to be repaid expenses, and to be indemnified, by the Company to the same extent as if he were a director, but he shall not be entitled to receive from the Company any remuneration in respect of his services as an alternate director, except such proportion (if any) of the remuneration otherwise payable to his appointor as such appointor may by notice to the Company from time to time direct.</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not an agent of appointor</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expressly provided in these articles, an alternate director shall be subject in all respects to these articles relating to directors. Accordingly, except where the context otherwise requires, a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B-28</w:t>
      </w:r>
    </w:p>
    <w:p>
      <w:pPr>
        <w:sectPr>
          <w:pgSz w:w="11900" w:h="16838" w:orient="portrait"/>
          <w:cols w:equalWidth="0" w:num="1">
            <w:col w:w="11120"/>
          </w:cols>
          <w:pgMar w:left="320" w:top="455" w:right="45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to a director shall be deemed to include a reference to an alternate director. An alternate director shall be responsible to the Company for his own acts and defaults and he shall not be deemed to be the agent of the director appointing him.</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REMUNERATION, EXPENSES, PENSIONS AND OTHER BENEFITS</w:t>
      </w:r>
    </w:p>
    <w:p>
      <w:pPr>
        <w:spacing w:after="0" w:line="252" w:lineRule="exact"/>
        <w:rPr>
          <w:sz w:val="20"/>
          <w:szCs w:val="20"/>
          <w:color w:val="auto"/>
        </w:rPr>
      </w:pPr>
    </w:p>
    <w:p>
      <w:pPr>
        <w:ind w:left="660" w:hanging="544"/>
        <w:spacing w:after="0"/>
        <w:tabs>
          <w:tab w:leader="none" w:pos="660" w:val="left"/>
        </w:tabs>
        <w:numPr>
          <w:ilvl w:val="0"/>
          <w:numId w:val="5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remuneration</w:t>
      </w:r>
    </w:p>
    <w:p>
      <w:pPr>
        <w:spacing w:after="0" w:line="134" w:lineRule="exact"/>
        <w:rPr>
          <w:rFonts w:ascii="Times New Roman" w:cs="Times New Roman" w:eastAsia="Times New Roman" w:hAnsi="Times New Roman"/>
          <w:sz w:val="18"/>
          <w:szCs w:val="18"/>
          <w:b w:val="1"/>
          <w:bCs w:val="1"/>
          <w:color w:val="auto"/>
        </w:rPr>
      </w:pPr>
    </w:p>
    <w:p>
      <w:pPr>
        <w:ind w:left="1860" w:right="120" w:hanging="543"/>
        <w:spacing w:after="0" w:line="282"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grant special remuneration to any director who performs any special or extra services to or at the request of the Company.</w:t>
      </w:r>
    </w:p>
    <w:p>
      <w:pPr>
        <w:spacing w:after="0" w:line="67"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special remuneration may be paid by way of lump sum, salary, commission, participation in profits or otherwise as the Board may decide in addition to any remuneration payable under or pursuant to any other of these articles.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121"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shall be paid out of the funds of the Company all travelling, hotel and other expenses properly incurred by the director in and about the discharge of the director’s duties, including the director’s expenses of travelling to and from board meetings, committee meetings and general meetings. Subject to any guidelines and procedures established from time to time by the Board, a director may also be paid out of the funds of the Company all expenses incurred by the director in obtaining professional advice in connection with the affairs of the Company or the discharge of the director’s duties as a director.</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Pensions and other benefits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exercise all the powers of the Company to:</w:t>
      </w:r>
    </w:p>
    <w:p>
      <w:pPr>
        <w:spacing w:after="0" w:line="130" w:lineRule="exact"/>
        <w:rPr>
          <w:rFonts w:ascii="Times New Roman" w:cs="Times New Roman" w:eastAsia="Times New Roman" w:hAnsi="Times New Roman"/>
          <w:sz w:val="18"/>
          <w:szCs w:val="18"/>
          <w:b w:val="1"/>
          <w:bCs w:val="1"/>
          <w:color w:val="auto"/>
        </w:rPr>
      </w:pPr>
    </w:p>
    <w:p>
      <w:pPr>
        <w:ind w:left="1860" w:right="20" w:hanging="543"/>
        <w:spacing w:after="0" w:line="255"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provide, arrange or procure the grant of pensions or other retirement benefits, death, disability or sickness benefits, health, accident and other insurances or other such benefits, allowances, gratuities or insurances, including in relation to the termination of employment, to or for the benefit of any person who is or has been at any time a director of the Company or in the employment or service of the Company or of any body corporate which is or was associated with the Company or of the predecessors in business of the Company or any such associated body corporate, or the relatives or dependants of any such person. For that purpose, the Board may procure the establishment and maintenance of, or participation in, or contribution to, any pension fund, scheme or arrangement and the payment of any insurance premiums;</w:t>
      </w:r>
    </w:p>
    <w:p>
      <w:pPr>
        <w:spacing w:after="0" w:line="94" w:lineRule="exact"/>
        <w:rPr>
          <w:rFonts w:ascii="Times New Roman" w:cs="Times New Roman" w:eastAsia="Times New Roman" w:hAnsi="Times New Roman"/>
          <w:sz w:val="18"/>
          <w:szCs w:val="18"/>
          <w:color w:val="auto"/>
        </w:rPr>
      </w:pPr>
    </w:p>
    <w:p>
      <w:pPr>
        <w:ind w:left="1860" w:right="120" w:hanging="543"/>
        <w:spacing w:after="0" w:line="261"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adopt and enable participation in any profit sharing or incentive scheme including shares, share options or cash or any similar schemes for the benefit of any director or employee of the Company or of any associated body corporate, and to lend money to any such director or employee or to trustees on their behalf to enable any such schemes to be established, maintained or adopted; and</w:t>
      </w:r>
    </w:p>
    <w:p>
      <w:pPr>
        <w:spacing w:after="0" w:line="85" w:lineRule="exact"/>
        <w:rPr>
          <w:rFonts w:ascii="Times New Roman" w:cs="Times New Roman" w:eastAsia="Times New Roman" w:hAnsi="Times New Roman"/>
          <w:sz w:val="18"/>
          <w:szCs w:val="18"/>
          <w:color w:val="auto"/>
        </w:rPr>
      </w:pPr>
    </w:p>
    <w:p>
      <w:pPr>
        <w:ind w:left="1860" w:right="180" w:hanging="543"/>
        <w:spacing w:after="0" w:line="261"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subscribe to any institution or association which may be for the benefit of the Company or of any associated body corporate or any directors or employees of the Company or associated body corporate or their relatives or dependants or connected with any town or place where the Company or an associated body corporate carries on business, and to support and subscribe to any charitable or public object whatsoever.</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POWERS OF THE BOARD</w:t>
      </w:r>
    </w:p>
    <w:p>
      <w:pPr>
        <w:spacing w:after="0" w:line="252" w:lineRule="exact"/>
        <w:rPr>
          <w:sz w:val="20"/>
          <w:szCs w:val="20"/>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powers of the Board to manage the Company’s business</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82" w:lineRule="auto"/>
        <w:tabs>
          <w:tab w:leader="none" w:pos="186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by the Board which may exercise all the powers of the Company, subject to the Statutes, these articles and any resolution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B-29</w:t>
      </w:r>
    </w:p>
    <w:p>
      <w:pPr>
        <w:sectPr>
          <w:pgSz w:w="11900" w:h="16838" w:orient="portrait"/>
          <w:cols w:equalWidth="0" w:num="1">
            <w:col w:w="11120"/>
          </w:cols>
          <w:pgMar w:left="320" w:top="455" w:right="45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right="40"/>
        <w:spacing w:after="0" w:line="282" w:lineRule="auto"/>
        <w:rPr>
          <w:sz w:val="20"/>
          <w:szCs w:val="20"/>
          <w:color w:val="auto"/>
        </w:rPr>
      </w:pPr>
      <w:r>
        <w:rPr>
          <w:rFonts w:ascii="Times New Roman" w:cs="Times New Roman" w:eastAsia="Times New Roman" w:hAnsi="Times New Roman"/>
          <w:sz w:val="18"/>
          <w:szCs w:val="18"/>
          <w:color w:val="auto"/>
        </w:rPr>
        <w:t>Company. No resolution or alteration of these articles shall invalidate any prior act of the Board which would have been valid if the resolution had not been passed or the alteration had not been made.</w:t>
      </w:r>
    </w:p>
    <w:p>
      <w:pPr>
        <w:spacing w:after="0" w:line="67" w:lineRule="exact"/>
        <w:rPr>
          <w:sz w:val="20"/>
          <w:szCs w:val="20"/>
          <w:color w:val="auto"/>
        </w:rPr>
      </w:pPr>
    </w:p>
    <w:p>
      <w:pPr>
        <w:ind w:left="1860" w:hanging="543"/>
        <w:spacing w:after="0"/>
        <w:tabs>
          <w:tab w:leader="none" w:pos="186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given by this article shall not be limited by any special authority or power given to the Board by any other article.</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act notwithstanding vacancy</w:t>
      </w:r>
    </w:p>
    <w:p>
      <w:pPr>
        <w:spacing w:after="0" w:line="121" w:lineRule="exact"/>
        <w:rPr>
          <w:rFonts w:ascii="Times New Roman" w:cs="Times New Roman" w:eastAsia="Times New Roman" w:hAnsi="Times New Roman"/>
          <w:sz w:val="18"/>
          <w:szCs w:val="18"/>
          <w:b w:val="1"/>
          <w:bCs w:val="1"/>
          <w:color w:val="auto"/>
        </w:rPr>
      </w:pPr>
    </w:p>
    <w:p>
      <w:pPr>
        <w:ind w:left="6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continuing directors or the sole continuing director at any time may act notwithstanding any vacancy in their number; but, if the number of directors is less than the minimum number of directors fixed by or in accordance with these articles, the continuing directors or director may act for the purpose of filling up vacancies or calling a general meeting of the Company, but not for any other purpose. If no director is able or willing to act, then any two members may summon a general meeting for the purpose of appointing directors.</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for employees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exercise any of the powers conferred by the Statutes to make provision for the benefit of any persons employed or formerly employed by the Company or any of its subsidiaries (other than a director or former director or shadow director) in connection with the cessation or the transfer to any person of the whole or part of the undertaking of the Company or any of its subsidiaries.</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borrow money</w:t>
      </w:r>
    </w:p>
    <w:p>
      <w:pPr>
        <w:spacing w:after="0" w:line="121"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 Board may exercise all the powers of the Company to borrow money and to mortgage or charge all or any part of its undertaking, property and assets (both present and future) and uncalled capital and to issue debentures and other securities, whether outright or as collateral security for any debt, liability or obligation of the Company or of any third party.</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change the name of the Company</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 Company may change its name by special resolution.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DELEGATION OF BOARD’S POWERS</w:t>
      </w:r>
    </w:p>
    <w:p>
      <w:pPr>
        <w:spacing w:after="0" w:line="252" w:lineRule="exact"/>
        <w:rPr>
          <w:sz w:val="20"/>
          <w:szCs w:val="20"/>
          <w:color w:val="auto"/>
        </w:rPr>
      </w:pPr>
    </w:p>
    <w:p>
      <w:pPr>
        <w:ind w:left="660" w:hanging="544"/>
        <w:spacing w:after="0"/>
        <w:tabs>
          <w:tab w:leader="none" w:pos="660" w:val="left"/>
        </w:tabs>
        <w:numPr>
          <w:ilvl w:val="0"/>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individual directors</w:t>
      </w:r>
    </w:p>
    <w:p>
      <w:pPr>
        <w:spacing w:after="0" w:line="121"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entrust to and confer upon any director any of its powers, authorities and discretions (with power to sub-delegate) on such terms and conditions as it thinks fit and may revoke or vary all or any of them, but no person dealing in good faith shall be affected by any revocation or variation.</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56" w:lineRule="auto"/>
        <w:tabs>
          <w:tab w:leader="none" w:pos="186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any of its powers, authorities and discretions (with power to sub-delegate) to any committee consisting of such person or persons (whether directors or not) as it thinks fit, provided that the majority of the members of the committee are directors and that no meeting of the committee shall be quorate for the purpose of exercising any of its powers, authorities or discretions unless a majority of those present are directors. The Board may make any such delegation on such terms and conditions as it thinks fit and may revoke or vary any such delegation and discharge any committee wholly or in part, but no person dealing in good faith shall be affected by any revocation or variation. Any committee so formed shall,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B-30</w:t>
      </w:r>
    </w:p>
    <w:p>
      <w:pPr>
        <w:sectPr>
          <w:pgSz w:w="11900" w:h="16838" w:orient="portrait"/>
          <w:cols w:equalWidth="0" w:num="1">
            <w:col w:w="11120"/>
          </w:cols>
          <w:pgMar w:left="320" w:top="455" w:right="45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in the exercise of the powers, authorities and discretions so delegated, conform to any regulations that may be imposed on it by the Board.</w:t>
      </w:r>
    </w:p>
    <w:p>
      <w:pPr>
        <w:spacing w:after="0" w:line="67" w:lineRule="exact"/>
        <w:rPr>
          <w:sz w:val="20"/>
          <w:szCs w:val="20"/>
          <w:color w:val="auto"/>
        </w:rPr>
      </w:pPr>
    </w:p>
    <w:p>
      <w:pPr>
        <w:ind w:left="1860" w:right="40" w:hanging="543"/>
        <w:spacing w:after="0" w:line="282" w:lineRule="auto"/>
        <w:tabs>
          <w:tab w:leader="none" w:pos="1860"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of a committee with two or more members shall be governed by any regulations imposed on it by the Board and (subject to such regulations) by these articles regulating the proceedings of the Board so far as they are capable of applying.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Local boards</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312" w:lineRule="auto"/>
        <w:tabs>
          <w:tab w:leader="none" w:pos="1860" w:val="left"/>
        </w:tabs>
        <w:numPr>
          <w:ilvl w:val="1"/>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make such arrangements as they think fit for the management and transaction of the Company’s affairs in any specified locality, whether in the United Kingdom or elsewhere, and, without prejudice to the generality of the foregoing, may:</w:t>
      </w:r>
    </w:p>
    <w:p>
      <w:pPr>
        <w:spacing w:after="0" w:line="45" w:lineRule="exact"/>
        <w:rPr>
          <w:rFonts w:ascii="Times New Roman" w:cs="Times New Roman" w:eastAsia="Times New Roman" w:hAnsi="Times New Roman"/>
          <w:sz w:val="17"/>
          <w:szCs w:val="17"/>
          <w:color w:val="auto"/>
        </w:rPr>
      </w:pPr>
    </w:p>
    <w:p>
      <w:pPr>
        <w:jc w:val="both"/>
        <w:ind w:left="2520" w:right="20" w:hanging="649"/>
        <w:spacing w:after="0" w:line="266" w:lineRule="auto"/>
        <w:tabs>
          <w:tab w:leader="none" w:pos="2520" w:val="left"/>
        </w:tabs>
        <w:numPr>
          <w:ilvl w:val="2"/>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local or divisional board or agency for managing any of the affairs of the Company whether in the United Kingdom or elsewhere and may appoint any persons to be members of a local or divisional board, or to be managers or agents, and may fix their remuneration;</w:t>
      </w:r>
    </w:p>
    <w:p>
      <w:pPr>
        <w:spacing w:after="0" w:line="81" w:lineRule="exact"/>
        <w:rPr>
          <w:rFonts w:ascii="Times New Roman" w:cs="Times New Roman" w:eastAsia="Times New Roman" w:hAnsi="Times New Roman"/>
          <w:sz w:val="18"/>
          <w:szCs w:val="18"/>
          <w:color w:val="auto"/>
        </w:rPr>
      </w:pPr>
    </w:p>
    <w:p>
      <w:pPr>
        <w:ind w:left="2520" w:right="20" w:hanging="649"/>
        <w:spacing w:after="0" w:line="282" w:lineRule="auto"/>
        <w:tabs>
          <w:tab w:leader="none" w:pos="2520" w:val="left"/>
        </w:tabs>
        <w:numPr>
          <w:ilvl w:val="2"/>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any local or divisional board, manager or agent any of its powers, authorities and discretions (with power to sub-delegate) and</w:t>
      </w:r>
    </w:p>
    <w:p>
      <w:pPr>
        <w:spacing w:after="0" w:line="67" w:lineRule="exact"/>
        <w:rPr>
          <w:rFonts w:ascii="Times New Roman" w:cs="Times New Roman" w:eastAsia="Times New Roman" w:hAnsi="Times New Roman"/>
          <w:sz w:val="18"/>
          <w:szCs w:val="18"/>
          <w:color w:val="auto"/>
        </w:rPr>
      </w:pPr>
    </w:p>
    <w:p>
      <w:pPr>
        <w:ind w:left="2520" w:right="140" w:hanging="649"/>
        <w:spacing w:after="0" w:line="282" w:lineRule="auto"/>
        <w:tabs>
          <w:tab w:leader="none" w:pos="2520" w:val="left"/>
        </w:tabs>
        <w:numPr>
          <w:ilvl w:val="2"/>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the members of any local or divisional board or any of them to fill any vacancies and to act notwithstanding vacancies.</w:t>
      </w:r>
    </w:p>
    <w:p>
      <w:pPr>
        <w:spacing w:after="0" w:line="67"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appointment or delegation under this article may be made on such terms and subject to such conditions as the Board thinks fit and the Board may remove any person so appointed, and may revoke or vary any delegation, but no person dealing in good faith shall be affected by the revocation or variation.</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attorney and agents</w:t>
      </w:r>
    </w:p>
    <w:p>
      <w:pPr>
        <w:spacing w:after="0" w:line="121" w:lineRule="exact"/>
        <w:rPr>
          <w:rFonts w:ascii="Times New Roman" w:cs="Times New Roman" w:eastAsia="Times New Roman" w:hAnsi="Times New Roman"/>
          <w:sz w:val="18"/>
          <w:szCs w:val="18"/>
          <w:b w:val="1"/>
          <w:bCs w:val="1"/>
          <w:color w:val="auto"/>
        </w:rPr>
      </w:pPr>
    </w:p>
    <w:p>
      <w:pPr>
        <w:ind w:left="660"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by power of attorney or otherwise appoint any person to be the agent of the Company on such terms (including terms as to remuneration) as it may decide and may delegate to any person so appointed any of its powers, authorities and discretions (with power to sub-delegate). The Board may remove any person appointed under this article and may revoke or vary the delegation, but no person dealing in good faith shall be affected by the revocation or variation. Any such appointment may contain such provisions for the protection and convenience of persons dealing with any such attorney as the Board may think fit.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 INTERESTS</w:t>
      </w:r>
    </w:p>
    <w:p>
      <w:pPr>
        <w:spacing w:after="0" w:line="252" w:lineRule="exact"/>
        <w:rPr>
          <w:sz w:val="20"/>
          <w:szCs w:val="20"/>
          <w:color w:val="auto"/>
        </w:rPr>
      </w:pPr>
    </w:p>
    <w:p>
      <w:pPr>
        <w:ind w:left="660" w:hanging="544"/>
        <w:spacing w:after="0"/>
        <w:tabs>
          <w:tab w:leader="none" w:pos="660" w:val="left"/>
        </w:tabs>
        <w:numPr>
          <w:ilvl w:val="0"/>
          <w:numId w:val="5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 of interests in a proposed transaction or arrangement with the Company</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58" w:lineRule="auto"/>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has, directly or indirectly, an interest in a transaction entered into or proposed to be entered into by the Company or by a subsidiary of the Company which conflicts or possibly may conflict with the interests of the Company or the exploitation of any property, information or opportunity, whether or not the Company could take advantage of it (but excluding any interest which cannot reasonably be regarded as likely to give rise to a conflict of interest), and of which such director is aware, shall disclose to the Company the nature and extent of such director’s interest.</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declaration of interest required by this article must be made as soon as reasonably practicable.</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declaration of interest proves to be, or becomes, inaccurate or incomplete, a further disclosure must be made.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B-31</w:t>
      </w:r>
    </w:p>
    <w:p>
      <w:pPr>
        <w:sectPr>
          <w:pgSz w:w="11900" w:h="16838" w:orient="portrait"/>
          <w:cols w:equalWidth="0" w:num="1">
            <w:col w:w="11120"/>
          </w:cols>
          <w:pgMar w:left="320" w:top="455" w:right="45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tabs>
          <w:tab w:leader="none" w:pos="1860"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 a director need not declare an interest:</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cannot reasonably be regarded as likely to give rise to a conflict of interest;</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 to the extent that, the other directors are already aware of it; or</w:t>
      </w:r>
    </w:p>
    <w:p>
      <w:pPr>
        <w:spacing w:after="0" w:line="130" w:lineRule="exact"/>
        <w:rPr>
          <w:rFonts w:ascii="Times New Roman" w:cs="Times New Roman" w:eastAsia="Times New Roman" w:hAnsi="Times New Roman"/>
          <w:sz w:val="18"/>
          <w:szCs w:val="18"/>
          <w:color w:val="auto"/>
        </w:rPr>
      </w:pPr>
    </w:p>
    <w:p>
      <w:pPr>
        <w:ind w:left="2520" w:right="40" w:hanging="649"/>
        <w:spacing w:after="0" w:line="282" w:lineRule="auto"/>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 to the extent that, it concerns terms of his service contract that have been or are to be considered by (A) a meeting of the directors; or (B) by a committee of the directors appointed for the purpose under these articles.</w:t>
      </w:r>
    </w:p>
    <w:p>
      <w:pPr>
        <w:spacing w:after="0" w:line="306" w:lineRule="exact"/>
        <w:rPr>
          <w:rFonts w:ascii="Times New Roman" w:cs="Times New Roman" w:eastAsia="Times New Roman" w:hAnsi="Times New Roman"/>
          <w:sz w:val="18"/>
          <w:szCs w:val="18"/>
          <w:color w:val="auto"/>
        </w:rPr>
      </w:pPr>
    </w:p>
    <w:p>
      <w:pPr>
        <w:ind w:left="660" w:right="6860" w:hanging="544"/>
        <w:spacing w:after="0" w:line="385" w:lineRule="auto"/>
        <w:tabs>
          <w:tab w:leader="none" w:pos="649" w:val="left"/>
        </w:tabs>
        <w:numPr>
          <w:ilvl w:val="0"/>
          <w:numId w:val="5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Provisions applicable to declarations of interest </w:t>
      </w:r>
      <w:r>
        <w:rPr>
          <w:rFonts w:ascii="Times New Roman" w:cs="Times New Roman" w:eastAsia="Times New Roman" w:hAnsi="Times New Roman"/>
          <w:sz w:val="18"/>
          <w:szCs w:val="18"/>
          <w:color w:val="auto"/>
        </w:rPr>
        <w:t>For the purposes of article 86:</w:t>
      </w:r>
    </w:p>
    <w:p>
      <w:pPr>
        <w:spacing w:after="0" w:line="1" w:lineRule="exact"/>
        <w:rPr>
          <w:rFonts w:ascii="Times New Roman" w:cs="Times New Roman" w:eastAsia="Times New Roman" w:hAnsi="Times New Roman"/>
          <w:sz w:val="18"/>
          <w:szCs w:val="18"/>
          <w:b w:val="1"/>
          <w:bCs w:val="1"/>
          <w:color w:val="auto"/>
        </w:rPr>
      </w:pPr>
    </w:p>
    <w:p>
      <w:pPr>
        <w:ind w:left="1860" w:right="300" w:hanging="543"/>
        <w:spacing w:after="0" w:line="266" w:lineRule="auto"/>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shall be made at the first meeting of the directors at which the transaction is considered after the director concerned becomes aware of the circumstances giving rise to such director’s duty to make it or, if for any reason the director fails to do so at such meeting, as soon as practical after the meeting, by notice in writing delivered to the secretary;</w:t>
      </w:r>
    </w:p>
    <w:p>
      <w:pPr>
        <w:spacing w:after="0" w:line="81"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where the disclosure is made to shall inform the directors that it has been made and shall in any event table the notice of the disclosure at the next meeting after it is made;</w:t>
      </w:r>
    </w:p>
    <w:p>
      <w:pPr>
        <w:spacing w:after="0" w:line="67" w:lineRule="exact"/>
        <w:rPr>
          <w:rFonts w:ascii="Times New Roman" w:cs="Times New Roman" w:eastAsia="Times New Roman" w:hAnsi="Times New Roman"/>
          <w:sz w:val="18"/>
          <w:szCs w:val="18"/>
          <w:color w:val="auto"/>
        </w:rPr>
      </w:pPr>
    </w:p>
    <w:p>
      <w:pPr>
        <w:jc w:val="both"/>
        <w:ind w:left="1860" w:hanging="543"/>
        <w:spacing w:after="0" w:line="266" w:lineRule="auto"/>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disclosure to the Company by a director in accordance with article 87(a) above that such director is to be regarded as interested in a transaction with a specified person is sufficient disclosure of that director’s interest in any such transaction entered into after the disclosure is made; and</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disclosure made at a meeting of the directors shall be recorded in the minutes of the meeting.</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the Board to authorise conflicts of interest</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55" w:lineRule="auto"/>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authorise any matter proposed to it in accordance with these articles which would, if not so authorised, involve a breach by a director of his duty to avoid conflicts of interest under the Statutes, including, without limitation, any matter which relates to a situation (a </w:t>
      </w:r>
      <w:r>
        <w:rPr>
          <w:rFonts w:ascii="Times New Roman" w:cs="Times New Roman" w:eastAsia="Times New Roman" w:hAnsi="Times New Roman"/>
          <w:sz w:val="18"/>
          <w:szCs w:val="18"/>
          <w:b w:val="1"/>
          <w:bCs w:val="1"/>
          <w:color w:val="auto"/>
        </w:rPr>
        <w:t>relevant situation</w:t>
      </w:r>
      <w:r>
        <w:rPr>
          <w:rFonts w:ascii="Times New Roman" w:cs="Times New Roman" w:eastAsia="Times New Roman" w:hAnsi="Times New Roman"/>
          <w:sz w:val="18"/>
          <w:szCs w:val="18"/>
          <w:color w:val="auto"/>
        </w:rPr>
        <w:t>) in which a director has, or can have, an interest which conflicts, or possibly may conflict, with the interest of the Company or the exploitation of any property, information or opportunity, whether or not the Company could take advantage of it, but excluding any interest which cannot reasonably be regarded as likely to give rise to a conflict of interest. The provisions of this article do not apply to a conflict of interest arising in relation to a transaction or arrangement with the Company.</w:t>
      </w:r>
    </w:p>
    <w:p>
      <w:pPr>
        <w:spacing w:after="0" w:line="94"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authorisation will be effective only if:</w:t>
      </w:r>
    </w:p>
    <w:p>
      <w:pPr>
        <w:spacing w:after="0" w:line="130" w:lineRule="exact"/>
        <w:rPr>
          <w:rFonts w:ascii="Times New Roman" w:cs="Times New Roman" w:eastAsia="Times New Roman" w:hAnsi="Times New Roman"/>
          <w:sz w:val="18"/>
          <w:szCs w:val="18"/>
          <w:color w:val="auto"/>
        </w:rPr>
      </w:pPr>
    </w:p>
    <w:p>
      <w:pPr>
        <w:ind w:left="2520" w:right="180" w:hanging="649"/>
        <w:spacing w:after="0" w:line="282" w:lineRule="auto"/>
        <w:tabs>
          <w:tab w:leader="none" w:pos="2520" w:val="left"/>
        </w:tabs>
        <w:numPr>
          <w:ilvl w:val="2"/>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as to quorum at the meeting at which the matter is considered is met without counting the director in question or any other interested director; and</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was agreed to without their voting or would have been agreed to if their votes had not been counted.</w:t>
      </w:r>
    </w:p>
    <w:p>
      <w:pPr>
        <w:spacing w:after="0" w:line="130" w:lineRule="exact"/>
        <w:rPr>
          <w:rFonts w:ascii="Times New Roman" w:cs="Times New Roman" w:eastAsia="Times New Roman" w:hAnsi="Times New Roman"/>
          <w:sz w:val="18"/>
          <w:szCs w:val="18"/>
          <w:color w:val="auto"/>
        </w:rPr>
      </w:pPr>
    </w:p>
    <w:p>
      <w:pPr>
        <w:ind w:left="1860" w:right="180" w:hanging="543"/>
        <w:spacing w:after="0" w:line="282" w:lineRule="auto"/>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(whether at the time of the giving of the authorisation or subsequently) make any such authorisation subject to any limits or conditions it expressly imposes but such authorisation is otherwise given to the fullest extent permitted.</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vary or terminate any such authorisation at any time.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B-32</w:t>
      </w:r>
    </w:p>
    <w:p>
      <w:pPr>
        <w:sectPr>
          <w:pgSz w:w="11900" w:h="16838" w:orient="portrait"/>
          <w:cols w:equalWidth="0" w:num="1">
            <w:col w:w="11140"/>
          </w:cols>
          <w:pgMar w:left="320" w:top="455" w:right="43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interests and voting</w:t>
      </w:r>
    </w:p>
    <w:p>
      <w:pPr>
        <w:spacing w:after="0" w:line="134" w:lineRule="exact"/>
        <w:rPr>
          <w:rFonts w:ascii="Times New Roman" w:cs="Times New Roman" w:eastAsia="Times New Roman" w:hAnsi="Times New Roman"/>
          <w:sz w:val="18"/>
          <w:szCs w:val="18"/>
          <w:b w:val="1"/>
          <w:bCs w:val="1"/>
          <w:color w:val="auto"/>
        </w:rPr>
      </w:pPr>
    </w:p>
    <w:p>
      <w:pPr>
        <w:ind w:left="1860" w:right="240" w:hanging="543"/>
        <w:spacing w:after="0" w:line="282" w:lineRule="auto"/>
        <w:tabs>
          <w:tab w:leader="none" w:pos="186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provided the director has declared any interest or interests in accordance with articles 86 and 87, a director may (notwithstanding his office):</w:t>
      </w:r>
    </w:p>
    <w:p>
      <w:pPr>
        <w:spacing w:after="0" w:line="67" w:lineRule="exact"/>
        <w:rPr>
          <w:rFonts w:ascii="Times New Roman" w:cs="Times New Roman" w:eastAsia="Times New Roman" w:hAnsi="Times New Roman"/>
          <w:sz w:val="18"/>
          <w:szCs w:val="18"/>
          <w:color w:val="auto"/>
        </w:rPr>
      </w:pPr>
    </w:p>
    <w:p>
      <w:pPr>
        <w:ind w:left="2520" w:right="300" w:hanging="649"/>
        <w:spacing w:after="0" w:line="266" w:lineRule="auto"/>
        <w:tabs>
          <w:tab w:leader="none" w:pos="2520" w:val="left"/>
        </w:tabs>
        <w:numPr>
          <w:ilvl w:val="2"/>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be interested in any transaction or arrangement with the Company, either with regard to the director’s tenure of any office or position in the management, administration or conduct of the business of the Company or as vendor, purchaser or otherwise;</w:t>
      </w:r>
    </w:p>
    <w:p>
      <w:pPr>
        <w:spacing w:after="0" w:line="81" w:lineRule="exact"/>
        <w:rPr>
          <w:rFonts w:ascii="Times New Roman" w:cs="Times New Roman" w:eastAsia="Times New Roman" w:hAnsi="Times New Roman"/>
          <w:sz w:val="18"/>
          <w:szCs w:val="18"/>
          <w:color w:val="auto"/>
        </w:rPr>
      </w:pPr>
    </w:p>
    <w:p>
      <w:pPr>
        <w:ind w:left="2520" w:right="180" w:hanging="649"/>
        <w:spacing w:after="0" w:line="281" w:lineRule="auto"/>
        <w:tabs>
          <w:tab w:leader="none" w:pos="2520" w:val="left"/>
        </w:tabs>
        <w:numPr>
          <w:ilvl w:val="2"/>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any other office or place of profit with the Company (except that of auditor) in conjunction with the director’s office of director for such period (subject to the Statutes) and upon such terms as the Board may decide and be paid such extra remuneration for so doing (whether by way of salary, commission, participation in profits or otherwise) as the Board may decide, either in addition to or in lieu of any remuneration under any other provision of these articles;</w:t>
      </w:r>
    </w:p>
    <w:p>
      <w:pPr>
        <w:spacing w:after="0" w:line="69" w:lineRule="exact"/>
        <w:rPr>
          <w:rFonts w:ascii="Times New Roman" w:cs="Times New Roman" w:eastAsia="Times New Roman" w:hAnsi="Times New Roman"/>
          <w:sz w:val="17"/>
          <w:szCs w:val="17"/>
          <w:color w:val="auto"/>
        </w:rPr>
      </w:pPr>
    </w:p>
    <w:p>
      <w:pPr>
        <w:ind w:left="2520" w:right="20" w:hanging="649"/>
        <w:spacing w:after="0" w:line="282" w:lineRule="auto"/>
        <w:tabs>
          <w:tab w:leader="none" w:pos="2520" w:val="left"/>
        </w:tabs>
        <w:numPr>
          <w:ilvl w:val="2"/>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personally or by the director’s firm in a professional capacity for the Company (except as auditor) and be entitled to remuneration for professional services as if the director were not a director;</w:t>
      </w:r>
    </w:p>
    <w:p>
      <w:pPr>
        <w:spacing w:after="0" w:line="67" w:lineRule="exact"/>
        <w:rPr>
          <w:rFonts w:ascii="Times New Roman" w:cs="Times New Roman" w:eastAsia="Times New Roman" w:hAnsi="Times New Roman"/>
          <w:sz w:val="18"/>
          <w:szCs w:val="18"/>
          <w:color w:val="auto"/>
        </w:rPr>
      </w:pPr>
    </w:p>
    <w:p>
      <w:pPr>
        <w:ind w:left="2520" w:right="60" w:hanging="649"/>
        <w:spacing w:after="0" w:line="255" w:lineRule="auto"/>
        <w:tabs>
          <w:tab w:leader="none" w:pos="2520" w:val="left"/>
        </w:tabs>
        <w:numPr>
          <w:ilvl w:val="2"/>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 become a member or director of, or hold any other office or place of profit under, or otherwise be interested in, any holding company or subsidiary undertaking of that holding company or any other company in which the Company may be interested. The Board may cause the voting rights conferred by the shares in any other company held or owned by the Company or exercisable by them as directors of that other company to be exercised in such manner in all respects as it thinks fit (including the exercise of voting rights in favour of any resolution appointing the directors or any of them as directors or officers of the other company or voting or providing for the payment of any benefit to the directors or officers of the other company); and</w:t>
      </w:r>
    </w:p>
    <w:p>
      <w:pPr>
        <w:spacing w:after="0" w:line="94" w:lineRule="exact"/>
        <w:rPr>
          <w:rFonts w:ascii="Times New Roman" w:cs="Times New Roman" w:eastAsia="Times New Roman" w:hAnsi="Times New Roman"/>
          <w:sz w:val="18"/>
          <w:szCs w:val="18"/>
          <w:color w:val="auto"/>
        </w:rPr>
      </w:pPr>
    </w:p>
    <w:p>
      <w:pPr>
        <w:ind w:left="2520" w:right="140" w:hanging="649"/>
        <w:spacing w:after="0" w:line="261" w:lineRule="auto"/>
        <w:tabs>
          <w:tab w:leader="none" w:pos="2520" w:val="left"/>
        </w:tabs>
        <w:numPr>
          <w:ilvl w:val="2"/>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 become a director, manager or employee of, or a consultant to, or acquire or retain any direct or indirect interest in, any entity (whether or not a body corporate) in which the Company does not have an interest if that cannot reasonably be regarded as likely to give rise to a conflict of interest at the time of the director’s appointment as a director of that other company.</w:t>
      </w:r>
    </w:p>
    <w:p>
      <w:pPr>
        <w:spacing w:after="0" w:line="85" w:lineRule="exact"/>
        <w:rPr>
          <w:rFonts w:ascii="Times New Roman" w:cs="Times New Roman" w:eastAsia="Times New Roman" w:hAnsi="Times New Roman"/>
          <w:sz w:val="18"/>
          <w:szCs w:val="18"/>
          <w:color w:val="auto"/>
        </w:rPr>
      </w:pPr>
    </w:p>
    <w:p>
      <w:pPr>
        <w:ind w:left="1860" w:right="180" w:hanging="543"/>
        <w:spacing w:after="0" w:line="261" w:lineRule="auto"/>
        <w:tabs>
          <w:tab w:leader="none" w:pos="186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by reason of holding office as director (or of the fiduciary relationship established by holding that office), be liable to account to the Company for any remuneration, profit or other benefit resulting from any interest permitted under paragraph (a) above and no contract shall be liable to be avoided on the grounds of any director having any type of interest permitted under paragraph (a) above.</w:t>
      </w:r>
    </w:p>
    <w:p>
      <w:pPr>
        <w:spacing w:after="0" w:line="85" w:lineRule="exact"/>
        <w:rPr>
          <w:rFonts w:ascii="Times New Roman" w:cs="Times New Roman" w:eastAsia="Times New Roman" w:hAnsi="Times New Roman"/>
          <w:sz w:val="18"/>
          <w:szCs w:val="18"/>
          <w:color w:val="auto"/>
        </w:rPr>
      </w:pPr>
    </w:p>
    <w:p>
      <w:pPr>
        <w:ind w:left="1860" w:hanging="543"/>
        <w:spacing w:after="0" w:line="254" w:lineRule="auto"/>
        <w:tabs>
          <w:tab w:leader="none" w:pos="186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vote (or be counted in the quorum at a meeting) in respect of any resolution concerning that director’s own appointment (including fixing or varying its terms), or the termination of that director’s own appointment, as the holder of any office or place of profit with the Company or any other company in which the Company is interested but, where proposals are under consideration concerning the appointment (including fixing or varying its terms), or the termination of the appointment, of two or more directors to offices or places of profit with the Company or any other company in which the Company is interested, those proposals may be divided and a separate resolution may be put in relation to each director and in that case each of the directors concerned (if not otherwise debarred from voting under this article) shall be entitled to vote (and be counted in the quorum) in respect of each resolution unless it concerns that director’s own appointment or the termination of that director’s own appointment.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B-33</w:t>
      </w:r>
    </w:p>
    <w:p>
      <w:pPr>
        <w:sectPr>
          <w:pgSz w:w="11900" w:h="16838" w:orient="portrait"/>
          <w:cols w:equalWidth="0" w:num="1">
            <w:col w:w="11120"/>
          </w:cols>
          <w:pgMar w:left="320" w:top="455" w:right="45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line="258" w:lineRule="auto"/>
        <w:tabs>
          <w:tab w:leader="none" w:pos="186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also not vote (or be counted in the quorum at a meeting) in relation to any resolution relating to any transaction or arrangement with the Company in which the director has an interest which may reasonably be regarded as likely to give rise to a conflict of interest and, if the director purports to do so, the director’s vote shall not be counted, but this prohibition shall not apply and a director may vote (and be counted in the quorum) in respect of any resolution concerning any one or more of the following matters:</w:t>
      </w:r>
    </w:p>
    <w:p>
      <w:pPr>
        <w:spacing w:after="0" w:line="88"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in which the director is interested by virtue of an interest in shares, debentures or other securities of the Company or otherwise in or through the Company;</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w:t>
      </w:r>
    </w:p>
    <w:p>
      <w:pPr>
        <w:spacing w:after="0" w:line="130" w:lineRule="exact"/>
        <w:rPr>
          <w:rFonts w:ascii="Times New Roman" w:cs="Times New Roman" w:eastAsia="Times New Roman" w:hAnsi="Times New Roman"/>
          <w:sz w:val="18"/>
          <w:szCs w:val="18"/>
          <w:color w:val="auto"/>
        </w:rPr>
      </w:pPr>
    </w:p>
    <w:p>
      <w:pPr>
        <w:ind w:left="3080" w:right="60" w:hanging="548"/>
        <w:spacing w:after="0" w:line="282" w:lineRule="auto"/>
        <w:tabs>
          <w:tab w:leader="none" w:pos="308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lent or obligations incurred by the director or by any other person at the request of, or for the benefit of, the Company or any of its subsidiary undertakings; or</w:t>
      </w:r>
    </w:p>
    <w:p>
      <w:pPr>
        <w:spacing w:after="0" w:line="67" w:lineRule="exact"/>
        <w:rPr>
          <w:rFonts w:ascii="Times New Roman" w:cs="Times New Roman" w:eastAsia="Times New Roman" w:hAnsi="Times New Roman"/>
          <w:sz w:val="18"/>
          <w:szCs w:val="18"/>
          <w:color w:val="auto"/>
        </w:rPr>
      </w:pPr>
    </w:p>
    <w:p>
      <w:pPr>
        <w:ind w:left="3080" w:right="80" w:hanging="548"/>
        <w:spacing w:after="0" w:line="266" w:lineRule="auto"/>
        <w:tabs>
          <w:tab w:leader="none" w:pos="308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or obligation of the Company or any of its subsidiary undertakings for which the director personally has assumed responsibility in whole or in part (either alone or jointly with others) under a guarantee or indemnity or by the giving of security;</w:t>
      </w:r>
    </w:p>
    <w:p>
      <w:pPr>
        <w:spacing w:after="0" w:line="81" w:lineRule="exact"/>
        <w:rPr>
          <w:rFonts w:ascii="Times New Roman" w:cs="Times New Roman" w:eastAsia="Times New Roman" w:hAnsi="Times New Roman"/>
          <w:sz w:val="18"/>
          <w:szCs w:val="18"/>
          <w:color w:val="auto"/>
        </w:rPr>
      </w:pPr>
    </w:p>
    <w:p>
      <w:pPr>
        <w:ind w:left="2520" w:right="360" w:hanging="649"/>
        <w:spacing w:after="0" w:line="282" w:lineRule="auto"/>
        <w:tabs>
          <w:tab w:leader="none" w:pos="252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(including loans made in connection with it) by the Company in relation to the performance of the director’s duties on behalf of the Company or of any of its subsidiary undertakings;</w:t>
      </w:r>
    </w:p>
    <w:p>
      <w:pPr>
        <w:spacing w:after="0" w:line="67" w:lineRule="exact"/>
        <w:rPr>
          <w:rFonts w:ascii="Times New Roman" w:cs="Times New Roman" w:eastAsia="Times New Roman" w:hAnsi="Times New Roman"/>
          <w:sz w:val="18"/>
          <w:szCs w:val="18"/>
          <w:color w:val="auto"/>
        </w:rPr>
      </w:pPr>
    </w:p>
    <w:p>
      <w:pPr>
        <w:ind w:left="2520" w:right="400" w:hanging="649"/>
        <w:spacing w:after="0" w:line="266" w:lineRule="auto"/>
        <w:tabs>
          <w:tab w:leader="none" w:pos="252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debentures or other securities of the Company or any of its subsidiary undertakings in respect of which the director is or may be entitled to participate in the director’s capacity as a holder of any such securities or as an underwriter or sub-underwriter;</w:t>
      </w:r>
    </w:p>
    <w:p>
      <w:pPr>
        <w:spacing w:after="0" w:line="81" w:lineRule="exact"/>
        <w:rPr>
          <w:rFonts w:ascii="Times New Roman" w:cs="Times New Roman" w:eastAsia="Times New Roman" w:hAnsi="Times New Roman"/>
          <w:sz w:val="18"/>
          <w:szCs w:val="18"/>
          <w:color w:val="auto"/>
        </w:rPr>
      </w:pPr>
    </w:p>
    <w:p>
      <w:pPr>
        <w:ind w:left="2520" w:right="300" w:hanging="649"/>
        <w:spacing w:after="0" w:line="266" w:lineRule="auto"/>
        <w:tabs>
          <w:tab w:leader="none" w:pos="252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any other company in which the director does not hold, directly or indirectly as shareholder voting rights representing one per cent. or more of any class of shares in the capital of that company;</w:t>
      </w:r>
    </w:p>
    <w:p>
      <w:pPr>
        <w:spacing w:after="0" w:line="81" w:lineRule="exact"/>
        <w:rPr>
          <w:rFonts w:ascii="Times New Roman" w:cs="Times New Roman" w:eastAsia="Times New Roman" w:hAnsi="Times New Roman"/>
          <w:sz w:val="18"/>
          <w:szCs w:val="18"/>
          <w:color w:val="auto"/>
        </w:rPr>
      </w:pPr>
    </w:p>
    <w:p>
      <w:pPr>
        <w:ind w:left="2520" w:right="320" w:hanging="649"/>
        <w:spacing w:after="0" w:line="266" w:lineRule="auto"/>
        <w:tabs>
          <w:tab w:leader="none" w:pos="252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the Company or any of its subsidiary undertakings which does not accord to the director any privilege or benefit not generally accorded to the employees to whom the arrangement relates; and</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for the benefit of directors or for the benefit of persons including directors.</w:t>
      </w:r>
    </w:p>
    <w:p>
      <w:pPr>
        <w:spacing w:after="0" w:line="130" w:lineRule="exact"/>
        <w:rPr>
          <w:rFonts w:ascii="Times New Roman" w:cs="Times New Roman" w:eastAsia="Times New Roman" w:hAnsi="Times New Roman"/>
          <w:sz w:val="18"/>
          <w:szCs w:val="18"/>
          <w:color w:val="auto"/>
        </w:rPr>
      </w:pPr>
    </w:p>
    <w:p>
      <w:pPr>
        <w:ind w:left="1860" w:right="40" w:hanging="543"/>
        <w:spacing w:after="0" w:line="253" w:lineRule="auto"/>
        <w:tabs>
          <w:tab w:leader="none" w:pos="186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question arises at any meeting as to whether an interest of a director (other than the chair of the meeting) may reasonably be regarded as likely to give rise to a conflict of interest or as to the entitlement of any director (other than the chair of the meeting) to vote in relation to a transaction or arrangement with the Company and the question is not resolved by the director voluntarily agreeing to abstain from voting, the question shall be referred to the chair of the meeting and the chair’s ruling in relation to the director concerned shall be final and conclusive except in a case where the nature or extent of the interest of the director concerned, so far as known to the director concerned, has not been fairly disclosed. If any question shall arise in respect of the chair of the meeting and is not resolved by the chair voluntarily agreeing to abstain from voting, the question shall be decided by a resolution of the Board (for which purpose the chair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99"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by ordinary resolution suspend or relax the provisions of this article to any extent or ratify any transaction or arrangement not duly authorised by reason of a contravention of this article.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B-34</w:t>
      </w:r>
    </w:p>
    <w:p>
      <w:pPr>
        <w:sectPr>
          <w:pgSz w:w="11900" w:h="16838" w:orient="portrait"/>
          <w:cols w:equalWidth="0" w:num="1">
            <w:col w:w="11120"/>
          </w:cols>
          <w:pgMar w:left="320" w:top="455" w:right="45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Avoiding conflicts of interest</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existence of a director’s relationship with another person has been approved by the Board pursuant to article 88 and his relationship with that person gives rise to a conflict of interest or possible conflict of interest, the director shall not be in breach of the general duties he owes to the Company under the Statutes because he:</w:t>
      </w:r>
    </w:p>
    <w:p>
      <w:pPr>
        <w:spacing w:after="0" w:line="81" w:lineRule="exact"/>
        <w:rPr>
          <w:rFonts w:ascii="Times New Roman" w:cs="Times New Roman" w:eastAsia="Times New Roman" w:hAnsi="Times New Roman"/>
          <w:sz w:val="18"/>
          <w:szCs w:val="18"/>
          <w:b w:val="1"/>
          <w:bCs w:val="1"/>
          <w:color w:val="auto"/>
        </w:rPr>
      </w:pPr>
    </w:p>
    <w:p>
      <w:pPr>
        <w:ind w:left="1860" w:right="20" w:hanging="543"/>
        <w:spacing w:after="0" w:line="282"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67" w:lineRule="exact"/>
        <w:rPr>
          <w:rFonts w:ascii="Times New Roman" w:cs="Times New Roman" w:eastAsia="Times New Roman" w:hAnsi="Times New Roman"/>
          <w:sz w:val="18"/>
          <w:szCs w:val="18"/>
          <w:color w:val="auto"/>
        </w:rPr>
      </w:pPr>
    </w:p>
    <w:p>
      <w:pPr>
        <w:jc w:val="both"/>
        <w:ind w:left="1860" w:right="100" w:hanging="543"/>
        <w:spacing w:after="0" w:line="266"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so long as he reasonably believes such conflict of interest or possible conflict of interest subsists.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PROCEEDINGS OF THE BOARD</w:t>
      </w:r>
    </w:p>
    <w:p>
      <w:pPr>
        <w:spacing w:after="0" w:line="252" w:lineRule="exact"/>
        <w:rPr>
          <w:sz w:val="20"/>
          <w:szCs w:val="20"/>
          <w:color w:val="auto"/>
        </w:rPr>
      </w:pPr>
    </w:p>
    <w:p>
      <w:pPr>
        <w:ind w:left="660" w:hanging="544"/>
        <w:spacing w:after="0"/>
        <w:tabs>
          <w:tab w:leader="none" w:pos="66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meetings</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these articles, the Board may meet for the despatch of business, adjourn and otherwise regulate its meetings as it thinks fit. A director at any time may, and the secretary at the request of a director at any time shall, summon a board meeting.</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board meetings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66" w:lineRule="auto"/>
        <w:tabs>
          <w:tab w:leader="none" w:pos="186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board meeting may be given to a director personally or by word of mouth or given in hard copy form or in electronic form to the director at such address as the director may from time to time specify for this purpose (or if the director does not specify an address, at the director’s last known address).</w:t>
      </w:r>
    </w:p>
    <w:p>
      <w:pPr>
        <w:spacing w:after="0" w:line="81"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absent or intending to be absent from the United Kingdom may request that notices of board meetings shall, during his absence, be sent by instrument or using electronic communication to him at an address given by him to the Company for this purpose but, in the absence of any such request, it shall not be necessary to give notice of a board meeting to any director for the time being absent from the United Kingdom.</w:t>
      </w:r>
    </w:p>
    <w:p>
      <w:pPr>
        <w:spacing w:after="0" w:line="85"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waive notice of any meeting either prospectively or retrospectively and any retrospective waiver shall not affect the validity of the meeting or of any business conducted at the meeting.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quorum necessary for the transaction of the business of the Board may be fixed by the Board and, unless so fixed at any other number, shall be two. Subject to these articles, any director who ceases to be a director at a board meeting may continue to be present and to act as a director and be counted in the quorum until the end of the board meeting if no other director objects and if otherwise a quorum of directors would not be present.</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directors if number falls below minimum</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continuing directors or director at any time may act notwithstanding any vacancies in their number, but if, and so long as, the number of directors is less than the number fixed as the necessary quorum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B-35</w:t>
      </w:r>
    </w:p>
    <w:p>
      <w:pPr>
        <w:sectPr>
          <w:pgSz w:w="11900" w:h="16838" w:orient="portrait"/>
          <w:cols w:equalWidth="0" w:num="1">
            <w:col w:w="11100"/>
          </w:cols>
          <w:pgMar w:left="320" w:top="455" w:right="47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380"/>
        <w:spacing w:after="0" w:line="266" w:lineRule="auto"/>
        <w:rPr>
          <w:sz w:val="20"/>
          <w:szCs w:val="20"/>
          <w:color w:val="auto"/>
        </w:rPr>
      </w:pPr>
      <w:r>
        <w:rPr>
          <w:rFonts w:ascii="Times New Roman" w:cs="Times New Roman" w:eastAsia="Times New Roman" w:hAnsi="Times New Roman"/>
          <w:sz w:val="18"/>
          <w:szCs w:val="18"/>
          <w:color w:val="auto"/>
        </w:rPr>
        <w:t>board meetings, the continuing directors or director may act for the purpose of filling up such vacancies or calling general meetings of the Company, but not for any other purpose. If there are no directors or director able or willing to act, then any two members may call a general meeting for the purpose of appointing directors</w:t>
      </w:r>
    </w:p>
    <w:p>
      <w:pPr>
        <w:spacing w:after="0" w:line="320" w:lineRule="exact"/>
        <w:rPr>
          <w:sz w:val="20"/>
          <w:szCs w:val="20"/>
          <w:color w:val="auto"/>
        </w:rPr>
      </w:pPr>
    </w:p>
    <w:p>
      <w:pPr>
        <w:ind w:left="660" w:hanging="544"/>
        <w:spacing w:after="0"/>
        <w:tabs>
          <w:tab w:leader="none" w:pos="660"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 or deputy chair to preside</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a chair and one or more deputy chair(s) and may at any time revoke any such appointment.</w:t>
      </w:r>
    </w:p>
    <w:p>
      <w:pPr>
        <w:spacing w:after="0" w:line="130" w:lineRule="exact"/>
        <w:rPr>
          <w:rFonts w:ascii="Times New Roman" w:cs="Times New Roman" w:eastAsia="Times New Roman" w:hAnsi="Times New Roman"/>
          <w:sz w:val="18"/>
          <w:szCs w:val="18"/>
          <w:color w:val="auto"/>
        </w:rPr>
      </w:pPr>
    </w:p>
    <w:p>
      <w:pPr>
        <w:ind w:left="1860" w:right="40" w:hanging="543"/>
        <w:spacing w:after="0" w:line="261" w:lineRule="auto"/>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or failing the chair any deputy chair (the longest in office taking precedence, if more than one is present), shall, if present and willing, preside at all board meetings but, if no chair or deputy chair has been appointed, or if the chair or deputy chair is not present within five minutes after the time fixed for holding the meeting or is unwilling to act as chair of the meeting, the directors present shall choose one of their number to act as chair of the meeting.</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Competence of board meetings</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board meeting at which a quorum is present shall be competent to exercise all the powers, authorities and discretions for the time being vested in or exercisable by the Board.</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w:t>
      </w:r>
    </w:p>
    <w:p>
      <w:pPr>
        <w:spacing w:after="0" w:line="121" w:lineRule="exact"/>
        <w:rPr>
          <w:rFonts w:ascii="Times New Roman" w:cs="Times New Roman" w:eastAsia="Times New Roman" w:hAnsi="Times New Roman"/>
          <w:sz w:val="18"/>
          <w:szCs w:val="18"/>
          <w:b w:val="1"/>
          <w:bCs w:val="1"/>
          <w:color w:val="auto"/>
        </w:rPr>
      </w:pPr>
    </w:p>
    <w:p>
      <w:pPr>
        <w:ind w:left="6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Questions arising at any board meeting shall be determined by a majority of votes. In the case of an equality of votes the chair of the meeting shall have a second or casting vote.</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Telephone/electronic board meetings</w:t>
      </w:r>
    </w:p>
    <w:p>
      <w:pPr>
        <w:spacing w:after="0" w:line="134" w:lineRule="exact"/>
        <w:rPr>
          <w:rFonts w:ascii="Times New Roman" w:cs="Times New Roman" w:eastAsia="Times New Roman" w:hAnsi="Times New Roman"/>
          <w:sz w:val="18"/>
          <w:szCs w:val="18"/>
          <w:b w:val="1"/>
          <w:bCs w:val="1"/>
          <w:color w:val="auto"/>
        </w:rPr>
      </w:pPr>
    </w:p>
    <w:p>
      <w:pPr>
        <w:ind w:left="1860" w:right="160" w:hanging="543"/>
        <w:spacing w:after="0" w:line="266" w:lineRule="auto"/>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meeting may consist of a conference between directors some or all of whom are in different places provided that each director may participate in the business of the meeting whether directly, by telephone or by any other means (whether electronically or otherwise) which enables the director:</w:t>
      </w:r>
    </w:p>
    <w:p>
      <w:pPr>
        <w:spacing w:after="0" w:line="81" w:lineRule="exact"/>
        <w:rPr>
          <w:rFonts w:ascii="Times New Roman" w:cs="Times New Roman" w:eastAsia="Times New Roman" w:hAnsi="Times New Roman"/>
          <w:sz w:val="18"/>
          <w:szCs w:val="18"/>
          <w:color w:val="auto"/>
        </w:rPr>
      </w:pPr>
    </w:p>
    <w:p>
      <w:pPr>
        <w:ind w:left="2520" w:right="220" w:hanging="649"/>
        <w:spacing w:after="0" w:line="282" w:lineRule="auto"/>
        <w:tabs>
          <w:tab w:leader="none" w:pos="2520" w:val="left"/>
        </w:tabs>
        <w:numPr>
          <w:ilvl w:val="2"/>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hear (or otherwise receive real time communications made by) each of the other participating directors addressing the meeting; and</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so wishes, to address all of the other participating directors simultaneously (or otherwise communicate in real time with them).</w:t>
      </w:r>
    </w:p>
    <w:p>
      <w:pPr>
        <w:spacing w:after="0" w:line="67" w:lineRule="exact"/>
        <w:rPr>
          <w:rFonts w:ascii="Times New Roman" w:cs="Times New Roman" w:eastAsia="Times New Roman" w:hAnsi="Times New Roman"/>
          <w:sz w:val="18"/>
          <w:szCs w:val="18"/>
          <w:color w:val="auto"/>
        </w:rPr>
      </w:pPr>
    </w:p>
    <w:p>
      <w:pPr>
        <w:ind w:left="1860" w:right="360" w:hanging="543"/>
        <w:spacing w:after="0" w:line="282" w:lineRule="auto"/>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is deemed to be present if at least the number of directors required to form a quorum, subject to the provisions of article 78, may participate in the manner specified above in the business of the meeting.</w:t>
      </w:r>
    </w:p>
    <w:p>
      <w:pPr>
        <w:spacing w:after="0" w:line="67" w:lineRule="exact"/>
        <w:rPr>
          <w:rFonts w:ascii="Times New Roman" w:cs="Times New Roman" w:eastAsia="Times New Roman" w:hAnsi="Times New Roman"/>
          <w:sz w:val="18"/>
          <w:szCs w:val="18"/>
          <w:color w:val="auto"/>
        </w:rPr>
      </w:pPr>
    </w:p>
    <w:p>
      <w:pPr>
        <w:ind w:left="1860" w:right="560" w:hanging="543"/>
        <w:spacing w:after="0" w:line="282" w:lineRule="auto"/>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meeting held in this way is deemed to take place at the place where the largest group of participating directors is assembled or, if no such group is readily identifiable, at the place from where the chair of the meeting participates.</w:t>
      </w:r>
    </w:p>
    <w:p>
      <w:pPr>
        <w:spacing w:after="0" w:line="67" w:lineRule="exact"/>
        <w:rPr>
          <w:rFonts w:ascii="Times New Roman" w:cs="Times New Roman" w:eastAsia="Times New Roman" w:hAnsi="Times New Roman"/>
          <w:sz w:val="18"/>
          <w:szCs w:val="18"/>
          <w:color w:val="auto"/>
        </w:rPr>
      </w:pPr>
    </w:p>
    <w:p>
      <w:pPr>
        <w:ind w:left="1860" w:right="160" w:hanging="543"/>
        <w:spacing w:after="0" w:line="266" w:lineRule="auto"/>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passed at any meeting held in the above manner, and signed by the chair of the meeting, shall be as valid and effectual as if it had been passed at a meeting of the Board (or committee of the Board, as the case may be) duly convened and held.</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without meetings</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resolution which is signed or approved by all the directors entitled to vote on that resolution (and whose vote would have been counted) shall be as valid and effectual as if it had been passed at a board meeting duly called and constituted. The resolution may be contained in one document or communication in electronic form or in several documents or communications in electronic form (in like form), or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B-36</w:t>
      </w:r>
    </w:p>
    <w:p>
      <w:pPr>
        <w:sectPr>
          <w:pgSz w:w="11900" w:h="16838" w:orient="portrait"/>
          <w:cols w:equalWidth="0" w:num="1">
            <w:col w:w="11120"/>
          </w:cols>
          <w:pgMar w:left="320" w:top="455" w:right="45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combination of both, each signed or approved by one or more of the directors concerned (or their alternates, as applicable). For the purpose of this article the approval of a director (or their alternates, as applicable) shall be given in hard copy form or in electronic form.</w:t>
      </w:r>
    </w:p>
    <w:p>
      <w:pPr>
        <w:spacing w:after="0" w:line="306" w:lineRule="exact"/>
        <w:rPr>
          <w:sz w:val="20"/>
          <w:szCs w:val="20"/>
          <w:color w:val="auto"/>
        </w:rPr>
      </w:pPr>
    </w:p>
    <w:p>
      <w:pPr>
        <w:ind w:left="660" w:hanging="544"/>
        <w:spacing w:after="0"/>
        <w:tabs>
          <w:tab w:leader="none" w:pos="660"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119" w:lineRule="exact"/>
        <w:rPr>
          <w:rFonts w:ascii="Times New Roman" w:cs="Times New Roman" w:eastAsia="Times New Roman" w:hAnsi="Times New Roman"/>
          <w:sz w:val="18"/>
          <w:szCs w:val="18"/>
          <w:b w:val="1"/>
          <w:bCs w:val="1"/>
          <w:color w:val="auto"/>
        </w:rPr>
      </w:pPr>
    </w:p>
    <w:p>
      <w:pPr>
        <w:ind w:left="6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All acts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done by a meeting of the Board, or of a committee, or by any person acting as a director or a member of a committee, shall, notwithstanding that it is afterwards discovered that there was some defect in the appointment of any member of the Board or committee or of the person so acting, or that they or any of them were disqualified or had vacated office or were not entitled to vote, be as valid as if every such person had been duly appointed and qualified to be a director and had continued to be a director or member of the committee and had been entitled to vote.</w:t>
      </w:r>
    </w:p>
    <w:p>
      <w:pPr>
        <w:spacing w:after="0" w:line="32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minutes to be made and kept in books kept for the purpose:</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appointments of officers made by the Board;</w:t>
      </w:r>
    </w:p>
    <w:p>
      <w:pPr>
        <w:spacing w:after="0" w:line="130"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2"/>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names of all the directors (or their alternates) and any other persons present at each meeting of the Board and of any committee; and</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resolutions and proceedings of all meetings of the Company and of any class of members of the Company, and of the Board and of any committee.</w:t>
      </w:r>
    </w:p>
    <w:p>
      <w:pPr>
        <w:spacing w:after="0" w:line="67" w:lineRule="exact"/>
        <w:rPr>
          <w:rFonts w:ascii="Times New Roman" w:cs="Times New Roman" w:eastAsia="Times New Roman" w:hAnsi="Times New Roman"/>
          <w:sz w:val="18"/>
          <w:szCs w:val="18"/>
          <w:color w:val="auto"/>
        </w:rPr>
      </w:pPr>
    </w:p>
    <w:p>
      <w:pPr>
        <w:ind w:left="1860" w:right="480" w:hanging="543"/>
        <w:spacing w:after="0" w:line="282" w:lineRule="auto"/>
        <w:tabs>
          <w:tab w:leader="none" w:pos="186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minutes shall be conclusive evidence of any such proceedings if signed by the chair of the meeting at which the proceedings were held or by the chair of the next succeeding meeting.</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must ensure that all resolutions of the Board passed otherwise than at board meetings are kept for at least ten years.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Secretary</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2006 Act, the secretary shall be appointed by the Board for such term, at such remuneration and on such conditions as it thinks fit, and the Board may remove from office any person so appointed (without prejudice to any claim for damages for breach of any contract between the secretary and the Company).</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 CERTIFICATES</w:t>
      </w:r>
    </w:p>
    <w:p>
      <w:pPr>
        <w:spacing w:after="0" w:line="252" w:lineRule="exact"/>
        <w:rPr>
          <w:sz w:val="20"/>
          <w:szCs w:val="20"/>
          <w:color w:val="auto"/>
        </w:rPr>
      </w:pPr>
    </w:p>
    <w:p>
      <w:pPr>
        <w:ind w:left="660" w:hanging="544"/>
        <w:spacing w:after="0"/>
        <w:tabs>
          <w:tab w:leader="none" w:pos="660"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 certificates</w:t>
      </w:r>
    </w:p>
    <w:p>
      <w:pPr>
        <w:spacing w:after="0" w:line="134" w:lineRule="exact"/>
        <w:rPr>
          <w:rFonts w:ascii="Times New Roman" w:cs="Times New Roman" w:eastAsia="Times New Roman" w:hAnsi="Times New Roman"/>
          <w:sz w:val="18"/>
          <w:szCs w:val="18"/>
          <w:b w:val="1"/>
          <w:bCs w:val="1"/>
          <w:color w:val="auto"/>
        </w:rPr>
      </w:pPr>
    </w:p>
    <w:p>
      <w:pPr>
        <w:ind w:left="1860" w:right="40" w:hanging="543"/>
        <w:spacing w:after="0" w:line="258"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name is entered in the register as the holder of any certificated shares shall be entitled (unless the conditions of issue otherwise provide) within the time limits prescribed by the Statutes to receive one certificate for those shares, or one certificate for each class of those shares and, if that person transfers part of the shares represented by a certificate in that person’s name, or elects to hold part in uncertificated form, to receive a new certificate for the balance of those shares, provided in all cases that there shall be no requirement to issue any certificate to Cede &amp; Co. in respect of any shares held by it.</w:t>
      </w:r>
    </w:p>
    <w:p>
      <w:pPr>
        <w:spacing w:after="0" w:line="88" w:lineRule="exact"/>
        <w:rPr>
          <w:rFonts w:ascii="Times New Roman" w:cs="Times New Roman" w:eastAsia="Times New Roman" w:hAnsi="Times New Roman"/>
          <w:sz w:val="18"/>
          <w:szCs w:val="18"/>
          <w:color w:val="auto"/>
        </w:rPr>
      </w:pPr>
    </w:p>
    <w:p>
      <w:pPr>
        <w:ind w:left="1860" w:right="20" w:hanging="543"/>
        <w:spacing w:after="0" w:line="266"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Company shall not be bound to issue more than one certificate for all the shares in any particular class registered in their joint names, and delivery of a certificate for a share to any one of the joint holders shall be sufficient delivery to 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B-37</w:t>
      </w:r>
    </w:p>
    <w:p>
      <w:pPr>
        <w:sectPr>
          <w:pgSz w:w="11900" w:h="16838" w:orient="portrait"/>
          <w:cols w:equalWidth="0" w:num="1">
            <w:col w:w="11100"/>
          </w:cols>
          <w:pgMar w:left="320" w:top="455" w:right="47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20" w:hanging="543"/>
        <w:spacing w:after="0" w:line="258" w:lineRule="auto"/>
        <w:tabs>
          <w:tab w:leader="none" w:pos="186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shall be issued under seal or signed by at least one director and the secretary or by at least two directors (which may include any signature being applied mechanically or electronically). A share certificate shall specify the number and class of the shares to which it relates and the amount or respective amounts paid up on the shares and (where required by the Statutes), the distinguishing numbers of such shares. Any certificate so issued shall, as against the Company, be prima facie evidence of title of the person named in that certificate to the shares comprised in it.</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may be given to a member in accordance with the provisions of these articles on notices and the Statutes.</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for and replacement of certificates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to the contrary in these articles, no fee shall be charged for the issue of a share certificate.</w:t>
      </w:r>
    </w:p>
    <w:p>
      <w:pPr>
        <w:spacing w:after="0" w:line="130"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issued.</w:t>
      </w:r>
    </w:p>
    <w:p>
      <w:pPr>
        <w:spacing w:after="0" w:line="67" w:lineRule="exact"/>
        <w:rPr>
          <w:rFonts w:ascii="Times New Roman" w:cs="Times New Roman" w:eastAsia="Times New Roman" w:hAnsi="Times New Roman"/>
          <w:sz w:val="18"/>
          <w:szCs w:val="18"/>
          <w:color w:val="auto"/>
        </w:rPr>
      </w:pPr>
    </w:p>
    <w:p>
      <w:pPr>
        <w:ind w:left="1860" w:right="280" w:hanging="543"/>
        <w:spacing w:after="0" w:line="266" w:lineRule="auto"/>
        <w:tabs>
          <w:tab w:leader="none" w:pos="186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member surrenders for cancellation a certificate representing shares held by that member and requests the Company to issue two or more certificates representing those shares in such proportions as that member may specify, the Board may, if it thinks fit, comply with the request on payment of such fee (if any) as the Board may decide.</w:t>
      </w:r>
    </w:p>
    <w:p>
      <w:pPr>
        <w:spacing w:after="0" w:line="81" w:lineRule="exact"/>
        <w:rPr>
          <w:rFonts w:ascii="Times New Roman" w:cs="Times New Roman" w:eastAsia="Times New Roman" w:hAnsi="Times New Roman"/>
          <w:sz w:val="18"/>
          <w:szCs w:val="18"/>
          <w:color w:val="auto"/>
        </w:rPr>
      </w:pPr>
    </w:p>
    <w:p>
      <w:pPr>
        <w:ind w:left="1860" w:right="120" w:hanging="543"/>
        <w:spacing w:after="0" w:line="261" w:lineRule="auto"/>
        <w:tabs>
          <w:tab w:leader="none" w:pos="186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is damaged or defaced or alleged to have been lost, stolen or destroyed, a new certificate representing the same shares may be issued on compliance with such conditions as to evidence, indemnity and security for such indemnity as the Board may think fit and on payment of any exceptional expenses of the Company incidental to its investigation of the evidence and preparation of the indemnity and security and, if damaged or defaced, on delivery up of the old certificate.</w:t>
      </w:r>
    </w:p>
    <w:p>
      <w:pPr>
        <w:spacing w:after="0" w:line="85"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a share a request for a new certificate under any of the preceding paragraphs of this article may be made by any one of the joint holders unless the certificate is alleged to have been lost, stolen or destroyed.</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LIEN ON SHARES</w:t>
      </w:r>
    </w:p>
    <w:p>
      <w:pPr>
        <w:spacing w:after="0" w:line="252" w:lineRule="exact"/>
        <w:rPr>
          <w:sz w:val="20"/>
          <w:szCs w:val="20"/>
          <w:color w:val="auto"/>
        </w:rPr>
      </w:pPr>
    </w:p>
    <w:p>
      <w:pPr>
        <w:ind w:left="660" w:hanging="544"/>
        <w:spacing w:after="0"/>
        <w:tabs>
          <w:tab w:leader="none" w:pos="660" w:val="left"/>
        </w:tabs>
        <w:numPr>
          <w:ilvl w:val="0"/>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partly paid shares</w:t>
      </w:r>
    </w:p>
    <w:p>
      <w:pPr>
        <w:spacing w:after="0" w:line="134" w:lineRule="exact"/>
        <w:rPr>
          <w:rFonts w:ascii="Times New Roman" w:cs="Times New Roman" w:eastAsia="Times New Roman" w:hAnsi="Times New Roman"/>
          <w:sz w:val="18"/>
          <w:szCs w:val="18"/>
          <w:b w:val="1"/>
          <w:bCs w:val="1"/>
          <w:color w:val="auto"/>
        </w:rPr>
      </w:pPr>
    </w:p>
    <w:p>
      <w:pPr>
        <w:ind w:left="1860" w:right="640" w:hanging="543"/>
        <w:spacing w:after="0" w:line="312" w:lineRule="auto"/>
        <w:tabs>
          <w:tab w:leader="none" w:pos="1860" w:val="left"/>
        </w:tabs>
        <w:numPr>
          <w:ilvl w:val="1"/>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a first and paramount lien on every share (not being a fully paid share) for all amounts payable (whether or not due) in respect of that share. The lien shall extend to every amount payable in respect of that share.</w:t>
      </w:r>
    </w:p>
    <w:p>
      <w:pPr>
        <w:spacing w:after="0" w:line="45" w:lineRule="exact"/>
        <w:rPr>
          <w:rFonts w:ascii="Times New Roman" w:cs="Times New Roman" w:eastAsia="Times New Roman" w:hAnsi="Times New Roman"/>
          <w:sz w:val="17"/>
          <w:szCs w:val="17"/>
          <w:color w:val="auto"/>
        </w:rPr>
      </w:pPr>
    </w:p>
    <w:p>
      <w:pPr>
        <w:ind w:left="1860" w:right="120" w:hanging="543"/>
        <w:spacing w:after="0" w:line="266" w:lineRule="auto"/>
        <w:tabs>
          <w:tab w:leader="none" w:pos="1860"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either generally or in any particular case declare any share to be wholly or partly exempt from this article. Unless otherwise agreed, the registration of a transfer of a share shall operate as a waiver of the Company’s lien (if any) on that share.</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of lien</w:t>
      </w:r>
    </w:p>
    <w:p>
      <w:pPr>
        <w:spacing w:after="0" w:line="134" w:lineRule="exact"/>
        <w:rPr>
          <w:rFonts w:ascii="Times New Roman" w:cs="Times New Roman" w:eastAsia="Times New Roman" w:hAnsi="Times New Roman"/>
          <w:sz w:val="18"/>
          <w:szCs w:val="18"/>
          <w:b w:val="1"/>
          <w:bCs w:val="1"/>
          <w:color w:val="auto"/>
        </w:rPr>
      </w:pPr>
    </w:p>
    <w:p>
      <w:pPr>
        <w:jc w:val="both"/>
        <w:ind w:left="1860" w:right="100" w:hanging="543"/>
        <w:spacing w:after="0" w:line="266" w:lineRule="auto"/>
        <w:tabs>
          <w:tab w:leader="none" w:pos="1860"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any share subject to a lien in such manner as the Board may decide if an amount payable on the share is due and is not paid within 14 clear days after a notice has been given to the holder or any person entitled by transmission to the share demanding payment of that amount and giving notice of intention to sell in default.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B-38</w:t>
      </w:r>
    </w:p>
    <w:p>
      <w:pPr>
        <w:sectPr>
          <w:pgSz w:w="11900" w:h="16838" w:orient="portrait"/>
          <w:cols w:equalWidth="0" w:num="1">
            <w:col w:w="11140"/>
          </w:cols>
          <w:pgMar w:left="320" w:top="455" w:right="43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80" w:hanging="543"/>
        <w:spacing w:after="0" w:line="266" w:lineRule="auto"/>
        <w:tabs>
          <w:tab w:leader="none" w:pos="186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sale under this article, the Board may authorise some person to transfer the share sold to, or as directed by, the purchaser. The purchaser shall not be bound to see to the application of the purchase money nor shall the title of the new holder to the share be affected by any irregularity in or invalidity of the proceedings relating to the sale.</w:t>
      </w:r>
    </w:p>
    <w:p>
      <w:pPr>
        <w:spacing w:after="0" w:line="81" w:lineRule="exact"/>
        <w:rPr>
          <w:rFonts w:ascii="Times New Roman" w:cs="Times New Roman" w:eastAsia="Times New Roman" w:hAnsi="Times New Roman"/>
          <w:sz w:val="18"/>
          <w:szCs w:val="18"/>
          <w:color w:val="auto"/>
        </w:rPr>
      </w:pPr>
    </w:p>
    <w:p>
      <w:pPr>
        <w:jc w:val="both"/>
        <w:ind w:left="1860" w:right="280" w:hanging="543"/>
        <w:spacing w:after="0" w:line="261" w:lineRule="auto"/>
        <w:tabs>
          <w:tab w:leader="none" w:pos="186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after payment of the costs of such sale, shall be applied in or towards satisfaction of the amount due and any residue shall (subject to a like lien for any amounts not presently due as existed on the share before the sale), on surrender, in the case of shares held in certificated form, of the certificate for the shares sold, be paid to the holder or person entitled by transmission to the share immediately before the sale.</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52" w:lineRule="exact"/>
        <w:rPr>
          <w:sz w:val="20"/>
          <w:szCs w:val="20"/>
          <w:color w:val="auto"/>
        </w:rPr>
      </w:pPr>
    </w:p>
    <w:p>
      <w:pPr>
        <w:ind w:left="660" w:hanging="544"/>
        <w:spacing w:after="0"/>
        <w:tabs>
          <w:tab w:leader="none" w:pos="660"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w:t>
      </w:r>
    </w:p>
    <w:p>
      <w:pPr>
        <w:spacing w:after="0" w:line="135" w:lineRule="exact"/>
        <w:rPr>
          <w:sz w:val="20"/>
          <w:szCs w:val="20"/>
          <w:color w:val="auto"/>
        </w:rPr>
      </w:pPr>
    </w:p>
    <w:p>
      <w:pPr>
        <w:ind w:left="1860" w:right="20" w:hanging="543"/>
        <w:spacing w:after="0" w:line="258" w:lineRule="auto"/>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these articles and the terms of which the shares are allotted, the Board may make calls on the members in respect of any moneys unpaid on their shares (whether in respect of nominal amount or premium) and not payable on a date fixed by or in accordance with the terms of issue. Each member shall (subject to receiving at least 14 clear days’ notice specifying when and where payment is to be made) pay to the Company as required by the notice the amount called on the member’s shares. A call may be revoked or postponed as the Board may decide.</w:t>
      </w:r>
    </w:p>
    <w:p>
      <w:pPr>
        <w:spacing w:after="0" w:line="88"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call may be made payable in one sum or by instalments and shall be deemed to be made at the time when the resolution of the Board authorising that call is passed.</w:t>
      </w:r>
    </w:p>
    <w:p>
      <w:pPr>
        <w:spacing w:after="0" w:line="67" w:lineRule="exact"/>
        <w:rPr>
          <w:rFonts w:ascii="Times New Roman" w:cs="Times New Roman" w:eastAsia="Times New Roman" w:hAnsi="Times New Roman"/>
          <w:sz w:val="18"/>
          <w:szCs w:val="18"/>
          <w:color w:val="auto"/>
        </w:rPr>
      </w:pPr>
    </w:p>
    <w:p>
      <w:pPr>
        <w:ind w:left="1860" w:right="360" w:hanging="543"/>
        <w:spacing w:after="0" w:line="282" w:lineRule="auto"/>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on whom a call is made shall remain liable for it notwithstanding the subsequent transfer of the share in respect of which the call is made.</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for the payment of all calls in respect of that share.</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on calls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call is not paid before or on the due date for payment, the person from whom it is due shall pay interest on the amount unpaid, from the due date for payment to the date of actual payment, at such rate as the Board may decide, but the Board may waive payment of the interest, wholly or in part.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Sums treated as calls</w:t>
      </w:r>
    </w:p>
    <w:p>
      <w:pPr>
        <w:spacing w:after="0" w:line="121" w:lineRule="exact"/>
        <w:rPr>
          <w:rFonts w:ascii="Times New Roman" w:cs="Times New Roman" w:eastAsia="Times New Roman" w:hAnsi="Times New Roman"/>
          <w:sz w:val="18"/>
          <w:szCs w:val="18"/>
          <w:b w:val="1"/>
          <w:bCs w:val="1"/>
          <w:color w:val="auto"/>
        </w:rPr>
      </w:pPr>
    </w:p>
    <w:p>
      <w:pPr>
        <w:jc w:val="both"/>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 which by the terms of allotment of a share is payable on allotment, or at a fixed time, or by instalments at fixed times, whether in respect of nominal value or premium, shall for all purposes of these articles be deemed to be a call duly made and payable on the date or dates fixed for payment and, in case of non-payment, these articles shall apply as if that sum had become due and payable by virtue of a call.</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differentiate</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any allotment of shares the Board may make arrangements for a difference between the allottees or holders of the shares in the amounts and times of payment of calls on their shares.</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calls in advance</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if it thinks fit, receive all or any part of the moneys payable on a share beyond the sum actually called up on it if the holder is willing to make payment in advance and, on any moneys so paid in advance, may (until they would otherwise be due) pay interest at such rate as may be agreed between the Board and the member paying the sum in advance.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B-39</w:t>
      </w:r>
    </w:p>
    <w:p>
      <w:pPr>
        <w:sectPr>
          <w:pgSz w:w="11900" w:h="16838" w:orient="portrait"/>
          <w:cols w:equalWidth="0" w:num="1">
            <w:col w:w="11120"/>
          </w:cols>
          <w:pgMar w:left="320" w:top="455" w:right="45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52" w:lineRule="exact"/>
        <w:rPr>
          <w:sz w:val="20"/>
          <w:szCs w:val="20"/>
          <w:color w:val="auto"/>
        </w:rPr>
      </w:pPr>
    </w:p>
    <w:p>
      <w:pPr>
        <w:ind w:left="660" w:hanging="544"/>
        <w:spacing w:after="0"/>
        <w:tabs>
          <w:tab w:leader="none" w:pos="660"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unpaid calls</w:t>
      </w:r>
    </w:p>
    <w:p>
      <w:pPr>
        <w:spacing w:after="0" w:line="134" w:lineRule="exact"/>
        <w:rPr>
          <w:rFonts w:ascii="Times New Roman" w:cs="Times New Roman" w:eastAsia="Times New Roman" w:hAnsi="Times New Roman"/>
          <w:sz w:val="18"/>
          <w:szCs w:val="18"/>
          <w:b w:val="1"/>
          <w:bCs w:val="1"/>
          <w:color w:val="auto"/>
        </w:rPr>
      </w:pPr>
    </w:p>
    <w:p>
      <w:pPr>
        <w:jc w:val="both"/>
        <w:ind w:left="1860" w:right="320" w:hanging="543"/>
        <w:spacing w:after="0" w:line="266" w:lineRule="auto"/>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whole or any part of any call or instalment remains unpaid on any share after the due date for payment, the Board may give a notice to the holder requiring the holder to pay so much of the call or instalment as remains unpaid, together with any accrued interest.</w:t>
      </w:r>
    </w:p>
    <w:p>
      <w:pPr>
        <w:spacing w:after="0" w:line="81" w:lineRule="exact"/>
        <w:rPr>
          <w:rFonts w:ascii="Times New Roman" w:cs="Times New Roman" w:eastAsia="Times New Roman" w:hAnsi="Times New Roman"/>
          <w:sz w:val="18"/>
          <w:szCs w:val="18"/>
          <w:color w:val="auto"/>
        </w:rPr>
      </w:pPr>
    </w:p>
    <w:p>
      <w:pPr>
        <w:ind w:left="1860" w:right="340" w:hanging="543"/>
        <w:spacing w:after="0" w:line="266" w:lineRule="auto"/>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state a further day, being not less than 14 clear days from the date of the notice, on or before which, and the place where, payment is to be made and shall state that, in the event of non-payment on or before the day and at the place appointed, the share in respect of which the call was made or instalment is payable will be liable to be forfeited.</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a surrender of any share liable to be forfeited.</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on non-compliance with notice</w:t>
      </w:r>
    </w:p>
    <w:p>
      <w:pPr>
        <w:spacing w:after="0" w:line="134" w:lineRule="exact"/>
        <w:rPr>
          <w:rFonts w:ascii="Times New Roman" w:cs="Times New Roman" w:eastAsia="Times New Roman" w:hAnsi="Times New Roman"/>
          <w:sz w:val="18"/>
          <w:szCs w:val="18"/>
          <w:b w:val="1"/>
          <w:bCs w:val="1"/>
          <w:color w:val="auto"/>
        </w:rPr>
      </w:pPr>
    </w:p>
    <w:p>
      <w:pPr>
        <w:ind w:left="1860" w:right="100" w:hanging="543"/>
        <w:spacing w:after="0" w:line="261" w:lineRule="auto"/>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 notice given under article 112 are not complied with, any share in respect of which it was given may at any time thereafter (before the payment required by the notice is made) be forfeited by a resolution of the Board. The forfeiture shall include all dividends declared and other moneys payable in respect of the forfeited share and not actually paid before the forfeiture.</w:t>
      </w:r>
    </w:p>
    <w:p>
      <w:pPr>
        <w:spacing w:after="0" w:line="85" w:lineRule="exact"/>
        <w:rPr>
          <w:rFonts w:ascii="Times New Roman" w:cs="Times New Roman" w:eastAsia="Times New Roman" w:hAnsi="Times New Roman"/>
          <w:sz w:val="18"/>
          <w:szCs w:val="18"/>
          <w:color w:val="auto"/>
        </w:rPr>
      </w:pPr>
    </w:p>
    <w:p>
      <w:pPr>
        <w:ind w:left="1860" w:hanging="543"/>
        <w:spacing w:after="0" w:line="289" w:lineRule="auto"/>
        <w:tabs>
          <w:tab w:leader="none" w:pos="1860" w:val="left"/>
        </w:tabs>
        <w:numPr>
          <w:ilvl w:val="1"/>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share is forfeited, notice of the forfeiture shall be given to the person who was the holder of the share or (as the case may be) the person entitled to the share by transmission, and an entry that notice of the forfeiture has been given, with the relevant date, shall be made in the register; but no forfeiture shall be invalidated by any omission to give such notice or to make such entry.</w:t>
      </w:r>
    </w:p>
    <w:p>
      <w:pPr>
        <w:spacing w:after="0" w:line="302" w:lineRule="exact"/>
        <w:rPr>
          <w:rFonts w:ascii="Times New Roman" w:cs="Times New Roman" w:eastAsia="Times New Roman" w:hAnsi="Times New Roman"/>
          <w:sz w:val="17"/>
          <w:szCs w:val="17"/>
          <w:color w:val="auto"/>
        </w:rPr>
      </w:pPr>
    </w:p>
    <w:p>
      <w:pPr>
        <w:ind w:left="660" w:hanging="544"/>
        <w:spacing w:after="0"/>
        <w:tabs>
          <w:tab w:leader="none" w:pos="660"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annul forfeiture or surrender</w:t>
      </w:r>
    </w:p>
    <w:p>
      <w:pPr>
        <w:spacing w:after="0" w:line="121" w:lineRule="exact"/>
        <w:rPr>
          <w:rFonts w:ascii="Times New Roman" w:cs="Times New Roman" w:eastAsia="Times New Roman" w:hAnsi="Times New Roman"/>
          <w:sz w:val="18"/>
          <w:szCs w:val="18"/>
          <w:b w:val="1"/>
          <w:bCs w:val="1"/>
          <w:color w:val="auto"/>
        </w:rPr>
      </w:pPr>
    </w:p>
    <w:p>
      <w:pPr>
        <w:jc w:val="both"/>
        <w:ind w:left="660" w:right="16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Board may, at any time before the forfeited or surrendered share has been sold, re-allotted or otherwise disposed of, annul the forfeiture or surrender upon payment of all calls and interest due on or incurred in respect of the share and on such further conditions (if any) as it thinks fit.</w:t>
      </w:r>
    </w:p>
    <w:p>
      <w:pPr>
        <w:spacing w:after="0" w:line="28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forfeited or surrendered shares</w:t>
      </w:r>
    </w:p>
    <w:p>
      <w:pPr>
        <w:spacing w:after="0" w:line="134" w:lineRule="exact"/>
        <w:rPr>
          <w:rFonts w:ascii="Times New Roman" w:cs="Times New Roman" w:eastAsia="Times New Roman" w:hAnsi="Times New Roman"/>
          <w:sz w:val="18"/>
          <w:szCs w:val="18"/>
          <w:b w:val="1"/>
          <w:bCs w:val="1"/>
          <w:color w:val="auto"/>
        </w:rPr>
      </w:pPr>
    </w:p>
    <w:p>
      <w:pPr>
        <w:ind w:left="1860" w:right="260" w:hanging="543"/>
        <w:spacing w:after="0" w:line="256" w:lineRule="auto"/>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which is forfeited or surrendered shall become the property of the Company and (subject to the Statutes) may be sold, re-allotted or otherwise disposed of, upon such terms and in such manner as the Board shall decide either to the person who was before the forfeiture the holder of the share or to any other person and whether with or without all or any part of the amount previously paid up on the share being credited as so paid up. The Board may for the purposes of a disposal authorise some person to transfer the forfeited or surrendered share to, or in accordance with the directions of, any person to whom the same has been disposed of.</w:t>
      </w:r>
    </w:p>
    <w:p>
      <w:pPr>
        <w:spacing w:after="0" w:line="92" w:lineRule="exact"/>
        <w:rPr>
          <w:rFonts w:ascii="Times New Roman" w:cs="Times New Roman" w:eastAsia="Times New Roman" w:hAnsi="Times New Roman"/>
          <w:sz w:val="18"/>
          <w:szCs w:val="18"/>
          <w:color w:val="auto"/>
        </w:rPr>
      </w:pPr>
    </w:p>
    <w:p>
      <w:pPr>
        <w:ind w:left="1860" w:hanging="543"/>
        <w:spacing w:after="0" w:line="256" w:lineRule="auto"/>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by a director or the secretary that a share has been forfeited or surrendered on a specified date shall, as against all persons claiming to be entitled to the share, be conclusive evidence of the facts stated in it and shall (subject to the execution of any necessary transfer) constitute a good title to the share. The person to whom the share has been disposed of shall not be bound to see to the application of the consideration for the disposal (if any) nor shall that person’s title to the share be affected by any irregularity in or invalidity of the proceedings connected with the forfeiture, surrender, sale, re-allotment or disposal of the share.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B-40</w:t>
      </w:r>
    </w:p>
    <w:p>
      <w:pPr>
        <w:sectPr>
          <w:pgSz w:w="11900" w:h="16838" w:orient="portrait"/>
          <w:cols w:equalWidth="0" w:num="1">
            <w:col w:w="11120"/>
          </w:cols>
          <w:pgMar w:left="320" w:top="455" w:right="45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Arrears to be paid notwithstanding forfeiture or surrender</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any of whose shares have been forfeited or surrendered shall cease to be a member in respect of the forfeited or surrendered share and shall, in the case of shares held in certificated form, surrender to the Company for cancellation any certificate for the share forfeited or surrendered, but shall remain liable (unless payment is waived in whole or in part by the Board) to pay to the Company all moneys payable by that person on or in respect of that share at the time of forfeiture or surrender, together with interest from the time of forfeiture or surrender until payment at such rate as the Board shall decide, in the same manner as if the share had not been forfeited or surrendered. The Board may waive payment of interest wholly or in part and may enforce payment, without any reduction or allowance for the value of the shares at the time of forfeiture or for any consideration received on their disposal. Such a person shall also be liable to satisfy all the claims and demands (if any) which the Company might have enforced in respect of the share at the time of forfeiture or surrender. No deduction or allowance shall be made for the value of the share at the time of forfeiture or surrender or for any consideration received on its disposal.</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52" w:lineRule="exact"/>
        <w:rPr>
          <w:sz w:val="20"/>
          <w:szCs w:val="20"/>
          <w:color w:val="auto"/>
        </w:rPr>
      </w:pPr>
    </w:p>
    <w:p>
      <w:pPr>
        <w:ind w:left="660" w:hanging="544"/>
        <w:spacing w:after="0"/>
        <w:tabs>
          <w:tab w:leader="none" w:pos="660"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135" w:lineRule="exact"/>
        <w:rPr>
          <w:sz w:val="20"/>
          <w:szCs w:val="20"/>
          <w:color w:val="auto"/>
        </w:rPr>
      </w:pPr>
    </w:p>
    <w:p>
      <w:pPr>
        <w:ind w:left="1860" w:right="100" w:hanging="543"/>
        <w:spacing w:after="0" w:line="282" w:lineRule="auto"/>
        <w:tabs>
          <w:tab w:leader="none" w:pos="186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powers conferred by the Statutes with regard to having official seals and those powers shall be vested in the Board.</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provide for the safe custody of every seal of the Company.</w:t>
      </w:r>
    </w:p>
    <w:p>
      <w:pPr>
        <w:spacing w:after="0" w:line="130"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seal shall be used only by the authority of the Board or a duly authorised committee but that authority may consist of an instruction or approval given in hard copy form or in electronic form by a majority of the directors or of the members of a duly authorised committee.</w:t>
      </w:r>
    </w:p>
    <w:p>
      <w:pPr>
        <w:spacing w:after="0" w:line="81" w:lineRule="exact"/>
        <w:rPr>
          <w:rFonts w:ascii="Times New Roman" w:cs="Times New Roman" w:eastAsia="Times New Roman" w:hAnsi="Times New Roman"/>
          <w:sz w:val="18"/>
          <w:szCs w:val="18"/>
          <w:color w:val="auto"/>
        </w:rPr>
      </w:pPr>
    </w:p>
    <w:p>
      <w:pPr>
        <w:jc w:val="both"/>
        <w:ind w:left="1860" w:hanging="543"/>
        <w:spacing w:after="0" w:line="266" w:lineRule="auto"/>
        <w:tabs>
          <w:tab w:leader="none" w:pos="186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who shall sign any instrument to which a seal is applied, either generally or in relation to a particular instrument or type of instrument, and may also determine, either generally or in any particular case, that such signatures shall be dispensed with or affixed by some mechanical means.</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decided by the Board: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shares, debentures or other securities of the Company issued under seal need not be signed; and</w:t>
      </w:r>
    </w:p>
    <w:p>
      <w:pPr>
        <w:spacing w:after="0" w:line="130" w:lineRule="exact"/>
        <w:rPr>
          <w:rFonts w:ascii="Times New Roman" w:cs="Times New Roman" w:eastAsia="Times New Roman" w:hAnsi="Times New Roman"/>
          <w:sz w:val="18"/>
          <w:szCs w:val="18"/>
          <w:color w:val="auto"/>
        </w:rPr>
      </w:pPr>
    </w:p>
    <w:p>
      <w:pPr>
        <w:ind w:left="2520" w:right="40" w:hanging="649"/>
        <w:spacing w:after="0" w:line="282" w:lineRule="auto"/>
        <w:tabs>
          <w:tab w:leader="none" w:pos="252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instrument to which a seal is applied shall be signed by at least one director and the secretary or by at least two directors or by one director in the presence of a witness who attests the signature.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2" w:lineRule="exact"/>
        <w:rPr>
          <w:sz w:val="20"/>
          <w:szCs w:val="20"/>
          <w:color w:val="auto"/>
        </w:rPr>
      </w:pPr>
    </w:p>
    <w:p>
      <w:pPr>
        <w:ind w:left="660" w:hanging="544"/>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 of dividends by the Company</w:t>
      </w:r>
    </w:p>
    <w:p>
      <w:pPr>
        <w:spacing w:after="0" w:line="121" w:lineRule="exact"/>
        <w:rPr>
          <w:rFonts w:ascii="Times New Roman" w:cs="Times New Roman" w:eastAsia="Times New Roman" w:hAnsi="Times New Roman"/>
          <w:sz w:val="18"/>
          <w:szCs w:val="18"/>
          <w:b w:val="1"/>
          <w:bCs w:val="1"/>
          <w:color w:val="auto"/>
        </w:rPr>
      </w:pPr>
    </w:p>
    <w:p>
      <w:pPr>
        <w:jc w:val="both"/>
        <w:ind w:left="660" w:right="4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Subject to the provisions of the 2006 Act, the Company may, by ordinary resolution, declare a dividend to be paid to the members, according to their respective rights, and may fix the time for payment of such dividend, but no dividend shall exceed the amount recommended by the Board.</w:t>
      </w:r>
    </w:p>
    <w:p>
      <w:pPr>
        <w:spacing w:after="0" w:line="28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and interim dividends</w:t>
      </w:r>
    </w:p>
    <w:p>
      <w:pPr>
        <w:spacing w:after="0" w:line="121" w:lineRule="exact"/>
        <w:rPr>
          <w:rFonts w:ascii="Times New Roman" w:cs="Times New Roman" w:eastAsia="Times New Roman" w:hAnsi="Times New Roman"/>
          <w:sz w:val="18"/>
          <w:szCs w:val="18"/>
          <w:b w:val="1"/>
          <w:bCs w:val="1"/>
          <w:color w:val="auto"/>
        </w:rPr>
      </w:pPr>
    </w:p>
    <w:p>
      <w:pPr>
        <w:ind w:left="6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2006 Act, the Board may pay interim dividends and may also pay any dividend payable at a fixed rate at intervals settled by the Board whenever the financial position of the Company, in the opinion of the Board, justifies its payment. If the Board acts in good faith, none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B-41</w:t>
      </w:r>
    </w:p>
    <w:p>
      <w:pPr>
        <w:sectPr>
          <w:pgSz w:w="11900" w:h="16838" w:orient="portrait"/>
          <w:cols w:equalWidth="0" w:num="1">
            <w:col w:w="11080"/>
          </w:cols>
          <w:pgMar w:left="320" w:top="455" w:right="49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directors shall incur any liability to the holders of shares conferring preferred rights for any loss such holders may suffer in consequence of the payment of an interim dividend on any shares having non-preferred or deferred rights.</w:t>
      </w:r>
    </w:p>
    <w:p>
      <w:pPr>
        <w:spacing w:after="0" w:line="306" w:lineRule="exact"/>
        <w:rPr>
          <w:sz w:val="20"/>
          <w:szCs w:val="20"/>
          <w:color w:val="auto"/>
        </w:rPr>
      </w:pPr>
    </w:p>
    <w:p>
      <w:pPr>
        <w:ind w:left="660" w:hanging="544"/>
        <w:spacing w:after="0"/>
        <w:tabs>
          <w:tab w:leader="none" w:pos="660"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and currency of dividends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insofar as the rights attaching to, or the terms of issue of, any share otherwise provide:</w:t>
      </w:r>
    </w:p>
    <w:p>
      <w:pPr>
        <w:spacing w:after="0" w:line="130" w:lineRule="exact"/>
        <w:rPr>
          <w:rFonts w:ascii="Times New Roman" w:cs="Times New Roman" w:eastAsia="Times New Roman" w:hAnsi="Times New Roman"/>
          <w:sz w:val="18"/>
          <w:szCs w:val="18"/>
          <w:color w:val="auto"/>
        </w:rPr>
      </w:pPr>
    </w:p>
    <w:p>
      <w:pPr>
        <w:ind w:left="2520" w:right="40" w:hanging="649"/>
        <w:spacing w:after="0" w:line="266" w:lineRule="auto"/>
        <w:tabs>
          <w:tab w:leader="none" w:pos="2520" w:val="left"/>
        </w:tabs>
        <w:numPr>
          <w:ilvl w:val="2"/>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shall be declared and paid according to the amounts paid up on the shares in respect of which the dividend is paid, but no amount paid up on a share in advance of calls shall be treated for the purposes of this article as paid up on the share;</w:t>
      </w:r>
    </w:p>
    <w:p>
      <w:pPr>
        <w:spacing w:after="0" w:line="79" w:lineRule="exact"/>
        <w:rPr>
          <w:rFonts w:ascii="Times New Roman" w:cs="Times New Roman" w:eastAsia="Times New Roman" w:hAnsi="Times New Roman"/>
          <w:sz w:val="18"/>
          <w:szCs w:val="18"/>
          <w:color w:val="auto"/>
        </w:rPr>
      </w:pPr>
    </w:p>
    <w:p>
      <w:pPr>
        <w:ind w:left="2520" w:right="60" w:hanging="649"/>
        <w:spacing w:after="0" w:line="284" w:lineRule="auto"/>
        <w:tabs>
          <w:tab w:leader="none" w:pos="2520" w:val="left"/>
        </w:tabs>
        <w:numPr>
          <w:ilvl w:val="2"/>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dividends shall be apportioned and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amounts paid up on the shares during any portion or portions of the period in respect of which the dividend is paid; and</w:t>
      </w:r>
    </w:p>
    <w:p>
      <w:pPr>
        <w:spacing w:after="0" w:line="6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or paid in any currency.</w:t>
      </w:r>
    </w:p>
    <w:p>
      <w:pPr>
        <w:spacing w:after="0" w:line="130"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agree with any member that dividends which may at any time or from time to time be declared or become due on that member’s shares in one currency shall be paid or satisfied in another and may agree the basis of conversion to be applied and how and when the amount to be paid in the other currency shall be calculated and paid and for the Company or any other person to bear any costs involved.</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p>
    <w:p>
      <w:pPr>
        <w:spacing w:after="0" w:line="134" w:lineRule="exact"/>
        <w:rPr>
          <w:rFonts w:ascii="Times New Roman" w:cs="Times New Roman" w:eastAsia="Times New Roman" w:hAnsi="Times New Roman"/>
          <w:sz w:val="18"/>
          <w:szCs w:val="18"/>
          <w:b w:val="1"/>
          <w:bCs w:val="1"/>
          <w:color w:val="auto"/>
        </w:rPr>
      </w:pPr>
    </w:p>
    <w:p>
      <w:pPr>
        <w:ind w:left="1860" w:right="160" w:hanging="543"/>
        <w:spacing w:after="0" w:line="261" w:lineRule="auto"/>
        <w:tabs>
          <w:tab w:leader="none" w:pos="186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pay any dividend or other sum payable in respect of a share by such method as the Board may decide. The Board may decide to use different methods of payment for different holders or groups of holders. Without limiting any other method of payment which the Board may decide upon, the Board may decide that payment can be made, wholly or partly and exclusively or optionally:</w:t>
      </w:r>
    </w:p>
    <w:p>
      <w:pPr>
        <w:spacing w:after="0" w:line="85"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2"/>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dividend warrant payable to the holder (or, in the case of joint holders, the holder whose name stands first in the register in respect of the relevant share) or to such other person as the holder (or, in the case of joint holders, all the joint holders) may notify to the Company for the purpose; or</w:t>
      </w:r>
    </w:p>
    <w:p>
      <w:pPr>
        <w:spacing w:after="0" w:line="81" w:lineRule="exact"/>
        <w:rPr>
          <w:rFonts w:ascii="Times New Roman" w:cs="Times New Roman" w:eastAsia="Times New Roman" w:hAnsi="Times New Roman"/>
          <w:sz w:val="18"/>
          <w:szCs w:val="18"/>
          <w:color w:val="auto"/>
        </w:rPr>
      </w:pPr>
    </w:p>
    <w:p>
      <w:pPr>
        <w:jc w:val="both"/>
        <w:ind w:left="2520" w:right="100" w:hanging="649"/>
        <w:spacing w:after="0" w:line="266" w:lineRule="auto"/>
        <w:tabs>
          <w:tab w:leader="none" w:pos="2520" w:val="left"/>
        </w:tabs>
        <w:numPr>
          <w:ilvl w:val="2"/>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bank or other funds transfer system or by such other electronic means as the Board may decide (including, in the case of an uncertificated share, a relevant system) to such account as the holder (or, in the case of joint holders, all the joint holders) may notify to the Company for the purpose; or</w:t>
      </w:r>
    </w:p>
    <w:p>
      <w:pPr>
        <w:spacing w:after="0" w:line="81" w:lineRule="exact"/>
        <w:rPr>
          <w:rFonts w:ascii="Times New Roman" w:cs="Times New Roman" w:eastAsia="Times New Roman" w:hAnsi="Times New Roman"/>
          <w:sz w:val="18"/>
          <w:szCs w:val="18"/>
          <w:color w:val="auto"/>
        </w:rPr>
      </w:pPr>
    </w:p>
    <w:p>
      <w:pPr>
        <w:ind w:left="2520" w:right="400" w:hanging="649"/>
        <w:spacing w:after="0" w:line="282" w:lineRule="auto"/>
        <w:tabs>
          <w:tab w:leader="none" w:pos="2520" w:val="left"/>
        </w:tabs>
        <w:numPr>
          <w:ilvl w:val="2"/>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other way as may be agreed between the Company and the holder (or, in the case of joint holders, all such holders).</w:t>
      </w:r>
    </w:p>
    <w:p>
      <w:pPr>
        <w:spacing w:after="0" w:line="67"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decides that any dividend or other sum payable in respect of a share will be made exclusively by one or more of the methods referred to in paragraph (a)(ii) above to an account, but no such account is nominated by the holder (or, in case of joint holders, all the joint holders) or if an attempted payment into a nominated account is rejected or refunded, the Company may treat that dividend or other sum payable as unclaimed.</w:t>
      </w:r>
    </w:p>
    <w:p>
      <w:pPr>
        <w:spacing w:after="0" w:line="85" w:lineRule="exact"/>
        <w:rPr>
          <w:rFonts w:ascii="Times New Roman" w:cs="Times New Roman" w:eastAsia="Times New Roman" w:hAnsi="Times New Roman"/>
          <w:sz w:val="18"/>
          <w:szCs w:val="18"/>
          <w:color w:val="auto"/>
        </w:rPr>
      </w:pPr>
    </w:p>
    <w:p>
      <w:pPr>
        <w:ind w:left="1860" w:right="20" w:hanging="543"/>
        <w:spacing w:after="0" w:line="289" w:lineRule="auto"/>
        <w:tabs>
          <w:tab w:leader="none" w:pos="1860" w:val="left"/>
        </w:tabs>
        <w:numPr>
          <w:ilvl w:val="1"/>
          <w:numId w:val="5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cheque or dividend warrant may be sent by post to the registered address of the holder (or, in the case of joint holders, to the registered address of that person whose name stands first in the register in respect of the relevant share) or to such other address as the holder (or, in the case of joint holders, all the joint holders) may notify to the Company for the purpose.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B-42</w:t>
      </w:r>
    </w:p>
    <w:p>
      <w:pPr>
        <w:sectPr>
          <w:pgSz w:w="11900" w:h="16838" w:orient="portrait"/>
          <w:cols w:equalWidth="0" w:num="1">
            <w:col w:w="11100"/>
          </w:cols>
          <w:pgMar w:left="320" w:top="455" w:right="47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60" w:hanging="543"/>
        <w:spacing w:after="0" w:line="261" w:lineRule="auto"/>
        <w:tabs>
          <w:tab w:leader="none" w:pos="186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cheque or warrant is sent, and payment in any other way is made, at the risk of the person or persons entitled to it and the Company will not be responsible for any sum lost or delayed when it has sent or transmitted the sum in accordance with these articles. Clearance of a cheque or warrant or transmission of funds through a bank or other funds transfer system or by such other electronic means as is permitted by these articles shall be a good discharge to the Company.</w:t>
      </w:r>
    </w:p>
    <w:p>
      <w:pPr>
        <w:spacing w:after="0" w:line="85"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holder or other person jointly entitled to any share may give an effective receipt for any dividend or other sum paid in respect of the share.</w:t>
      </w:r>
    </w:p>
    <w:p>
      <w:pPr>
        <w:spacing w:after="0" w:line="67" w:lineRule="exact"/>
        <w:rPr>
          <w:rFonts w:ascii="Times New Roman" w:cs="Times New Roman" w:eastAsia="Times New Roman" w:hAnsi="Times New Roman"/>
          <w:sz w:val="18"/>
          <w:szCs w:val="18"/>
          <w:color w:val="auto"/>
        </w:rPr>
      </w:pPr>
    </w:p>
    <w:p>
      <w:pPr>
        <w:ind w:left="1860" w:right="520" w:hanging="543"/>
        <w:spacing w:after="0" w:line="261" w:lineRule="auto"/>
        <w:tabs>
          <w:tab w:leader="none" w:pos="186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distribution or other sum payable in respect of any share may be paid to a person or persons entitled by transmission to that share as if that person or those persons were the holder or joint holders of that share and that person’s address (or the address of the first named of two or more persons jointly entitled) noted in the register were the registered address.</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not to bear interest</w:t>
      </w:r>
    </w:p>
    <w:p>
      <w:pPr>
        <w:spacing w:after="0" w:line="121"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dividend or other moneys payable by the Company on or in respect of any share shall bear interest as against the Company unless otherwise provided by the rights attached to the share.</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or debts may be deducted from dividends</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deduct from any dividend or other moneys payable to any person (either alone or jointly with another) on or in respect of a share all such sums as may be due from that person (either alone or jointly with another) to the Company on account of calls or otherwise in relation to shares of the Company.</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Unclaimed dividends etc.</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266" w:lineRule="auto"/>
        <w:tabs>
          <w:tab w:leader="none" w:pos="18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unclaimed dividends, interest or other sums payable may be invested or otherwise made use of by the Board for the benefit of the Company until claimed. All dividends and any other such monies unclaimed for a period of 10 years after having been declared shall be forfeited and cease to remain owing by the Company.</w:t>
      </w:r>
    </w:p>
    <w:p>
      <w:pPr>
        <w:spacing w:after="0" w:line="81"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exercises its power of sale in accordance with article 144, all dividends and other such monies payable on that share shall be forfeited and cease to remain owing by the Company.</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unclaimed dividend, interest or other sum payable by the Company on or in respect of any share into a separate account shall not constitute the Company a trustee in respect of it.</w:t>
      </w:r>
    </w:p>
    <w:p>
      <w:pPr>
        <w:spacing w:after="0" w:line="306" w:lineRule="exact"/>
        <w:rPr>
          <w:rFonts w:ascii="Times New Roman" w:cs="Times New Roman" w:eastAsia="Times New Roman" w:hAnsi="Times New Roman"/>
          <w:sz w:val="18"/>
          <w:szCs w:val="18"/>
          <w:color w:val="auto"/>
        </w:rPr>
      </w:pPr>
    </w:p>
    <w:p>
      <w:pPr>
        <w:ind w:left="660" w:right="8920" w:hanging="544"/>
        <w:spacing w:after="0" w:line="385" w:lineRule="auto"/>
        <w:tabs>
          <w:tab w:leader="none" w:pos="649"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Uncashed dividends </w:t>
      </w:r>
      <w:r>
        <w:rPr>
          <w:rFonts w:ascii="Times New Roman" w:cs="Times New Roman" w:eastAsia="Times New Roman" w:hAnsi="Times New Roman"/>
          <w:sz w:val="18"/>
          <w:szCs w:val="18"/>
          <w:color w:val="auto"/>
        </w:rPr>
        <w:t>If:</w:t>
      </w:r>
    </w:p>
    <w:p>
      <w:pPr>
        <w:spacing w:after="0" w:line="1" w:lineRule="exact"/>
        <w:rPr>
          <w:rFonts w:ascii="Times New Roman" w:cs="Times New Roman" w:eastAsia="Times New Roman" w:hAnsi="Times New Roman"/>
          <w:sz w:val="18"/>
          <w:szCs w:val="18"/>
          <w:b w:val="1"/>
          <w:bCs w:val="1"/>
          <w:color w:val="auto"/>
        </w:rPr>
      </w:pPr>
    </w:p>
    <w:p>
      <w:pPr>
        <w:ind w:left="2520" w:hanging="649"/>
        <w:spacing w:after="0" w:line="261" w:lineRule="auto"/>
        <w:tabs>
          <w:tab w:leader="none" w:pos="25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for a dividend or other sum payable in respect of a share sent by the Company to the person entitled to it in accordance with these articles is left uncashed or is returned to the Company or a payment has failed (including where the payment has been rejected or refunded) and, after reasonable enquiries, the Company is unable to establish any new address or, with respect to a payment to be made by a funds transfer system, a new account, for that person; or</w:t>
      </w:r>
    </w:p>
    <w:p>
      <w:pPr>
        <w:spacing w:after="0" w:line="85" w:lineRule="exact"/>
        <w:rPr>
          <w:rFonts w:ascii="Times New Roman" w:cs="Times New Roman" w:eastAsia="Times New Roman" w:hAnsi="Times New Roman"/>
          <w:sz w:val="18"/>
          <w:szCs w:val="18"/>
          <w:color w:val="auto"/>
        </w:rPr>
      </w:pPr>
    </w:p>
    <w:p>
      <w:pPr>
        <w:ind w:left="2520" w:right="60" w:hanging="649"/>
        <w:spacing w:after="0" w:line="282" w:lineRule="auto"/>
        <w:tabs>
          <w:tab w:leader="none" w:pos="25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 payment is left uncashed or returned to the Company or fails (including where the payment has been rejected or refunded) on two consecutive occasions,</w:t>
      </w:r>
    </w:p>
    <w:p>
      <w:pPr>
        <w:spacing w:after="0" w:line="54"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the Company shall not be obliged to send any dividends or other sums payable in respect of that share to that person until that person notifies the Company of an address or, where the payment is to be made by a funds transfer system, details of the account, to be used for the purpose.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B-43</w:t>
      </w:r>
    </w:p>
    <w:p>
      <w:pPr>
        <w:sectPr>
          <w:pgSz w:w="11900" w:h="16838" w:orient="portrait"/>
          <w:cols w:equalWidth="0" w:num="1">
            <w:col w:w="11120"/>
          </w:cols>
          <w:pgMar w:left="320" w:top="455" w:right="45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b w:val="1"/>
          <w:bCs w:val="1"/>
          <w:i w:val="1"/>
          <w:iCs w:val="1"/>
          <w:color w:val="auto"/>
        </w:rPr>
        <w:t>in specie</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6"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with the authority of an ordinary resolution of the Company and on the recommendation of the Board, direct that payment of any dividend may be satisfied wholly or in part by the distribution of specific assets (and in particular of paid up shares or debentures of any other company).</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difficulty arises with the distribution, the Board may settle the difficulty as it thinks fit and, in particular, may</w:t>
      </w:r>
    </w:p>
    <w:p>
      <w:pPr>
        <w:spacing w:after="0" w:line="27" w:lineRule="exact"/>
        <w:rPr>
          <w:rFonts w:ascii="Times New Roman" w:cs="Times New Roman" w:eastAsia="Times New Roman" w:hAnsi="Times New Roman"/>
          <w:sz w:val="18"/>
          <w:szCs w:val="18"/>
          <w:color w:val="auto"/>
        </w:rPr>
      </w:pPr>
    </w:p>
    <w:p>
      <w:pPr>
        <w:ind w:left="2080" w:hanging="223"/>
        <w:spacing w:after="0"/>
        <w:tabs>
          <w:tab w:leader="none" w:pos="2080" w:val="left"/>
        </w:tabs>
        <w:numPr>
          <w:ilvl w:val="2"/>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fractional certificates (or ignore fractions); (ii) fix the value for distribution of the specific assets or any part of them;</w:t>
      </w:r>
    </w:p>
    <w:p>
      <w:pPr>
        <w:spacing w:after="0" w:line="9" w:lineRule="exact"/>
        <w:rPr>
          <w:rFonts w:ascii="Times New Roman" w:cs="Times New Roman" w:eastAsia="Times New Roman" w:hAnsi="Times New Roman"/>
          <w:sz w:val="18"/>
          <w:szCs w:val="18"/>
          <w:color w:val="auto"/>
        </w:rPr>
      </w:pPr>
    </w:p>
    <w:p>
      <w:pPr>
        <w:ind w:left="1860" w:right="340" w:hanging="3"/>
        <w:spacing w:after="0" w:line="255" w:lineRule="auto"/>
        <w:tabs>
          <w:tab w:leader="none" w:pos="2175" w:val="left"/>
        </w:tabs>
        <w:numPr>
          <w:ilvl w:val="2"/>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cash payments be made to any members on the basis of the value so fixed in order to secure equality of distribution; or (iv) and vest any of the specific assets in trustees on such trusts for the persons entitled to the dividend as the Board may think fit.</w:t>
      </w:r>
    </w:p>
    <w:p>
      <w:pPr>
        <w:spacing w:after="0" w:line="3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Scrip dividends</w:t>
      </w:r>
    </w:p>
    <w:p>
      <w:pPr>
        <w:spacing w:after="0" w:line="134" w:lineRule="exact"/>
        <w:rPr>
          <w:rFonts w:ascii="Times New Roman" w:cs="Times New Roman" w:eastAsia="Times New Roman" w:hAnsi="Times New Roman"/>
          <w:sz w:val="18"/>
          <w:szCs w:val="18"/>
          <w:b w:val="1"/>
          <w:bCs w:val="1"/>
          <w:color w:val="auto"/>
        </w:rPr>
      </w:pPr>
    </w:p>
    <w:p>
      <w:pPr>
        <w:ind w:left="1860" w:right="120" w:hanging="543"/>
        <w:spacing w:after="0" w:line="289" w:lineRule="auto"/>
        <w:tabs>
          <w:tab w:leader="none" w:pos="1860" w:val="left"/>
        </w:tabs>
        <w:numPr>
          <w:ilvl w:val="1"/>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may, with the authority of an ordinary resolution of the Company, offer any holders of any particular class of shares the right to elect to receive further shares of that class, credited as fully paid, instead of cash in respect of all (or some part) of any dividend specified by the ordinary resolution (a </w:t>
      </w:r>
      <w:r>
        <w:rPr>
          <w:rFonts w:ascii="Times New Roman" w:cs="Times New Roman" w:eastAsia="Times New Roman" w:hAnsi="Times New Roman"/>
          <w:sz w:val="17"/>
          <w:szCs w:val="17"/>
          <w:b w:val="1"/>
          <w:bCs w:val="1"/>
          <w:color w:val="auto"/>
        </w:rPr>
        <w:t>scrip dividend</w:t>
      </w:r>
      <w:r>
        <w:rPr>
          <w:rFonts w:ascii="Times New Roman" w:cs="Times New Roman" w:eastAsia="Times New Roman" w:hAnsi="Times New Roman"/>
          <w:sz w:val="17"/>
          <w:szCs w:val="17"/>
          <w:color w:val="auto"/>
        </w:rPr>
        <w:t>) in accordance with the following provisions of this article.</w:t>
      </w:r>
    </w:p>
    <w:p>
      <w:pPr>
        <w:spacing w:after="0" w:line="63" w:lineRule="exact"/>
        <w:rPr>
          <w:rFonts w:ascii="Times New Roman" w:cs="Times New Roman" w:eastAsia="Times New Roman" w:hAnsi="Times New Roman"/>
          <w:sz w:val="17"/>
          <w:szCs w:val="17"/>
          <w:color w:val="auto"/>
        </w:rPr>
      </w:pPr>
    </w:p>
    <w:p>
      <w:pPr>
        <w:ind w:left="1860" w:right="100" w:hanging="543"/>
        <w:spacing w:after="0" w:line="266" w:lineRule="auto"/>
        <w:tabs>
          <w:tab w:leader="none" w:pos="18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may specify a particular dividend (whether or not already declared) or may specify all or any dividends declared within a specified period, but such period may not end later than five years after the date of the meeting at which the ordinary resolution is passed.</w:t>
      </w:r>
    </w:p>
    <w:p>
      <w:pPr>
        <w:spacing w:after="0" w:line="81" w:lineRule="exact"/>
        <w:rPr>
          <w:rFonts w:ascii="Times New Roman" w:cs="Times New Roman" w:eastAsia="Times New Roman" w:hAnsi="Times New Roman"/>
          <w:sz w:val="18"/>
          <w:szCs w:val="18"/>
          <w:color w:val="auto"/>
        </w:rPr>
      </w:pPr>
    </w:p>
    <w:p>
      <w:pPr>
        <w:jc w:val="both"/>
        <w:ind w:left="1860" w:right="80" w:hanging="543"/>
        <w:spacing w:after="0" w:line="266" w:lineRule="auto"/>
        <w:tabs>
          <w:tab w:leader="none" w:pos="18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allotment shall be decided by the Board so that, as nearly as may be considered convenient, the value of the further shares, including any fractional entitlement, is equal to the amount of the cash dividend which would otherwise have been paid (disregarding the amount of any associated tax credit).</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(c) above the value of the further shares shall be:</w:t>
      </w:r>
    </w:p>
    <w:p>
      <w:pPr>
        <w:spacing w:after="0" w:line="130" w:lineRule="exact"/>
        <w:rPr>
          <w:rFonts w:ascii="Times New Roman" w:cs="Times New Roman" w:eastAsia="Times New Roman" w:hAnsi="Times New Roman"/>
          <w:sz w:val="18"/>
          <w:szCs w:val="18"/>
          <w:color w:val="auto"/>
        </w:rPr>
      </w:pPr>
    </w:p>
    <w:p>
      <w:pPr>
        <w:ind w:left="2520" w:right="140" w:hanging="649"/>
        <w:spacing w:after="0" w:line="266" w:lineRule="auto"/>
        <w:tabs>
          <w:tab w:leader="none" w:pos="2520" w:val="left"/>
        </w:tabs>
        <w:numPr>
          <w:ilvl w:val="3"/>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final reported per share closing price as quoted for a fully paid share of the relevant class, as shown in the NASDAQ Daily List for the day on which such shares are first quoted “ex” the relevant dividend and the four subsequent dealing days; or</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3"/>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such manner as may be determined by or in accordance with the ordinary resolution.</w:t>
      </w:r>
    </w:p>
    <w:p>
      <w:pPr>
        <w:spacing w:after="0" w:line="130" w:lineRule="exact"/>
        <w:rPr>
          <w:rFonts w:ascii="Times New Roman" w:cs="Times New Roman" w:eastAsia="Times New Roman" w:hAnsi="Times New Roman"/>
          <w:sz w:val="18"/>
          <w:szCs w:val="18"/>
          <w:color w:val="auto"/>
        </w:rPr>
      </w:pPr>
    </w:p>
    <w:p>
      <w:pPr>
        <w:ind w:left="1860" w:right="420" w:hanging="543"/>
        <w:spacing w:after="0" w:line="282" w:lineRule="auto"/>
        <w:tabs>
          <w:tab w:leader="none" w:pos="18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give notice to the holders of such shares of their rights of election in respect of the scrip dividend and shall specify the procedure to be followed in order to make an election.</w:t>
      </w:r>
    </w:p>
    <w:p>
      <w:pPr>
        <w:spacing w:after="0" w:line="67"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it in respect of which an election for the scrip dividend is made shall not be paid and instead further shares of the relevant class shall be allotted in accordance with elections duly made and the Board shall capitalise a sum equal to the aggregate nominal amount of the shares to be allotted out of such sums available for the purpose as the Board may consider appropriate.</w:t>
      </w:r>
    </w:p>
    <w:p>
      <w:pPr>
        <w:spacing w:after="0" w:line="83" w:lineRule="exact"/>
        <w:rPr>
          <w:rFonts w:ascii="Times New Roman" w:cs="Times New Roman" w:eastAsia="Times New Roman" w:hAnsi="Times New Roman"/>
          <w:sz w:val="18"/>
          <w:szCs w:val="18"/>
          <w:color w:val="auto"/>
        </w:rPr>
      </w:pPr>
    </w:p>
    <w:p>
      <w:pPr>
        <w:ind w:left="1860" w:hanging="543"/>
        <w:spacing w:after="0" w:line="284" w:lineRule="auto"/>
        <w:tabs>
          <w:tab w:leader="none" w:pos="18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further shares so allotted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fully paid shares of the same class then in issue except as regards participation in the relevant dividend.</w:t>
      </w:r>
    </w:p>
    <w:p>
      <w:pPr>
        <w:spacing w:after="0" w:line="65" w:lineRule="exact"/>
        <w:rPr>
          <w:rFonts w:ascii="Times New Roman" w:cs="Times New Roman" w:eastAsia="Times New Roman" w:hAnsi="Times New Roman"/>
          <w:sz w:val="18"/>
          <w:szCs w:val="18"/>
          <w:color w:val="auto"/>
        </w:rPr>
      </w:pPr>
    </w:p>
    <w:p>
      <w:pPr>
        <w:ind w:left="1860" w:right="480" w:hanging="543"/>
        <w:spacing w:after="0" w:line="282" w:lineRule="auto"/>
        <w:tabs>
          <w:tab w:leader="none" w:pos="18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that the right to elect for any scrip dividend shall not be made available to members resident in any territory where, in the opinion of the Board, compliance with local laws or regulations would be unduly onerous.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B-44</w:t>
      </w:r>
    </w:p>
    <w:p>
      <w:pPr>
        <w:sectPr>
          <w:pgSz w:w="11900" w:h="16838" w:orient="portrait"/>
          <w:cols w:equalWidth="0" w:num="1">
            <w:col w:w="11140"/>
          </w:cols>
          <w:pgMar w:left="320" w:top="455" w:right="43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line="255" w:lineRule="auto"/>
        <w:tabs>
          <w:tab w:leader="none" w:pos="186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do all acts and things as it considers necessary or expedient to give effect to the provisions of a scrip dividend election and the issue of any shares in accordance with the provisions of this article, and may make such provisions as it thinks fit for the case of shares becoming distributable in fractions (including provisions under which, in whole or in part, the benefit of fractional entitlements accrues to the Company rather than to the members concerned). To the extent that the entitlement of any holder of shares in respect of any dividend is less than the value of one new share of the relevant class (as determined for the basis of any scrip dividend) the Board may also from time to time establish or vary a procedure for such entitlement to be accrued and aggregated with any similar entitlement for the purposes of any subsequent scrip dividend.</w:t>
      </w:r>
    </w:p>
    <w:p>
      <w:pPr>
        <w:spacing w:after="0" w:line="94" w:lineRule="exact"/>
        <w:rPr>
          <w:rFonts w:ascii="Times New Roman" w:cs="Times New Roman" w:eastAsia="Times New Roman" w:hAnsi="Times New Roman"/>
          <w:sz w:val="18"/>
          <w:szCs w:val="18"/>
          <w:color w:val="auto"/>
        </w:rPr>
      </w:pPr>
    </w:p>
    <w:p>
      <w:pPr>
        <w:jc w:val="both"/>
        <w:ind w:left="1860" w:right="240" w:hanging="543"/>
        <w:spacing w:after="0" w:line="266" w:lineRule="auto"/>
        <w:tabs>
          <w:tab w:leader="none" w:pos="186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establish or vary a procedure for election mandates, under which a holder of shares may, in respect of any future dividends for which a right of election pursuant to this article is offered, elect to receive shares in lieu of such dividend on the terms of such mandate.</w:t>
      </w:r>
    </w:p>
    <w:p>
      <w:pPr>
        <w:spacing w:after="0" w:line="81"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make a scrip dividend available unless the Company has sufficient undistributed profits or reserves to give effect to elections which could be made to receive that scrip dividend.</w:t>
      </w:r>
    </w:p>
    <w:p>
      <w:pPr>
        <w:spacing w:after="0" w:line="67"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at any time before the further shares are allotted that such shares shall not be allotted and pay the relevant dividend in cash instead. Such decision may be made before or after any election has been made by holders of shares in respect of the relevant dividend.</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CAPITALISATION OF PROFITS AND RESERVES</w:t>
      </w:r>
    </w:p>
    <w:p>
      <w:pPr>
        <w:spacing w:after="0" w:line="252" w:lineRule="exact"/>
        <w:rPr>
          <w:sz w:val="20"/>
          <w:szCs w:val="20"/>
          <w:color w:val="auto"/>
        </w:rPr>
      </w:pPr>
    </w:p>
    <w:p>
      <w:pPr>
        <w:ind w:left="660" w:hanging="544"/>
        <w:spacing w:after="0"/>
        <w:tabs>
          <w:tab w:leader="none" w:pos="660" w:val="left"/>
        </w:tabs>
        <w:numPr>
          <w:ilvl w:val="0"/>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 of reserves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with the authority of an ordinary resolution of the Company or, if required by the 2006 Act, a special resolution:</w:t>
      </w:r>
    </w:p>
    <w:p>
      <w:pPr>
        <w:spacing w:after="0" w:line="142" w:lineRule="exact"/>
        <w:rPr>
          <w:rFonts w:ascii="Times New Roman" w:cs="Times New Roman" w:eastAsia="Times New Roman" w:hAnsi="Times New Roman"/>
          <w:sz w:val="17"/>
          <w:szCs w:val="17"/>
          <w:color w:val="auto"/>
        </w:rPr>
      </w:pPr>
    </w:p>
    <w:p>
      <w:pPr>
        <w:ind w:left="2520" w:right="140" w:hanging="649"/>
        <w:spacing w:after="0" w:line="266" w:lineRule="auto"/>
        <w:tabs>
          <w:tab w:leader="none" w:pos="2520" w:val="left"/>
        </w:tabs>
        <w:numPr>
          <w:ilvl w:val="2"/>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resolve to capitalise any sum standing to the credit of any reserve account of the Company (including share premium account and capital redemption reserve) or any sum standing to the credit of profit and loss account not required for the payment of any preferential dividend (whether or not it is available for distribution); and</w:t>
      </w:r>
    </w:p>
    <w:p>
      <w:pPr>
        <w:spacing w:after="0" w:line="81" w:lineRule="exact"/>
        <w:rPr>
          <w:rFonts w:ascii="Times New Roman" w:cs="Times New Roman" w:eastAsia="Times New Roman" w:hAnsi="Times New Roman"/>
          <w:sz w:val="18"/>
          <w:szCs w:val="18"/>
          <w:color w:val="auto"/>
        </w:rPr>
      </w:pPr>
    </w:p>
    <w:p>
      <w:pPr>
        <w:ind w:left="2520" w:hanging="649"/>
        <w:spacing w:after="0" w:line="253" w:lineRule="auto"/>
        <w:tabs>
          <w:tab w:leader="none" w:pos="2520" w:val="left"/>
        </w:tabs>
        <w:numPr>
          <w:ilvl w:val="2"/>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that sum as capital to the holders of Ordinary Shares in proportion to the nominal amount of the ordinary share capital held by them respectively which would entitle them to participate in a distribution of that sum if the Ordinary Shares were fully paid and the sum were then distributable and were distributed by way of dividend and apply that sum on their behalf in paying up in full any shares or debentures of the Company of a nominal amount equal to that sum and allot the shares or debentures credited as fully paid to those members, or as they may direct, in those proportions or in paying up the whole or part of any amounts which are unpaid in respect of any issued shares in the Company held by them respectively, or otherwise deal with such sum as directed by the resolution provided that the share premium account, the capital redemption reserve, any redenomination reserve and any sum not available for distribution in accordance with the Statutes may only be applied in paying up shares to be allotted credited as fully paid up; and</w:t>
      </w:r>
    </w:p>
    <w:p>
      <w:pPr>
        <w:spacing w:after="0" w:line="86"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B-45</w:t>
      </w:r>
    </w:p>
    <w:p>
      <w:pPr>
        <w:sectPr>
          <w:pgSz w:w="11900" w:h="16838" w:orient="portrait"/>
          <w:cols w:equalWidth="0" w:num="1">
            <w:col w:w="11120"/>
          </w:cols>
          <w:pgMar w:left="320" w:top="455" w:right="45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line="255" w:lineRule="auto"/>
        <w:tabs>
          <w:tab w:leader="none" w:pos="186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difficulty arises in respect of any distribution of any capitalised reserve or other sum, the Board may settle the difficulty as it thinks fit to give effect to the capitalisation and in particular may make such provisions as it thinks fit in the case of shares or debentures becoming distributable in fractions (including provisions under which, in whole or in part, the benefit of fractional entitlements accrues to the Company rather than the members concerned) or ignore fractions and may fix the value for distribution of any fully paid up shares or debentures and may determine that cash payments be made to any members on the basis of the value so fixed in order to secure equality of distribution, and may vest any shares or debentures in trustees upon such trusts for the persons entitled to share in the distribution as the Board may think fit.</w:t>
      </w:r>
    </w:p>
    <w:p>
      <w:pPr>
        <w:spacing w:after="0" w:line="94" w:lineRule="exact"/>
        <w:rPr>
          <w:rFonts w:ascii="Times New Roman" w:cs="Times New Roman" w:eastAsia="Times New Roman" w:hAnsi="Times New Roman"/>
          <w:sz w:val="18"/>
          <w:szCs w:val="18"/>
          <w:color w:val="auto"/>
        </w:rPr>
      </w:pPr>
    </w:p>
    <w:p>
      <w:pPr>
        <w:jc w:val="both"/>
        <w:ind w:left="1860" w:right="180" w:hanging="543"/>
        <w:spacing w:after="0" w:line="266" w:lineRule="auto"/>
        <w:tabs>
          <w:tab w:leader="none" w:pos="186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authorise any person to sign on behalf of the persons entitled to share in the distribution a contract for the acceptance by those persons of the shares or debentures to be allotted to them credited as fully paid under a capitalisation and any such contract shall be binding on all those persons.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52" w:lineRule="exact"/>
        <w:rPr>
          <w:sz w:val="20"/>
          <w:szCs w:val="20"/>
          <w:color w:val="auto"/>
        </w:rPr>
      </w:pPr>
    </w:p>
    <w:p>
      <w:pPr>
        <w:ind w:left="660" w:hanging="544"/>
        <w:spacing w:after="0"/>
        <w:tabs>
          <w:tab w:leader="none" w:pos="660"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Fixing of record dates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61" w:lineRule="auto"/>
        <w:tabs>
          <w:tab w:leader="none" w:pos="1860"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of these articles, but without prejudice to any rights attached to any shares and subject always to the 2006 Act, the Company or the Board by resolution may fix any date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by reference to which a dividend will be declared or paid or a distribution, allotment or issue made, and that date may be before, on or after the date on which the dividend, distribution, allotment or issue is declared, paid or made.</w:t>
      </w:r>
    </w:p>
    <w:p>
      <w:pPr>
        <w:spacing w:after="0" w:line="85" w:lineRule="exact"/>
        <w:rPr>
          <w:rFonts w:ascii="Times New Roman" w:cs="Times New Roman" w:eastAsia="Times New Roman" w:hAnsi="Times New Roman"/>
          <w:sz w:val="18"/>
          <w:szCs w:val="18"/>
          <w:color w:val="auto"/>
        </w:rPr>
      </w:pPr>
    </w:p>
    <w:p>
      <w:pPr>
        <w:ind w:left="1860" w:right="180" w:hanging="543"/>
        <w:spacing w:after="0" w:line="282" w:lineRule="auto"/>
        <w:tabs>
          <w:tab w:leader="none" w:pos="1860"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record date being fixed, entitlement to any dividend, distribution, allotment or issue shall be determined by reference to the date on which the dividend is declared or the distribution, allotment or issue is made.</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52" w:lineRule="exact"/>
        <w:rPr>
          <w:sz w:val="20"/>
          <w:szCs w:val="20"/>
          <w:color w:val="auto"/>
        </w:rPr>
      </w:pPr>
    </w:p>
    <w:p>
      <w:pPr>
        <w:ind w:left="660" w:hanging="544"/>
        <w:spacing w:after="0"/>
        <w:tabs>
          <w:tab w:leader="none" w:pos="660"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records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accounting records of the Company to be kept in accordance with the Statutes.</w:t>
      </w:r>
    </w:p>
    <w:p>
      <w:pPr>
        <w:spacing w:after="0" w:line="130" w:lineRule="exact"/>
        <w:rPr>
          <w:rFonts w:ascii="Times New Roman" w:cs="Times New Roman" w:eastAsia="Times New Roman" w:hAnsi="Times New Roman"/>
          <w:sz w:val="18"/>
          <w:szCs w:val="18"/>
          <w:color w:val="auto"/>
        </w:rPr>
      </w:pPr>
    </w:p>
    <w:p>
      <w:pPr>
        <w:ind w:left="1860" w:right="60" w:hanging="543"/>
        <w:spacing w:after="0" w:line="312" w:lineRule="auto"/>
        <w:tabs>
          <w:tab w:leader="none" w:pos="1860"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(as such) shall have any right of inspecting any account, book or document of the Company, except as conferred by law or authorised by the Board or by any ordinary resolution of the Company or ordered by a court of competent jurisdiction.</w:t>
      </w:r>
    </w:p>
    <w:p>
      <w:pPr>
        <w:spacing w:after="0" w:line="45" w:lineRule="exact"/>
        <w:rPr>
          <w:rFonts w:ascii="Times New Roman" w:cs="Times New Roman" w:eastAsia="Times New Roman" w:hAnsi="Times New Roman"/>
          <w:sz w:val="17"/>
          <w:szCs w:val="17"/>
          <w:color w:val="auto"/>
        </w:rPr>
      </w:pPr>
    </w:p>
    <w:p>
      <w:pPr>
        <w:ind w:left="1860" w:right="80" w:hanging="543"/>
        <w:spacing w:after="0" w:line="282" w:lineRule="auto"/>
        <w:tabs>
          <w:tab w:leader="none" w:pos="1860"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permitted by the Statutes, the Company may send a summary financial statement in the form specified by the Statutes to the persons who would otherwise be entitled to be sent a copy of the Company’s full annual accounts and reports.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52" w:lineRule="exact"/>
        <w:rPr>
          <w:sz w:val="20"/>
          <w:szCs w:val="20"/>
          <w:color w:val="auto"/>
        </w:rPr>
      </w:pPr>
    </w:p>
    <w:p>
      <w:pPr>
        <w:ind w:left="660" w:hanging="544"/>
        <w:spacing w:after="0"/>
        <w:tabs>
          <w:tab w:leader="none" w:pos="660" w:val="left"/>
        </w:tabs>
        <w:numPr>
          <w:ilvl w:val="0"/>
          <w:numId w:val="5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acts of Auditor</w:t>
      </w:r>
    </w:p>
    <w:p>
      <w:pPr>
        <w:spacing w:after="0" w:line="121"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Statutes, all acts done by any person acting as an Auditor shall, as regards all persons dealing in good faith with the Company, be valid notwithstanding that there was some defect in his appointment or that he was at the time of his appointment not qualified for appointment or subsequently became disqualified.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B-46</w:t>
      </w:r>
    </w:p>
    <w:p>
      <w:pPr>
        <w:sectPr>
          <w:pgSz w:w="11900" w:h="16838" w:orient="portrait"/>
          <w:cols w:equalWidth="0" w:num="1">
            <w:col w:w="11120"/>
          </w:cols>
          <w:pgMar w:left="320" w:top="455" w:right="45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SERVICE OF NOTICES AND OTHER DOCUMENTS</w:t>
      </w:r>
    </w:p>
    <w:p>
      <w:pPr>
        <w:spacing w:after="0" w:line="252" w:lineRule="exact"/>
        <w:rPr>
          <w:sz w:val="20"/>
          <w:szCs w:val="20"/>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in writing</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to be given to or by any person under these articles (other than a notice calling a meeting of the Board) shall be in writing, except where otherwise expressly stated. Any such notice may be given using electronic communications provided sent to such address (if any) for the time being notified for that purpose to the person sending the notice by or on behalf of the person to whom the notice is sent and in the case of communications between the Company and its members, in accordance with the following articles 133 and 134.</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giving notice to members</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82" w:lineRule="auto"/>
        <w:tabs>
          <w:tab w:leader="none" w:pos="186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any notice or other document under these articles to a member by whichever of the following methods it may elect in its absolute discretion:</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personally; or</w:t>
      </w:r>
    </w:p>
    <w:p>
      <w:pPr>
        <w:spacing w:after="0" w:line="130" w:lineRule="exact"/>
        <w:rPr>
          <w:rFonts w:ascii="Times New Roman" w:cs="Times New Roman" w:eastAsia="Times New Roman" w:hAnsi="Times New Roman"/>
          <w:sz w:val="18"/>
          <w:szCs w:val="18"/>
          <w:color w:val="auto"/>
        </w:rPr>
      </w:pPr>
    </w:p>
    <w:p>
      <w:pPr>
        <w:ind w:left="2520" w:right="360" w:hanging="649"/>
        <w:spacing w:after="0" w:line="282" w:lineRule="auto"/>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the notice or other document in a prepaid envelope addressed, in the case of a member, to his registered address, or in any other case, to the person’s usual address;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the notice or other document at that address; or</w:t>
      </w:r>
    </w:p>
    <w:p>
      <w:pPr>
        <w:spacing w:after="0" w:line="130" w:lineRule="exact"/>
        <w:rPr>
          <w:rFonts w:ascii="Times New Roman" w:cs="Times New Roman" w:eastAsia="Times New Roman" w:hAnsi="Times New Roman"/>
          <w:sz w:val="18"/>
          <w:szCs w:val="18"/>
          <w:color w:val="auto"/>
        </w:rPr>
      </w:pPr>
    </w:p>
    <w:p>
      <w:pPr>
        <w:ind w:left="2520" w:right="220" w:hanging="649"/>
        <w:spacing w:after="0" w:line="282" w:lineRule="auto"/>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the notice or other document using electronic communications to such address (if any) for the time being notified to the Company by or on behalf of the member for that purpose;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article 133(b);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method approved by the Board.</w:t>
      </w:r>
    </w:p>
    <w:p>
      <w:pPr>
        <w:spacing w:after="0" w:line="130" w:lineRule="exact"/>
        <w:rPr>
          <w:rFonts w:ascii="Times New Roman" w:cs="Times New Roman" w:eastAsia="Times New Roman" w:hAnsi="Times New Roman"/>
          <w:sz w:val="18"/>
          <w:szCs w:val="18"/>
          <w:color w:val="auto"/>
        </w:rPr>
      </w:pPr>
    </w:p>
    <w:p>
      <w:pPr>
        <w:ind w:left="1860" w:right="60" w:hanging="543"/>
        <w:spacing w:after="0" w:line="256" w:lineRule="auto"/>
        <w:tabs>
          <w:tab w:leader="none" w:pos="186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whose registered address is not within the United Kingdom and who gives to the Company an address within the United Kingdom at which notices may be given to him or an address to which notices may be sent using electronic communications shall be entitled to receive notices and other documents from the Company at that address, but, unless he does so, shall not be entitled to receive any notice from the Company. Without limiting the previous sentence, any notice of a general meeting of the Company which is in fact sent or purports to be sent to such address shall be ignored for the purposes of determining the validity of proceedings at such meeting.</w:t>
      </w:r>
    </w:p>
    <w:p>
      <w:pPr>
        <w:spacing w:after="0" w:line="92"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also give any notice or other document under these articles to a member by publishing that notice or other document on a website where:</w:t>
      </w:r>
    </w:p>
    <w:p>
      <w:pPr>
        <w:spacing w:after="0" w:line="67" w:lineRule="exact"/>
        <w:rPr>
          <w:rFonts w:ascii="Times New Roman" w:cs="Times New Roman" w:eastAsia="Times New Roman" w:hAnsi="Times New Roman"/>
          <w:sz w:val="18"/>
          <w:szCs w:val="18"/>
          <w:color w:val="auto"/>
        </w:rPr>
      </w:pPr>
    </w:p>
    <w:p>
      <w:pPr>
        <w:ind w:left="2520" w:right="580" w:hanging="649"/>
        <w:spacing w:after="0" w:line="282" w:lineRule="auto"/>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the member having access to the notice or document on a website (instead of it being sent to him);</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 manner for the time being agreed between him and the Company for the purpose of:</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130"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2"/>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document is published on that website throughout the publication period and (if applicable) continues to be so published until the conclusion of the meeting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B-47</w:t>
      </w:r>
    </w:p>
    <w:p>
      <w:pPr>
        <w:sectPr>
          <w:pgSz w:w="11900" w:h="16838" w:orient="portrait"/>
          <w:cols w:equalWidth="0" w:num="1">
            <w:col w:w="11120"/>
          </w:cols>
          <w:pgMar w:left="320" w:top="455" w:right="45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2540" w:right="80"/>
        <w:spacing w:after="0" w:line="261" w:lineRule="auto"/>
        <w:rPr>
          <w:sz w:val="20"/>
          <w:szCs w:val="20"/>
          <w:color w:val="auto"/>
        </w:rPr>
      </w:pPr>
      <w:r>
        <w:rPr>
          <w:rFonts w:ascii="Times New Roman" w:cs="Times New Roman" w:eastAsia="Times New Roman" w:hAnsi="Times New Roman"/>
          <w:sz w:val="18"/>
          <w:szCs w:val="18"/>
          <w:color w:val="auto"/>
        </w:rPr>
        <w:t>any adjourned meeting), provided that, if the notice or document is published on that website for a part, but not all of, such period, the notice or document shall be treated as being published throughout that period if the failure to publish that notice or document throughout that period is wholly attributable to circumstances which it would be reasonable to have expected the Company to prevent or avoid by any other method approved by the Board.</w:t>
      </w:r>
    </w:p>
    <w:p>
      <w:pPr>
        <w:spacing w:after="0" w:line="85" w:lineRule="exact"/>
        <w:rPr>
          <w:sz w:val="20"/>
          <w:szCs w:val="20"/>
          <w:color w:val="auto"/>
        </w:rPr>
      </w:pPr>
    </w:p>
    <w:p>
      <w:pPr>
        <w:ind w:left="1860" w:hanging="543"/>
        <w:spacing w:after="0"/>
        <w:tabs>
          <w:tab w:leader="none" w:pos="18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article 133(c) publication period means:</w:t>
      </w:r>
    </w:p>
    <w:p>
      <w:pPr>
        <w:spacing w:after="0" w:line="130" w:lineRule="exact"/>
        <w:rPr>
          <w:rFonts w:ascii="Times New Roman" w:cs="Times New Roman" w:eastAsia="Times New Roman" w:hAnsi="Times New Roman"/>
          <w:sz w:val="18"/>
          <w:szCs w:val="18"/>
          <w:color w:val="auto"/>
        </w:rPr>
      </w:pPr>
    </w:p>
    <w:p>
      <w:pPr>
        <w:ind w:left="2520" w:right="80" w:hanging="649"/>
        <w:spacing w:after="0" w:line="266" w:lineRule="auto"/>
        <w:tabs>
          <w:tab w:leader="none" w:pos="252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notice of an adjourned meeting under article 45 of not less than 14 days before the date of the adjourned meeting, beginning on the day following that on which the notice referred to in article 133(c)(i) is sent or (if later) is deemed given; and</w:t>
      </w:r>
    </w:p>
    <w:p>
      <w:pPr>
        <w:spacing w:after="0" w:line="81" w:lineRule="exact"/>
        <w:rPr>
          <w:rFonts w:ascii="Times New Roman" w:cs="Times New Roman" w:eastAsia="Times New Roman" w:hAnsi="Times New Roman"/>
          <w:sz w:val="18"/>
          <w:szCs w:val="18"/>
          <w:color w:val="auto"/>
        </w:rPr>
      </w:pPr>
    </w:p>
    <w:p>
      <w:pPr>
        <w:ind w:left="2520" w:right="480" w:hanging="649"/>
        <w:spacing w:after="0" w:line="282" w:lineRule="auto"/>
        <w:tabs>
          <w:tab w:leader="none" w:pos="252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a period of not less than 21 days, beginning on the day following that on which the notification referred to in article 133(c)(i) is sent or (if later) is deemed given;</w:t>
      </w:r>
    </w:p>
    <w:p>
      <w:pPr>
        <w:spacing w:after="0" w:line="67"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issue, endorse or adopt terms and conditions relating to the use of electronic communications for the giving of notices, other documents and proxy appointments by the Company to members or persons entitled by transmission and by members or persons entitled by transmission to the Company.</w:t>
      </w:r>
    </w:p>
    <w:p>
      <w:pPr>
        <w:spacing w:after="0" w:line="81" w:lineRule="exact"/>
        <w:rPr>
          <w:rFonts w:ascii="Times New Roman" w:cs="Times New Roman" w:eastAsia="Times New Roman" w:hAnsi="Times New Roman"/>
          <w:sz w:val="18"/>
          <w:szCs w:val="18"/>
          <w:color w:val="auto"/>
        </w:rPr>
      </w:pPr>
    </w:p>
    <w:p>
      <w:pPr>
        <w:ind w:left="1860" w:right="20" w:hanging="543"/>
        <w:spacing w:after="0" w:line="256" w:lineRule="auto"/>
        <w:tabs>
          <w:tab w:leader="none" w:pos="18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that an envelope containing a notice or other document was properly addressed, prepaid and posted shall be conclusive evidence that the notice or document was given. Proof that a notice or other document contained in an electronic communication was sent or given in accordance with guidance issued by the Institute of Chartered Secretaries and Administrators current at the date of adoption of these articles, or, if the Board so resolves, any subsequent guidance so issued, shall be conclusive evidence that the notice or document was sent or given. A notice or other document sent by the Company to a member by post shall be deemed to be given or delivered:</w:t>
      </w:r>
    </w:p>
    <w:p>
      <w:pPr>
        <w:spacing w:after="0" w:line="92" w:lineRule="exact"/>
        <w:rPr>
          <w:rFonts w:ascii="Times New Roman" w:cs="Times New Roman" w:eastAsia="Times New Roman" w:hAnsi="Times New Roman"/>
          <w:sz w:val="18"/>
          <w:szCs w:val="18"/>
          <w:color w:val="auto"/>
        </w:rPr>
      </w:pPr>
    </w:p>
    <w:p>
      <w:pPr>
        <w:ind w:left="2520" w:right="300" w:hanging="649"/>
        <w:spacing w:after="0" w:line="261" w:lineRule="auto"/>
        <w:tabs>
          <w:tab w:leader="none" w:pos="252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first class post or special delivery post from an address in the United Kingdom to another address in the United Kingdom, or by a postal service similar to first class post or special delivery post from an address in another country to another address in that other country, on the day following that on which the envelope containing it was posted;</w:t>
      </w:r>
    </w:p>
    <w:p>
      <w:pPr>
        <w:spacing w:after="0" w:line="85" w:lineRule="exact"/>
        <w:rPr>
          <w:rFonts w:ascii="Times New Roman" w:cs="Times New Roman" w:eastAsia="Times New Roman" w:hAnsi="Times New Roman"/>
          <w:sz w:val="18"/>
          <w:szCs w:val="18"/>
          <w:color w:val="auto"/>
        </w:rPr>
      </w:pPr>
    </w:p>
    <w:p>
      <w:pPr>
        <w:ind w:left="2520" w:right="360" w:hanging="649"/>
        <w:spacing w:after="0" w:line="266" w:lineRule="auto"/>
        <w:tabs>
          <w:tab w:leader="none" w:pos="252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airmail from an address in the United Kingdom to an address outside the United Kingdom, or from an address in another country to an address outside that country (including without limitation an address in the United Kingdom), on the third day following that on which the envelope containing it was posted;</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on the second day following that on which the envelope containing it was posted.</w:t>
      </w:r>
    </w:p>
    <w:p>
      <w:pPr>
        <w:spacing w:after="0" w:line="130" w:lineRule="exact"/>
        <w:rPr>
          <w:rFonts w:ascii="Times New Roman" w:cs="Times New Roman" w:eastAsia="Times New Roman" w:hAnsi="Times New Roman"/>
          <w:sz w:val="18"/>
          <w:szCs w:val="18"/>
          <w:color w:val="auto"/>
        </w:rPr>
      </w:pPr>
    </w:p>
    <w:p>
      <w:pPr>
        <w:ind w:left="1860" w:hanging="543"/>
        <w:spacing w:after="0" w:line="258" w:lineRule="auto"/>
        <w:tabs>
          <w:tab w:leader="none" w:pos="18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or other document sent by the Company to a member contained in an electronic communication shall be deemed given to the member on the day on which the electronic communication was sent to the member. Such a notice or other document shall be deemed given by the Company to the member on that day notwithstanding that the Company becomes aware that the member has failed to receive the relevant notice or other document for any reason and notwithstanding that the Company subsequently sends a copy of such notice or other document by post to the member.</w:t>
      </w:r>
    </w:p>
    <w:p>
      <w:pPr>
        <w:spacing w:after="0" w:line="88"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document or other communication shall be deemed to have been given if made available on a website, when the recipient was deemed to have received notification of the fact that the material was available on the website, in accordance with this article and if such notice, document or communication is sent by means of a relevant system, when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B-48</w:t>
      </w:r>
    </w:p>
    <w:p>
      <w:pPr>
        <w:sectPr>
          <w:pgSz w:w="11900" w:h="16838" w:orient="portrait"/>
          <w:cols w:equalWidth="0" w:num="1">
            <w:col w:w="11140"/>
          </w:cols>
          <w:pgMar w:left="320" w:top="455" w:right="43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or any sponsoring system-participant acting on its behalf sends the issuer instructions relating to the communication.</w:t>
      </w:r>
    </w:p>
    <w:p>
      <w:pPr>
        <w:spacing w:after="0" w:line="370" w:lineRule="exact"/>
        <w:rPr>
          <w:sz w:val="20"/>
          <w:szCs w:val="20"/>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by members</w:t>
      </w:r>
    </w:p>
    <w:p>
      <w:pPr>
        <w:spacing w:after="0" w:line="121" w:lineRule="exact"/>
        <w:rPr>
          <w:rFonts w:ascii="Times New Roman" w:cs="Times New Roman" w:eastAsia="Times New Roman" w:hAnsi="Times New Roman"/>
          <w:sz w:val="18"/>
          <w:szCs w:val="18"/>
          <w:b w:val="1"/>
          <w:bCs w:val="1"/>
          <w:color w:val="auto"/>
        </w:rPr>
      </w:pPr>
    </w:p>
    <w:p>
      <w:pPr>
        <w:ind w:left="66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these articles, a member or a person entitled by transmission to a share shall give any notice or other document under these articles to the Company by whichever of the following methods he may in his absolute discretion determine:</w:t>
      </w:r>
    </w:p>
    <w:p>
      <w:pPr>
        <w:spacing w:after="0" w:line="67"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the notice or other document in a prepaid envelope addressed to the office; or</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the notice or other document at the office; or</w:t>
      </w:r>
    </w:p>
    <w:p>
      <w:pPr>
        <w:spacing w:after="0" w:line="130"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the notice or other document using electronic communications to such address (if any) for the time being notified by or on behalf of the Company for that purpose.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joint holders</w:t>
      </w:r>
    </w:p>
    <w:p>
      <w:pPr>
        <w:spacing w:after="0" w:line="12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joint holdings, all notices and other documents shall be given or sent to the joint holder whose name appears first in the register and this shall be sufficient delivery to all the joint holders in their capacity as such. For such purpose a joint holder having no registered address in the United Kingdom and not having given an address within the United Kingdom at which notices may be given to him or an address to which notices may be sent using electronic communications shall be disregarded.</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persons entitled by transmission</w:t>
      </w:r>
    </w:p>
    <w:p>
      <w:pPr>
        <w:spacing w:after="0" w:line="121"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within the United Kingdom supplied for that purpose by the persons claiming to be so entitled. Until such an address has been supplied, a notice may be given in any manner in which it might have been given if the death or bankruptcy had not occurred whether or not the Company has notice of the transmission event.</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Disruption of postal services</w:t>
      </w:r>
    </w:p>
    <w:p>
      <w:pPr>
        <w:spacing w:after="0" w:line="121" w:lineRule="exact"/>
        <w:rPr>
          <w:rFonts w:ascii="Times New Roman" w:cs="Times New Roman" w:eastAsia="Times New Roman" w:hAnsi="Times New Roman"/>
          <w:sz w:val="18"/>
          <w:szCs w:val="18"/>
          <w:b w:val="1"/>
          <w:bCs w:val="1"/>
          <w:color w:val="auto"/>
        </w:rPr>
      </w:pPr>
    </w:p>
    <w:p>
      <w:pPr>
        <w:ind w:left="66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by reason of the suspension or curtailment of postal services within the United Kingdom, the Company is unable effectively to convene a general meeting by notices sent through the post, a general meeting may be convened by a notice advertised in at least one leading national daily newspaper and such notice shall be deemed to have been given to all members and other persons entitled to receive it on the day when the advertisement appears (or first appears). In any such case the Company shall send confirmatory copies of the notice by post if at least seven days prior to the meeting the posting of notices to addresses throughout the United Kingdom again becomes practicable.</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Deemed notice</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present in person at any meeting of the Company or of the holders of any class of shares shall be deemed to have received notice of the meeting and, where requisite, of the purposes for which it was called.</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in title bound by notice to predecessor</w:t>
      </w:r>
    </w:p>
    <w:p>
      <w:pPr>
        <w:spacing w:after="0" w:line="121" w:lineRule="exact"/>
        <w:rPr>
          <w:rFonts w:ascii="Times New Roman" w:cs="Times New Roman" w:eastAsia="Times New Roman" w:hAnsi="Times New Roman"/>
          <w:sz w:val="18"/>
          <w:szCs w:val="18"/>
          <w:b w:val="1"/>
          <w:bCs w:val="1"/>
          <w:color w:val="auto"/>
        </w:rPr>
      </w:pPr>
    </w:p>
    <w:p>
      <w:pPr>
        <w:ind w:left="66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person who becomes entitled to a share shall be bound by any notice (other than a notice given under section 793 of the 2006 Act) in respect of that share which, before his name is entered in the register, was given to the person from whom he derives his title.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B-49</w:t>
      </w:r>
    </w:p>
    <w:p>
      <w:pPr>
        <w:sectPr>
          <w:pgSz w:w="11900" w:h="16838" w:orient="portrait"/>
          <w:cols w:equalWidth="0" w:num="1">
            <w:col w:w="11120"/>
          </w:cols>
          <w:pgMar w:left="320" w:top="455" w:right="45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Reference to notices are to notifications</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when the subject or context otherwise requires, in articles 133(a), 133(b), 133(c), 133(f), 134 and 135 references to a notice include without limitation references to any notification required by the Statutes or these articles in relation to the publication of any notices or other documents on a website.</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requirements</w:t>
      </w:r>
    </w:p>
    <w:p>
      <w:pPr>
        <w:spacing w:after="0" w:line="121" w:lineRule="exact"/>
        <w:rPr>
          <w:rFonts w:ascii="Times New Roman" w:cs="Times New Roman" w:eastAsia="Times New Roman" w:hAnsi="Times New Roman"/>
          <w:sz w:val="18"/>
          <w:szCs w:val="18"/>
          <w:b w:val="1"/>
          <w:bCs w:val="1"/>
          <w:color w:val="auto"/>
        </w:rPr>
      </w:pPr>
    </w:p>
    <w:p>
      <w:pPr>
        <w:ind w:left="6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these articles shall affect any requirement of the Statutes that any particular notice or other document be served in any particular manner.</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date for delivery</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66" w:lineRule="auto"/>
        <w:tabs>
          <w:tab w:leader="none" w:pos="1860"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giving notices of meetings or other documents, whether under these articles or under section 310(1) of the 2006 Act, any other Statute or any other statutory instrument, the Company may determine that persons entitled to receive such notices or other documents are those persons entered on the register at the close of business on a day determined by it.</w:t>
      </w:r>
    </w:p>
    <w:p>
      <w:pPr>
        <w:spacing w:after="0" w:line="81"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determined by the Company under article 142(a) may not be more that 21 days before the day that the notice of the meeting or other document is sent.</w:t>
      </w:r>
    </w:p>
    <w:p>
      <w:pPr>
        <w:spacing w:after="0" w:line="67"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which persons are entitled to attend and/or vote at a meeting, and how many votes such persons may cast, the Company may specify in the notice of the meeting a time, not more than 48 hours before the time fixed for the meeting, by which a person must be entered on the register in order to have the right to attend and/or vote at the meeting. In calculating the period mentioned in this article 142(c), no account shall be taken of any part of a day that is not a working day.</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REGISTER</w:t>
      </w:r>
    </w:p>
    <w:p>
      <w:pPr>
        <w:spacing w:after="0" w:line="252" w:lineRule="exact"/>
        <w:rPr>
          <w:sz w:val="20"/>
          <w:szCs w:val="20"/>
          <w:color w:val="auto"/>
        </w:rPr>
      </w:pPr>
    </w:p>
    <w:p>
      <w:pPr>
        <w:ind w:left="660" w:hanging="544"/>
        <w:spacing w:after="0"/>
        <w:tabs>
          <w:tab w:leader="none" w:pos="660"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Requirements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of members in the manner required by the 2006 Act.</w:t>
      </w:r>
    </w:p>
    <w:p>
      <w:pPr>
        <w:spacing w:after="0" w:line="130" w:lineRule="exact"/>
        <w:rPr>
          <w:rFonts w:ascii="Times New Roman" w:cs="Times New Roman" w:eastAsia="Times New Roman" w:hAnsi="Times New Roman"/>
          <w:sz w:val="18"/>
          <w:szCs w:val="18"/>
          <w:color w:val="auto"/>
        </w:rPr>
      </w:pPr>
    </w:p>
    <w:p>
      <w:pPr>
        <w:ind w:left="1860" w:right="80" w:hanging="543"/>
        <w:spacing w:after="0" w:line="258" w:lineRule="auto"/>
        <w:tabs>
          <w:tab w:leader="none" w:pos="186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2006 Act, the Company may keep an overseas branch register in any country, territory or place. The Board may (subject to the 2006 Act) make and vary such regulations as it may think fit in relation to the keeping of any such overseas branch register, including any regulations regarding the transfer of shares from such overseas branch register to the register, the transfer of shares from the register to such overseas branch register or the inspection of the overseas branch register.</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UNTRACED MEMBERS</w:t>
      </w:r>
    </w:p>
    <w:p>
      <w:pPr>
        <w:spacing w:after="0" w:line="252" w:lineRule="exact"/>
        <w:rPr>
          <w:sz w:val="20"/>
          <w:szCs w:val="20"/>
          <w:color w:val="auto"/>
        </w:rPr>
      </w:pPr>
    </w:p>
    <w:p>
      <w:pPr>
        <w:ind w:left="660" w:hanging="544"/>
        <w:spacing w:after="0"/>
        <w:tabs>
          <w:tab w:leader="none" w:pos="660"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shares of untraced members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82" w:lineRule="auto"/>
        <w:tabs>
          <w:tab w:leader="none" w:pos="1860"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Board may decide and at the best price it considers to be reasonably obtainable at that time, any share of a member, or any share to which a person is entitled by transmission if:</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12 years at least three cash dividends have become payable in respect of the share to be sold;</w:t>
      </w:r>
    </w:p>
    <w:p>
      <w:pPr>
        <w:spacing w:after="0" w:line="130"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2"/>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period of 12 years no cash dividend payable in respect of the share has been claimed, no cheque, warrant, order or other payment for a dividend has been cashed, no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B-50</w:t>
      </w:r>
    </w:p>
    <w:p>
      <w:pPr>
        <w:sectPr>
          <w:pgSz w:w="11900" w:h="16838" w:orient="portrait"/>
          <w:cols w:equalWidth="0" w:num="1">
            <w:col w:w="11100"/>
          </w:cols>
          <w:pgMar w:left="320" w:top="455" w:right="47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40" w:right="60"/>
        <w:spacing w:after="0" w:line="266" w:lineRule="auto"/>
        <w:rPr>
          <w:sz w:val="20"/>
          <w:szCs w:val="20"/>
          <w:color w:val="auto"/>
        </w:rPr>
      </w:pPr>
      <w:r>
        <w:rPr>
          <w:rFonts w:ascii="Times New Roman" w:cs="Times New Roman" w:eastAsia="Times New Roman" w:hAnsi="Times New Roman"/>
          <w:sz w:val="18"/>
          <w:szCs w:val="18"/>
          <w:color w:val="auto"/>
        </w:rPr>
        <w:t>dividend sent by means of a bank or other funds transfer system or other electronic system or means (including, in the case of uncertificated shares, a relevant system) has been paid and no communication has been received by the Company from the member or the person entitled by transmission to the share;</w:t>
      </w:r>
    </w:p>
    <w:p>
      <w:pPr>
        <w:spacing w:after="0" w:line="81" w:lineRule="exact"/>
        <w:rPr>
          <w:sz w:val="20"/>
          <w:szCs w:val="20"/>
          <w:color w:val="auto"/>
        </w:rPr>
      </w:pPr>
    </w:p>
    <w:p>
      <w:pPr>
        <w:ind w:left="2520" w:right="140" w:hanging="649"/>
        <w:spacing w:after="0" w:line="258" w:lineRule="auto"/>
        <w:tabs>
          <w:tab w:leader="none" w:pos="252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expiry of that period of 12 years the Company has sent, or caused to be sent, a notice to the registered address or last known address the Company has for the member or other person entitled by transmission to the share, giving notice of its intention to sell the share (provided that before sending such a notice, the Company shall have made, or caused to be made, such tracing enquiries for the purpose of contacting that member or other person as the Board considers to be reasonable and appropriate in the circumstances); and</w:t>
      </w:r>
    </w:p>
    <w:p>
      <w:pPr>
        <w:spacing w:after="0" w:line="88" w:lineRule="exact"/>
        <w:rPr>
          <w:rFonts w:ascii="Times New Roman" w:cs="Times New Roman" w:eastAsia="Times New Roman" w:hAnsi="Times New Roman"/>
          <w:sz w:val="18"/>
          <w:szCs w:val="18"/>
          <w:color w:val="auto"/>
        </w:rPr>
      </w:pPr>
    </w:p>
    <w:p>
      <w:pPr>
        <w:ind w:left="2520" w:right="60" w:hanging="649"/>
        <w:spacing w:after="0" w:line="266" w:lineRule="auto"/>
        <w:tabs>
          <w:tab w:leader="none" w:pos="252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three months following the sending of the notice referred to in paragraph (iii) above and after that period until the exercise of the power to sell the share, the Company has not received any communication from the member or the person entitled by transmission to the share.</w:t>
      </w:r>
    </w:p>
    <w:p>
      <w:pPr>
        <w:spacing w:after="0" w:line="81" w:lineRule="exact"/>
        <w:rPr>
          <w:rFonts w:ascii="Times New Roman" w:cs="Times New Roman" w:eastAsia="Times New Roman" w:hAnsi="Times New Roman"/>
          <w:sz w:val="18"/>
          <w:szCs w:val="18"/>
          <w:color w:val="auto"/>
        </w:rPr>
      </w:pPr>
    </w:p>
    <w:p>
      <w:pPr>
        <w:ind w:left="1860" w:right="60" w:hanging="543"/>
        <w:spacing w:after="0" w:line="258" w:lineRule="auto"/>
        <w:tabs>
          <w:tab w:leader="none" w:pos="186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power of sale shall extend to any further share which, on or before the sending of the notice pursuant to paragraph (a)(iii) above (</w:t>
      </w:r>
      <w:r>
        <w:rPr>
          <w:rFonts w:ascii="Times New Roman" w:cs="Times New Roman" w:eastAsia="Times New Roman" w:hAnsi="Times New Roman"/>
          <w:sz w:val="18"/>
          <w:szCs w:val="18"/>
          <w:b w:val="1"/>
          <w:bCs w:val="1"/>
          <w:color w:val="auto"/>
        </w:rPr>
        <w:t>additional share</w:t>
      </w:r>
      <w:r>
        <w:rPr>
          <w:rFonts w:ascii="Times New Roman" w:cs="Times New Roman" w:eastAsia="Times New Roman" w:hAnsi="Times New Roman"/>
          <w:sz w:val="18"/>
          <w:szCs w:val="18"/>
          <w:color w:val="auto"/>
        </w:rPr>
        <w:t>), is issued in right of a share to which paragraph (a) above applies (or in right of any share to which this paragraph applies) if the conditions set out in paragraphs 144(a)(ii) to (iv) above are satisfied in relation to the additional share (but as if the references to a period of 12 years were references to a period beginning on the date of allotment of the original share and ending on the date of sending the notice referred to above).</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sale, the Board may:</w:t>
      </w:r>
    </w:p>
    <w:p>
      <w:pPr>
        <w:spacing w:after="0" w:line="130" w:lineRule="exact"/>
        <w:rPr>
          <w:rFonts w:ascii="Times New Roman" w:cs="Times New Roman" w:eastAsia="Times New Roman" w:hAnsi="Times New Roman"/>
          <w:sz w:val="18"/>
          <w:szCs w:val="18"/>
          <w:color w:val="auto"/>
        </w:rPr>
      </w:pPr>
    </w:p>
    <w:p>
      <w:pPr>
        <w:ind w:left="2520" w:right="40" w:hanging="649"/>
        <w:spacing w:after="0" w:line="282" w:lineRule="auto"/>
        <w:tabs>
          <w:tab w:leader="none" w:pos="252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held in certificated form, appoint any person to execute, as transferor, an instrument of transfer of the shares to, or in accordance with the directions of the buyer; and</w:t>
      </w:r>
    </w:p>
    <w:p>
      <w:pPr>
        <w:spacing w:after="0" w:line="67" w:lineRule="exact"/>
        <w:rPr>
          <w:rFonts w:ascii="Times New Roman" w:cs="Times New Roman" w:eastAsia="Times New Roman" w:hAnsi="Times New Roman"/>
          <w:sz w:val="18"/>
          <w:szCs w:val="18"/>
          <w:color w:val="auto"/>
        </w:rPr>
      </w:pPr>
    </w:p>
    <w:p>
      <w:pPr>
        <w:ind w:left="2520" w:right="60" w:hanging="649"/>
        <w:spacing w:after="0" w:line="282" w:lineRule="auto"/>
        <w:tabs>
          <w:tab w:leader="none" w:pos="252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held in uncertificated form, do all acts and things it considers necessary or expedient to effect the transfer of the shares to or in accordance with the directions of the buyer,</w:t>
      </w:r>
    </w:p>
    <w:p>
      <w:pPr>
        <w:spacing w:after="0" w:line="54"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in each case, the title of the new holder to the share not be affected by any irregularity in, or invalidity of, the proceedings relating to the sale.</w:t>
      </w:r>
    </w:p>
    <w:p>
      <w:pPr>
        <w:spacing w:after="0" w:line="306" w:lineRule="exact"/>
        <w:rPr>
          <w:sz w:val="20"/>
          <w:szCs w:val="20"/>
          <w:color w:val="auto"/>
        </w:rPr>
      </w:pPr>
    </w:p>
    <w:p>
      <w:pPr>
        <w:ind w:left="660" w:hanging="544"/>
        <w:spacing w:after="0"/>
        <w:tabs>
          <w:tab w:leader="none" w:pos="660" w:val="left"/>
        </w:tabs>
        <w:numPr>
          <w:ilvl w:val="0"/>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proceeds of sale</w:t>
      </w:r>
    </w:p>
    <w:p>
      <w:pPr>
        <w:spacing w:after="0" w:line="12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proceeds of any sale made under article 144 will be forfeited and will belong to the Company. No interest shall be payable in respect of the net proceeds and the Company shall not be required to account for any money earned on the net proceeds. The Company will not be liable in any respect to the former member or members or other person who may or would have been entitled to the share or shares by law for the proceeds of sale, and the Company may use the proceeds of sale for any purpose as the Board may decide.</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DESTRUCTION OF DOCUMENTS</w:t>
      </w:r>
    </w:p>
    <w:p>
      <w:pPr>
        <w:spacing w:after="0" w:line="252" w:lineRule="exact"/>
        <w:rPr>
          <w:sz w:val="20"/>
          <w:szCs w:val="20"/>
          <w:color w:val="auto"/>
        </w:rPr>
      </w:pPr>
    </w:p>
    <w:p>
      <w:pPr>
        <w:ind w:left="660" w:hanging="544"/>
        <w:spacing w:after="0"/>
        <w:tabs>
          <w:tab w:leader="none" w:pos="660" w:val="left"/>
        </w:tabs>
        <w:numPr>
          <w:ilvl w:val="0"/>
          <w:numId w:val="5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Destruction of documents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Board may authorise or arrange the destruction of documents held by the Company as follows:</w:t>
      </w:r>
    </w:p>
    <w:p>
      <w:pPr>
        <w:spacing w:after="0" w:line="130" w:lineRule="exact"/>
        <w:rPr>
          <w:rFonts w:ascii="Times New Roman" w:cs="Times New Roman" w:eastAsia="Times New Roman" w:hAnsi="Times New Roman"/>
          <w:sz w:val="18"/>
          <w:szCs w:val="18"/>
          <w:color w:val="auto"/>
        </w:rPr>
      </w:pPr>
    </w:p>
    <w:p>
      <w:pPr>
        <w:ind w:left="2520" w:right="240" w:hanging="649"/>
        <w:spacing w:after="0" w:line="282" w:lineRule="auto"/>
        <w:tabs>
          <w:tab w:leader="none" w:pos="2520" w:val="left"/>
        </w:tabs>
        <w:numPr>
          <w:ilvl w:val="2"/>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six years from the date of registration, all instruments of transfer of shares and all other documents transferring or purporting to transfer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B-51</w:t>
      </w:r>
    </w:p>
    <w:p>
      <w:pPr>
        <w:sectPr>
          <w:pgSz w:w="11900" w:h="16838" w:orient="portrait"/>
          <w:cols w:equalWidth="0" w:num="1">
            <w:col w:w="11080"/>
          </w:cols>
          <w:pgMar w:left="320" w:top="455" w:right="49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40" w:right="80"/>
        <w:spacing w:after="0" w:line="282" w:lineRule="auto"/>
        <w:rPr>
          <w:sz w:val="20"/>
          <w:szCs w:val="20"/>
          <w:color w:val="auto"/>
        </w:rPr>
      </w:pPr>
      <w:r>
        <w:rPr>
          <w:rFonts w:ascii="Times New Roman" w:cs="Times New Roman" w:eastAsia="Times New Roman" w:hAnsi="Times New Roman"/>
          <w:sz w:val="18"/>
          <w:szCs w:val="18"/>
          <w:color w:val="auto"/>
        </w:rPr>
        <w:t>or representing or purporting to represent the right to be registered as the holder of shares on the faith of which entries have been made in the register;</w:t>
      </w:r>
    </w:p>
    <w:p>
      <w:pPr>
        <w:spacing w:after="0" w:line="67" w:lineRule="exact"/>
        <w:rPr>
          <w:sz w:val="20"/>
          <w:szCs w:val="20"/>
          <w:color w:val="auto"/>
        </w:rPr>
      </w:pPr>
    </w:p>
    <w:p>
      <w:pPr>
        <w:ind w:left="2520" w:right="260" w:hanging="649"/>
        <w:spacing w:after="0" w:line="282" w:lineRule="auto"/>
        <w:tabs>
          <w:tab w:leader="none" w:pos="2520"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one year from the date of cancellation, all registered share certificates which have been cancelled;</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two years from the date of recording them, all dividend mandates and notifications of change of address;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one year from the date of actual payment, all paid dividend warrants and cheques;</w:t>
      </w:r>
    </w:p>
    <w:p>
      <w:pPr>
        <w:spacing w:after="0" w:line="130" w:lineRule="exact"/>
        <w:rPr>
          <w:rFonts w:ascii="Times New Roman" w:cs="Times New Roman" w:eastAsia="Times New Roman" w:hAnsi="Times New Roman"/>
          <w:sz w:val="18"/>
          <w:szCs w:val="18"/>
          <w:color w:val="auto"/>
        </w:rPr>
      </w:pPr>
    </w:p>
    <w:p>
      <w:pPr>
        <w:ind w:left="2520" w:right="100" w:hanging="649"/>
        <w:spacing w:after="0" w:line="282" w:lineRule="auto"/>
        <w:tabs>
          <w:tab w:leader="none" w:pos="2520"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(or records of appointment) of proxy which have been used for the purpose of a poll at any time after the expiration of one year from the date of use; and</w:t>
      </w:r>
    </w:p>
    <w:p>
      <w:pPr>
        <w:spacing w:after="0" w:line="67" w:lineRule="exact"/>
        <w:rPr>
          <w:rFonts w:ascii="Times New Roman" w:cs="Times New Roman" w:eastAsia="Times New Roman" w:hAnsi="Times New Roman"/>
          <w:sz w:val="18"/>
          <w:szCs w:val="18"/>
          <w:color w:val="auto"/>
        </w:rPr>
      </w:pPr>
    </w:p>
    <w:p>
      <w:pPr>
        <w:ind w:left="2520" w:right="200" w:hanging="649"/>
        <w:spacing w:after="0" w:line="266" w:lineRule="auto"/>
        <w:tabs>
          <w:tab w:leader="none" w:pos="2520"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(or records of appointment) of proxy which have not been used for the purpose of a poll at any time after one month from the end of the meeting to which the appointment of proxy relates and at which no poll was demanded.</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it shall conclusively be presumed in favour of the Company that:</w:t>
      </w:r>
    </w:p>
    <w:p>
      <w:pPr>
        <w:spacing w:after="0" w:line="130"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entry in the register purporting to have been made on the basis of an instrument of transfer or other document so destroyed was duly and properly made;</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of transfer so destroyed was a valid and effective instrument duly and properly registered;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so destroyed was a valid certificate duly and properly cancelled;</w:t>
      </w:r>
    </w:p>
    <w:p>
      <w:pPr>
        <w:spacing w:after="0" w:line="130" w:lineRule="exact"/>
        <w:rPr>
          <w:rFonts w:ascii="Times New Roman" w:cs="Times New Roman" w:eastAsia="Times New Roman" w:hAnsi="Times New Roman"/>
          <w:sz w:val="18"/>
          <w:szCs w:val="18"/>
          <w:color w:val="auto"/>
        </w:rPr>
      </w:pPr>
    </w:p>
    <w:p>
      <w:pPr>
        <w:ind w:left="2520" w:right="840" w:hanging="649"/>
        <w:spacing w:after="0" w:line="282" w:lineRule="auto"/>
        <w:tabs>
          <w:tab w:leader="none" w:pos="252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document mentioned in paragraph (a) above so destroyed was a valid and effective document in accordance with the particulars of it recorded in the books and records of the Company; and</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paid dividend warrant and cheque so destroyed was duly paid.</w:t>
      </w:r>
    </w:p>
    <w:p>
      <w:pPr>
        <w:spacing w:after="0" w:line="130"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paragraph (b) above shall apply only to the destruction of a document in good faith and without notice of any claim (regardless of the parties to it) to which the document might be relevant.</w:t>
      </w:r>
    </w:p>
    <w:p>
      <w:pPr>
        <w:spacing w:after="0" w:line="67"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shall be construed as imposing on the Company or the Board any liability in respect of the destruction of any document earlier than as stated in paragraph (a) above or in any other circumstances in which liability would not attach to the Company or the Board in the absence of this article.</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to the destruction of any document include references to its disposal in any manner.</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131" w:lineRule="exact"/>
        <w:rPr>
          <w:sz w:val="20"/>
          <w:szCs w:val="20"/>
          <w:color w:val="auto"/>
        </w:rPr>
      </w:pPr>
    </w:p>
    <w:p>
      <w:pPr>
        <w:ind w:left="660" w:hanging="544"/>
        <w:spacing w:after="0"/>
        <w:tabs>
          <w:tab w:leader="none" w:pos="660"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to distribute </w:t>
      </w:r>
      <w:r>
        <w:rPr>
          <w:rFonts w:ascii="Times New Roman" w:cs="Times New Roman" w:eastAsia="Times New Roman" w:hAnsi="Times New Roman"/>
          <w:sz w:val="18"/>
          <w:szCs w:val="18"/>
          <w:b w:val="1"/>
          <w:bCs w:val="1"/>
          <w:i w:val="1"/>
          <w:iCs w:val="1"/>
          <w:color w:val="auto"/>
        </w:rPr>
        <w:t>in specie</w:t>
      </w:r>
    </w:p>
    <w:p>
      <w:pPr>
        <w:spacing w:after="0" w:line="121" w:lineRule="exact"/>
        <w:rPr>
          <w:rFonts w:ascii="Times New Roman" w:cs="Times New Roman" w:eastAsia="Times New Roman" w:hAnsi="Times New Roman"/>
          <w:sz w:val="18"/>
          <w:szCs w:val="18"/>
          <w:b w:val="1"/>
          <w:bCs w:val="1"/>
          <w:color w:val="auto"/>
        </w:rPr>
      </w:pPr>
    </w:p>
    <w:p>
      <w:pPr>
        <w:ind w:left="6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being wound up (whether the liquidation is voluntary, under supervision or by the Court or otherwise), the liquidator may, with the authority of a special resolution of the Company and any other authority required by the Statutes:</w:t>
      </w:r>
    </w:p>
    <w:p>
      <w:pPr>
        <w:spacing w:after="0" w:line="65" w:lineRule="exact"/>
        <w:rPr>
          <w:rFonts w:ascii="Times New Roman" w:cs="Times New Roman" w:eastAsia="Times New Roman" w:hAnsi="Times New Roman"/>
          <w:sz w:val="18"/>
          <w:szCs w:val="18"/>
          <w:b w:val="1"/>
          <w:bCs w:val="1"/>
          <w:color w:val="auto"/>
        </w:rPr>
      </w:pPr>
    </w:p>
    <w:p>
      <w:pPr>
        <w:ind w:left="2520" w:right="260" w:hanging="649"/>
        <w:spacing w:after="0" w:line="267" w:lineRule="auto"/>
        <w:tabs>
          <w:tab w:leader="none" w:pos="252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 among the members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the whole or any part of the assets of the Company and, for that purpose, value any assets and determine how the division shall be carried out as between the members or different classes of members; or</w:t>
      </w:r>
    </w:p>
    <w:p>
      <w:pPr>
        <w:spacing w:after="0" w:line="80" w:lineRule="exact"/>
        <w:rPr>
          <w:rFonts w:ascii="Times New Roman" w:cs="Times New Roman" w:eastAsia="Times New Roman" w:hAnsi="Times New Roman"/>
          <w:sz w:val="18"/>
          <w:szCs w:val="18"/>
          <w:color w:val="auto"/>
        </w:rPr>
      </w:pPr>
    </w:p>
    <w:p>
      <w:pPr>
        <w:ind w:left="2520" w:right="240" w:hanging="649"/>
        <w:spacing w:after="0" w:line="266" w:lineRule="auto"/>
        <w:tabs>
          <w:tab w:leader="none" w:pos="252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the whole or any part of the assets in trustees upon such trusts for the benefit of members as the liquidator, with the like sanction, shall think fit but no member shall be compelled to accept any assets upon which there is any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B-52</w:t>
      </w:r>
    </w:p>
    <w:p>
      <w:pPr>
        <w:sectPr>
          <w:pgSz w:w="11900" w:h="16838" w:orient="portrait"/>
          <w:cols w:equalWidth="0" w:num="1">
            <w:col w:w="11120"/>
          </w:cols>
          <w:pgMar w:left="320" w:top="455" w:right="45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INDEMNITY AND INSURANCE, ETC.</w:t>
      </w:r>
    </w:p>
    <w:p>
      <w:pPr>
        <w:spacing w:after="0" w:line="252" w:lineRule="exact"/>
        <w:rPr>
          <w:sz w:val="20"/>
          <w:szCs w:val="20"/>
          <w:color w:val="auto"/>
        </w:rPr>
      </w:pPr>
    </w:p>
    <w:p>
      <w:pPr>
        <w:ind w:left="660" w:hanging="544"/>
        <w:spacing w:after="0"/>
        <w:tabs>
          <w:tab w:leader="none" w:pos="660" w:val="left"/>
        </w:tabs>
        <w:numPr>
          <w:ilvl w:val="0"/>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indemnity, insurance and defence</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55" w:lineRule="auto"/>
        <w:tabs>
          <w:tab w:leader="none" w:pos="186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2006 Act, but without prejudice to any indemnity to which the person concerned may otherwise be entitled, every director or other officer of the Company shall be indemnified out of the assets of the Company against any liability incurred by him for negligence, default, breach of duty, breach of trust or otherwise in relation to the affairs of the Company or of an associated company, or in connection with the activities of the Company, or of an associated company, as a trustee of an occupational pension scheme (as defined in section 235(6) of the 2006 Act), provided that this article shall be deemed not to provide for, or entitle any such person to, indemnification to the extent that it would cause this article, or any element of it, to be treated as void under the 2006 Act or otherwise unlawful under the 2006 Act.</w:t>
      </w:r>
    </w:p>
    <w:p>
      <w:pPr>
        <w:spacing w:after="0" w:line="94" w:lineRule="exact"/>
        <w:rPr>
          <w:rFonts w:ascii="Times New Roman" w:cs="Times New Roman" w:eastAsia="Times New Roman" w:hAnsi="Times New Roman"/>
          <w:sz w:val="18"/>
          <w:szCs w:val="18"/>
          <w:color w:val="auto"/>
        </w:rPr>
      </w:pPr>
    </w:p>
    <w:p>
      <w:pPr>
        <w:ind w:left="1860" w:right="140" w:hanging="543"/>
        <w:spacing w:after="0" w:line="282" w:lineRule="auto"/>
        <w:tabs>
          <w:tab w:leader="none" w:pos="186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foregoing, the Board may exercise all the powers of the Company to purchase and maintain insurance for or for the benefit of any person who is or was:</w:t>
      </w:r>
    </w:p>
    <w:p>
      <w:pPr>
        <w:spacing w:after="0" w:line="67" w:lineRule="exact"/>
        <w:rPr>
          <w:rFonts w:ascii="Times New Roman" w:cs="Times New Roman" w:eastAsia="Times New Roman" w:hAnsi="Times New Roman"/>
          <w:sz w:val="18"/>
          <w:szCs w:val="18"/>
          <w:color w:val="auto"/>
        </w:rPr>
      </w:pPr>
    </w:p>
    <w:p>
      <w:pPr>
        <w:ind w:left="2520" w:hanging="649"/>
        <w:spacing w:after="0" w:line="261" w:lineRule="auto"/>
        <w:tabs>
          <w:tab w:leader="none" w:pos="2520" w:val="left"/>
        </w:tabs>
        <w:numPr>
          <w:ilvl w:val="2"/>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employee or auditor of the Company or any body which is or was the holding company or subsidiary undertaking of the Company, or in which the Company or such holding company or subsidiary undertaking has or had any interest (whether direct or indirect) or with which the Company or such holding company or subsidiary undertaking is or was in any way allied or associated; or</w:t>
      </w:r>
    </w:p>
    <w:p>
      <w:pPr>
        <w:spacing w:after="0" w:line="85"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2"/>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any pension fund in which employees of the Company or any other body referred to in paragraph (i) above are or have been interested,</w:t>
      </w:r>
    </w:p>
    <w:p>
      <w:pPr>
        <w:spacing w:after="0" w:line="54" w:lineRule="exact"/>
        <w:rPr>
          <w:sz w:val="20"/>
          <w:szCs w:val="20"/>
          <w:color w:val="auto"/>
        </w:rPr>
      </w:pPr>
    </w:p>
    <w:p>
      <w:pPr>
        <w:ind w:left="1880" w:right="280"/>
        <w:spacing w:after="0" w:line="266" w:lineRule="auto"/>
        <w:rPr>
          <w:sz w:val="20"/>
          <w:szCs w:val="20"/>
          <w:color w:val="auto"/>
        </w:rPr>
      </w:pPr>
      <w:r>
        <w:rPr>
          <w:rFonts w:ascii="Times New Roman" w:cs="Times New Roman" w:eastAsia="Times New Roman" w:hAnsi="Times New Roman"/>
          <w:sz w:val="18"/>
          <w:szCs w:val="18"/>
          <w:color w:val="auto"/>
        </w:rPr>
        <w:t>including without limitation insurance against any liability incurred by such person in respect of any act or omission in the actual or purported execution or discharge of his duties or in the exercise or purported exercise of his powers or otherwise in relation to his duties, powers or offices in relation to the relevant body or fund.</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52" w:lineRule="exact"/>
        <w:rPr>
          <w:sz w:val="20"/>
          <w:szCs w:val="20"/>
          <w:color w:val="auto"/>
        </w:rPr>
      </w:pPr>
    </w:p>
    <w:p>
      <w:pPr>
        <w:ind w:left="660" w:hanging="544"/>
        <w:spacing w:after="0"/>
        <w:tabs>
          <w:tab w:leader="none" w:pos="660" w:val="left"/>
        </w:tabs>
        <w:numPr>
          <w:ilvl w:val="0"/>
          <w:numId w:val="5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Forum Selection</w:t>
      </w:r>
    </w:p>
    <w:p>
      <w:pPr>
        <w:spacing w:after="0" w:line="134" w:lineRule="exact"/>
        <w:rPr>
          <w:rFonts w:ascii="Times New Roman" w:cs="Times New Roman" w:eastAsia="Times New Roman" w:hAnsi="Times New Roman"/>
          <w:sz w:val="18"/>
          <w:szCs w:val="18"/>
          <w:b w:val="1"/>
          <w:bCs w:val="1"/>
          <w:color w:val="auto"/>
        </w:rPr>
      </w:pPr>
    </w:p>
    <w:p>
      <w:pPr>
        <w:ind w:left="1860" w:right="180" w:hanging="543"/>
        <w:spacing w:after="0" w:line="282" w:lineRule="auto"/>
        <w:tabs>
          <w:tab w:leader="none" w:pos="1860"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Courts of England and Wales shall, to the fullest extent permitted by law, be the sole and exclusive forum for: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130" w:lineRule="exact"/>
        <w:rPr>
          <w:rFonts w:ascii="Times New Roman" w:cs="Times New Roman" w:eastAsia="Times New Roman" w:hAnsi="Times New Roman"/>
          <w:sz w:val="18"/>
          <w:szCs w:val="18"/>
          <w:color w:val="auto"/>
        </w:rPr>
      </w:pPr>
    </w:p>
    <w:p>
      <w:pPr>
        <w:ind w:left="2520" w:right="40" w:hanging="649"/>
        <w:spacing w:after="0" w:line="266" w:lineRule="auto"/>
        <w:tabs>
          <w:tab w:leader="none" w:pos="2520" w:val="left"/>
        </w:tabs>
        <w:numPr>
          <w:ilvl w:val="2"/>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including any action commenced by a member of the Company in its own name or on behalf of the Company, asserting a claim of breach of any fiduciary or other duty owed by any director, officer or other employee of the Company (including but not limited to duties arising under the 2006 Act); and/or</w:t>
      </w:r>
    </w:p>
    <w:p>
      <w:pPr>
        <w:spacing w:after="0" w:line="81" w:lineRule="exact"/>
        <w:rPr>
          <w:rFonts w:ascii="Times New Roman" w:cs="Times New Roman" w:eastAsia="Times New Roman" w:hAnsi="Times New Roman"/>
          <w:sz w:val="18"/>
          <w:szCs w:val="18"/>
          <w:color w:val="auto"/>
        </w:rPr>
      </w:pPr>
    </w:p>
    <w:p>
      <w:pPr>
        <w:ind w:left="2520" w:right="80" w:hanging="649"/>
        <w:spacing w:after="0" w:line="258" w:lineRule="auto"/>
        <w:tabs>
          <w:tab w:leader="none" w:pos="2520" w:val="left"/>
        </w:tabs>
        <w:numPr>
          <w:ilvl w:val="2"/>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out of or in connection with these articles (pursuant to any provision of the laws of England and Wales or these articles (as either may be may be amended from time to time)) or otherwise in any way relating to the constitution or conduct of the Company, other than any such action in any way relating to the conduct of the Company arising out of a breach of any federal law of the United States of America or the laws of any State of the United States of America.</w:t>
      </w:r>
    </w:p>
    <w:p>
      <w:pPr>
        <w:spacing w:after="0" w:line="88"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 be the sole and exclusive forum for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B-53</w:t>
      </w:r>
    </w:p>
    <w:p>
      <w:pPr>
        <w:sectPr>
          <w:pgSz w:w="11900" w:h="16838" w:orient="portrait"/>
          <w:cols w:equalWidth="0" w:num="1">
            <w:col w:w="11120"/>
          </w:cols>
          <w:pgMar w:left="320" w:top="455" w:right="45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resolution of any complaint asserting a cause of action arising under the United States Securities Act of 1933, as amended or any successor thereto.</w:t>
      </w:r>
    </w:p>
    <w:p>
      <w:pPr>
        <w:spacing w:after="0" w:line="67" w:lineRule="exact"/>
        <w:rPr>
          <w:sz w:val="20"/>
          <w:szCs w:val="20"/>
          <w:color w:val="auto"/>
        </w:rPr>
      </w:pPr>
    </w:p>
    <w:p>
      <w:pPr>
        <w:ind w:left="1860" w:hanging="543"/>
        <w:spacing w:after="0" w:line="282" w:lineRule="auto"/>
        <w:tabs>
          <w:tab w:leader="none" w:pos="186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contained in this article 149 shall apply to any action brought to enforce a duty or liability created by the Exchange Act or any successor thereto.</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B-54</w:t>
      </w:r>
    </w:p>
    <w:p>
      <w:pPr>
        <w:sectPr>
          <w:pgSz w:w="11900" w:h="16838" w:orient="portrait"/>
          <w:cols w:equalWidth="0" w:num="1">
            <w:col w:w="10940"/>
          </w:cols>
          <w:pgMar w:left="320" w:top="455" w:right="63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242 of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 General Corporation Law</w:t>
      </w:r>
    </w:p>
    <w:p>
      <w:pPr>
        <w:spacing w:after="0" w:line="203"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ARMADA ACQUISITION CORP. I </w:t>
      </w:r>
      <w:r>
        <w:rPr>
          <w:rFonts w:ascii="Times New Roman" w:cs="Times New Roman" w:eastAsia="Times New Roman" w:hAnsi="Times New Roman"/>
          <w:sz w:val="18"/>
          <w:szCs w:val="18"/>
          <w:color w:val="auto"/>
        </w:rPr>
        <w:t>(the “Corporation”), a corporation organized and existing under the laws of the State of Delaware, does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certify as follows:</w:t>
      </w:r>
    </w:p>
    <w:p>
      <w:pPr>
        <w:spacing w:after="0" w:line="64" w:lineRule="exact"/>
        <w:rPr>
          <w:sz w:val="20"/>
          <w:szCs w:val="20"/>
          <w:color w:val="auto"/>
        </w:rPr>
      </w:pPr>
    </w:p>
    <w:p>
      <w:pPr>
        <w:ind w:left="340" w:right="20" w:hanging="224"/>
        <w:spacing w:after="0" w:line="261" w:lineRule="auto"/>
        <w:tabs>
          <w:tab w:leader="none" w:pos="3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Armada Acquisition Corp. I. The Corporation’s Certificate of Incorporation was filed in the office of the Secretary of State of the State of Delaware on November 11, 2020 (the “Original Certificate”) and was subsequently amended and restated on February 3, 2021. A Second Amended and Restated Certificate of Incorporation was filed in the office of the Secretary of State of the State of Delaware on August 12, 2021 (the “Amended and Restated Certificate of Incorporation”).</w:t>
      </w:r>
    </w:p>
    <w:p>
      <w:pPr>
        <w:spacing w:after="0" w:line="85" w:lineRule="exact"/>
        <w:rPr>
          <w:rFonts w:ascii="Times New Roman" w:cs="Times New Roman" w:eastAsia="Times New Roman" w:hAnsi="Times New Roman"/>
          <w:sz w:val="18"/>
          <w:szCs w:val="18"/>
          <w:color w:val="auto"/>
        </w:rPr>
      </w:pPr>
    </w:p>
    <w:p>
      <w:pPr>
        <w:ind w:left="340" w:right="320" w:hanging="224"/>
        <w:spacing w:after="0" w:line="282" w:lineRule="auto"/>
        <w:tabs>
          <w:tab w:leader="none" w:pos="3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Amended and Restated Certificate of Incorporation amends the Amended and Restated Certificate of Incorporation of the Corporation.</w:t>
      </w:r>
    </w:p>
    <w:p>
      <w:pPr>
        <w:spacing w:after="0" w:line="67" w:lineRule="exact"/>
        <w:rPr>
          <w:rFonts w:ascii="Times New Roman" w:cs="Times New Roman" w:eastAsia="Times New Roman" w:hAnsi="Times New Roman"/>
          <w:sz w:val="18"/>
          <w:szCs w:val="18"/>
          <w:color w:val="auto"/>
        </w:rPr>
      </w:pPr>
    </w:p>
    <w:p>
      <w:pPr>
        <w:ind w:left="340" w:right="180" w:hanging="224"/>
        <w:spacing w:after="0" w:line="266" w:lineRule="auto"/>
        <w:tabs>
          <w:tab w:leader="none" w:pos="3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Amended and Restated Certificate of Incorporation was duly adopted by the affirmative vote of the holders of a majority of the voting power of all of the outstanding shares of the capital stock of the Corporation entitled to vote generally at a meeting of stockholders in accordance with the provisions of Section 242 of the General Corporation Law of the State of Delaware (the “DGCL”).</w:t>
      </w:r>
    </w:p>
    <w:p>
      <w:pPr>
        <w:spacing w:after="0" w:line="81"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Section E of Article SIXTH is deleted in its entirety and replaced with the following: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Armada Acquisition Corp. I has caused this Amendment to the Amended and Restated Certificate to be duly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name and on its behalf by an authorized officer as of this [x]th day of         , 2024.</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24345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Stephen P. Herbert</w:t>
      </w:r>
    </w:p>
    <w:p>
      <w:pPr>
        <w:spacing w:after="0" w:line="23"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140"/>
          </w:cols>
          <w:pgMar w:left="320" w:top="455" w:right="43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251460</wp:posOffset>
            </wp:positionV>
            <wp:extent cx="1517015" cy="6343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5170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Acquisition Corp. 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Suite 3120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2005 Market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Members of the Board of Directors:</w:t>
      </w:r>
    </w:p>
    <w:p>
      <w:pPr>
        <w:spacing w:after="0" w:line="11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understand that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proposes to enter into a Business Combination Agreement, originally dated as of December 16, 2021 and amended as of March 31, 2022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Armada,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and Rezolve Limited, a private limited liability company registered under the laws of England and Wales with registration number 09773823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 which Armada will merge with and into Rezolve Merger Sub, with Armada continuing as the surviving entity. Each issued and outstanding share of common stock of Armada (“</w:t>
      </w:r>
      <w:r>
        <w:rPr>
          <w:rFonts w:ascii="Times New Roman" w:cs="Times New Roman" w:eastAsia="Times New Roman" w:hAnsi="Times New Roman"/>
          <w:sz w:val="18"/>
          <w:szCs w:val="18"/>
          <w:u w:val="single" w:color="auto"/>
          <w:color w:val="auto"/>
        </w:rPr>
        <w:t>Armada Common Stock</w:t>
      </w:r>
      <w:r>
        <w:rPr>
          <w:rFonts w:ascii="Times New Roman" w:cs="Times New Roman" w:eastAsia="Times New Roman" w:hAnsi="Times New Roman"/>
          <w:sz w:val="18"/>
          <w:szCs w:val="18"/>
          <w:color w:val="auto"/>
        </w:rPr>
        <w:t>”) immediately prior to the effective time of the Merger (the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will be exchanged for one Company Ordinary Share; (ii) each issued and outstanding warrant of Armada (an “</w:t>
      </w:r>
      <w:r>
        <w:rPr>
          <w:rFonts w:ascii="Times New Roman" w:cs="Times New Roman" w:eastAsia="Times New Roman" w:hAnsi="Times New Roman"/>
          <w:sz w:val="18"/>
          <w:szCs w:val="18"/>
          <w:u w:val="single" w:color="auto"/>
          <w:color w:val="auto"/>
        </w:rPr>
        <w:t>Armada Warrant</w:t>
      </w:r>
      <w:r>
        <w:rPr>
          <w:rFonts w:ascii="Times New Roman" w:cs="Times New Roman" w:eastAsia="Times New Roman" w:hAnsi="Times New Roman"/>
          <w:sz w:val="18"/>
          <w:szCs w:val="18"/>
          <w:color w:val="auto"/>
        </w:rPr>
        <w:t>”) immediately prior to the Merger Effective Time will be exchanged for one warrant in the capital of the Company (a “</w:t>
      </w:r>
      <w:r>
        <w:rPr>
          <w:rFonts w:ascii="Times New Roman" w:cs="Times New Roman" w:eastAsia="Times New Roman" w:hAnsi="Times New Roman"/>
          <w:sz w:val="18"/>
          <w:szCs w:val="18"/>
          <w:u w:val="single" w:color="auto"/>
          <w:color w:val="auto"/>
        </w:rPr>
        <w:t>Company Public Warrant</w:t>
      </w:r>
      <w:r>
        <w:rPr>
          <w:rFonts w:ascii="Times New Roman" w:cs="Times New Roman" w:eastAsia="Times New Roman" w:hAnsi="Times New Roman"/>
          <w:sz w:val="18"/>
          <w:szCs w:val="18"/>
          <w:color w:val="auto"/>
        </w:rPr>
        <w:t>”); (iii) each issued and outstanding unit of Armada (an “</w:t>
      </w:r>
      <w:r>
        <w:rPr>
          <w:rFonts w:ascii="Times New Roman" w:cs="Times New Roman" w:eastAsia="Times New Roman" w:hAnsi="Times New Roman"/>
          <w:sz w:val="18"/>
          <w:szCs w:val="18"/>
          <w:u w:val="single" w:color="auto"/>
          <w:color w:val="auto"/>
        </w:rPr>
        <w:t>Armada Unit</w:t>
      </w:r>
      <w:r>
        <w:rPr>
          <w:rFonts w:ascii="Times New Roman" w:cs="Times New Roman" w:eastAsia="Times New Roman" w:hAnsi="Times New Roman"/>
          <w:sz w:val="18"/>
          <w:szCs w:val="18"/>
          <w:color w:val="auto"/>
        </w:rPr>
        <w:t>”) immediately prior to the Merger Effective Time will be separated into its component parts (one share of Armada Common Stock and one-half of one Armada Warrant), with each share of Armada Common Stock to be exchanged for one Company Ordinary Share. As a result of the Business Combination, the Company will become a new public company, and Armada will become a wholly owned subsidiary of the Company.</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been advised that the Transaction will result in the shareholders of the Company holding a number of Company Ordinary Shares equal to</w:t>
      </w:r>
    </w:p>
    <w:p>
      <w:pPr>
        <w:spacing w:after="0" w:line="27" w:lineRule="exact"/>
        <w:rPr>
          <w:sz w:val="20"/>
          <w:szCs w:val="20"/>
          <w:color w:val="auto"/>
        </w:rPr>
      </w:pPr>
    </w:p>
    <w:p>
      <w:pPr>
        <w:ind w:left="120" w:right="60" w:hanging="4"/>
        <w:spacing w:after="0" w:line="253" w:lineRule="auto"/>
        <w:tabs>
          <w:tab w:leader="none" w:pos="415"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$1,750,000,000 by (y) $10.00 minus (B) the Outstanding Warrant Number and minus (C) the Acquisition Shares (to the extent such Acquisition Shares are not already issued on or prior to the Company Reorganization Date). The terms of the Transaction are more fully set forth in the Business Combination Agreement and capitalized terms used but not defined herein have the meanings ascribed to such terms in the Business Combination Agreement.</w:t>
      </w:r>
    </w:p>
    <w:p>
      <w:pPr>
        <w:spacing w:after="0" w:line="18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You have requested our opinion as to (i) the fairness, from a financial point of view, to Armada of the Aggregate Stock Consideration under the Business Combination Agreement, and (ii) whether the Company has a fair market value equal to at least 80 percent of the balance of funds in Armada’s trust account (excluding deferred underwriting commissions and taxes payable). This letter supersedes our letter dated December 16, 2021.</w:t>
      </w:r>
    </w:p>
    <w:p>
      <w:pPr>
        <w:spacing w:after="0" w:line="176"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as a customary part of our investment banking business, are continually engaged in performing financial analyses regarding businesses and their securities in connection with acquisitions, negotiated underwritings, competitive biddings, secondary distributions of listed and unlisted securities, private placements, and other transactions and for estate, corporate and other purposes. We have been engaged by the Board of Directors of Armada to render the opinions set forth below (the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to it and we will receive a fee of $1,150,000 from Armada for providing the Opinions, of which $100,000 was paid on December 16, 2021, $20,000 is payable upon delivery of the Opinions, and the balance is payable upon closing of the Transaction. In addition, Armada has agreed to reimburse certain of our expenses arising, and indemnify us against certain liabilities that may arise, out of our engagement relating to providing the Opinion. We have not been requested to, and did not,</w:t>
      </w:r>
    </w:p>
    <w:p>
      <w:pPr>
        <w:sectPr>
          <w:pgSz w:w="11900" w:h="16838" w:orient="portrait"/>
          <w:cols w:equalWidth="0" w:num="1">
            <w:col w:w="11140"/>
          </w:cols>
          <w:pgMar w:left="320" w:top="455" w:right="43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negotiations regarding the Business Combination Agreement, (ii) solicit any expressions of interest from any other parties regarding</w:t>
      </w:r>
    </w:p>
    <w:p>
      <w:pPr>
        <w:spacing w:after="0" w:line="27" w:lineRule="exact"/>
        <w:rPr>
          <w:rFonts w:ascii="Times New Roman" w:cs="Times New Roman" w:eastAsia="Times New Roman" w:hAnsi="Times New Roman"/>
          <w:sz w:val="18"/>
          <w:szCs w:val="18"/>
          <w:color w:val="auto"/>
        </w:rPr>
      </w:pPr>
    </w:p>
    <w:p>
      <w:pPr>
        <w:ind w:left="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combination with Armada or any other alternative transaction or (iii) advise the Board of Directors of Armada or any other party regarding alternatives to the Transaction. In addition, we were not requested to and did not provide advice regarding the structure or any other aspect of the Transaction, or to provide services other than the delivery of the Opinion. We have not otherwise acted as financial advisor to any party to the Transaction. On August 12, 2021, we entered into an Underwriting Agreement with Armada, under which we received 1% of the gross proceeds of Armada’s initial public offering. Such amount totaled $1,500,000. On August 12, 2021, we entered into a Business Combination Marketing Agreement with Armada, under which we are entitled to receive (a) a cash advisory fee of 2.25% of the gross proceeds of Armada’s initial public offering; (b) a capital markets advisory fee of $2,500,000; and (c) a finder fee equal to 1% of the total consideration if we introduce Armanda to a target with which a business combination is completed. The fees under the Business Combination Marketing Agreement are payable upon the closing of Armada’s initial business combination. In the ordinary course of our business, we and our affiliates may actively trade securities of Armada for our own account or the account of our customers and, accordingly, we may hold a long or short position in such securities. We may seek to be engaged for compensation in the future to perform investment banking services for Armada.</w:t>
      </w:r>
    </w:p>
    <w:p>
      <w:pPr>
        <w:spacing w:after="0" w:line="19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 connection with our review of the Transaction and in arriving at our Opinions, we have made such reviews, analyses, and inquiries as we have deemed necessary and appropriate under the circumstances. Among other things, we have reviewed:</w:t>
      </w:r>
    </w:p>
    <w:p>
      <w:pPr>
        <w:spacing w:after="0" w:line="67" w:lineRule="exact"/>
        <w:rPr>
          <w:sz w:val="20"/>
          <w:szCs w:val="20"/>
          <w:color w:val="auto"/>
        </w:rPr>
      </w:pPr>
    </w:p>
    <w:p>
      <w:pPr>
        <w:ind w:left="1080" w:hanging="532"/>
        <w:spacing w:after="0"/>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terms of the draft of the Business Combination Agreement, dated March 8, 2022;</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Registration Statement on Form S-1, as amended, and Final Prospectus filed under Rule 424;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Quarterly Report on Form 10-Q and other reports filed with the Securities and Exchange Commission;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historical financial statements for the calendar year ended December 31, 2020;</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revised projected financial statements for the calendar years ending December 31, 2021 through December 31, 2024, which were revised in March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roadshow presentation dated December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financial and business information provided to Northland by Armada, the Company, and their advisors;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information, estimates, and financial and operations forecasts for Rezolve, prepared by management of Armada or the Company;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releases issued by Armada and the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reports and research reports, including KPMG’s Commercial Due Diligence report dated November 3,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of the side letter between Armada Sponsor, LLC and the Company dated March 28, 2022; and</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historical price and trading activity for the common stock of Armada, compared to certain financial stock market information for Armada with that similar information for certain other companies the securities of which are publicly traded, and reviewed the financial terms of certain recent business combinations, and other studies and analyses it deemed appropriate.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participated in conference calls with Stephen Herbert, Chairman and CEO of Armada, and Douglas Lurio, President and Director of Armada.</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we have conducted such other analyses, examinations, and inquiries and considered such other financial, economic and market criteria as we have deemed necessary and appropriate in arriving at our Opinions.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H-2</w:t>
      </w:r>
    </w:p>
    <w:p>
      <w:pPr>
        <w:sectPr>
          <w:pgSz w:w="11900" w:h="16838" w:orient="portrait"/>
          <w:cols w:equalWidth="0" w:num="1">
            <w:col w:w="11120"/>
          </w:cols>
          <w:pgMar w:left="320" w:top="455" w:right="45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reviewing the Transaction, financial analyses, and in rendering our Opinions, we have relied upon and assumed, without independent verification, the accuracy and completeness of all data, material and other information furnished, or otherwise made available, to us, discussed with or reviewed by us, or publicly available, and assume no responsibility regarding such data, material, and other information. In addition, Armada’s management advised us, and we have assumed with your permission, that the financial projections reviewed by us have been reasonably prepared in good faith on bases reflecting the best available estimates and judgments of Armada’s management as to the future financial results and condition of the Company and we express no opinion regarding such projections or the assumptions on which they are based. We have relied upon Armada to advise us promptly if any information provided became inaccurate or had to be updated during the period of our review. If the foregoing assumptions are inaccurate, our Opinions could be materially affected. Armada does not publicly disclose internal financial information of the type provided to us in connection with our review of the Transaction. As a result, such information was prepared for financial planning purposes and was not prepared with the expectation of public disclosure.</w:t>
      </w:r>
    </w:p>
    <w:p>
      <w:pPr>
        <w:spacing w:after="0" w:line="19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you are aware, the credit, financial, and stock markets have from time-to-time experienced unusual volatility, and we express no opinion or view as to any potential effects of such volatility on the Transaction and the Opinions do not address potential developments in any such markets. In addition, we express no opinion or view as to any potential effects of the COVID-19 pandemic on the Transaction or Armada.</w:t>
      </w:r>
    </w:p>
    <w:p>
      <w:pPr>
        <w:spacing w:after="0" w:line="176"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there has been no change in the business, assets, liabilities, financial condition, results of operations, cash flows or prospects of since the respective dates of the most recent financial statements and other information, financial or otherwise, provided to us that would be material to our analyses or our Opinions, and there is no information or any facts that would make the information reviewed by us incomplete or misleading.</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have assumed that the final form of the Business Combination Agreement will be substantially similar to the draft we reviewed, dated March 8, 2022 without modification of material terms or conditions. We have assumed that the Transaction will be consummated under the terms of the Business Combination Agreement without amendments thereto and without waiver by any party of any conditions or obligations thereunder. In arriving at our Opinions, we have assumed that all the regulatory approvals and consents required for the Transaction will be obtained in a manner that will not adversely affect Armada or alter the terms of the Transaction. Without limiting the generality of the foregoing, we have, for purposes of our analyses of the Aggregate Stock Consideration, assumed the financial projections furnished to us by Armada are accurate and have further assumed there will be no adjustment to the consideration for balance sheet or other items.</w:t>
      </w:r>
    </w:p>
    <w:p>
      <w:pPr>
        <w:spacing w:after="0" w:line="189" w:lineRule="exact"/>
        <w:rPr>
          <w:sz w:val="20"/>
          <w:szCs w:val="20"/>
          <w:color w:val="auto"/>
        </w:rPr>
      </w:pPr>
    </w:p>
    <w:p>
      <w:pPr>
        <w:ind w:left="120" w:right="140"/>
        <w:spacing w:after="0" w:line="273" w:lineRule="auto"/>
        <w:rPr>
          <w:sz w:val="20"/>
          <w:szCs w:val="20"/>
          <w:color w:val="auto"/>
        </w:rPr>
      </w:pPr>
      <w:r>
        <w:rPr>
          <w:rFonts w:ascii="Times New Roman" w:cs="Times New Roman" w:eastAsia="Times New Roman" w:hAnsi="Times New Roman"/>
          <w:sz w:val="17"/>
          <w:szCs w:val="17"/>
          <w:color w:val="auto"/>
        </w:rPr>
        <w:t>In arriving at our Opinions, we have performed no appraisals or valuations of any specific assets or liabilities (fixed, contingent, or other) of the Company, including any intellectual property for which the Company might receive royalty or licensing fees, and we have not been furnished with any such appraisals or valuations, and have made no physical inspection of the property or assets of the Company. We express no opinion regarding the liquidation value of any entity. In arriving at the Opinions set forth below, we have undertaken no independent analysis of any pending or threatened litigation, governmental proceedings or investigations, possible unasserted claims or other contingent liabilities, to which any of the Company or its affiliates is a party or may be subject and at the Company’s o direction and with its consent, in arriving at our Opinions, we have made no assumption about and therefore have not considered, the possible assertion of claims, outcomes, damages, or recoveries arising out of any such matters.</w:t>
      </w:r>
    </w:p>
    <w:p>
      <w:pPr>
        <w:spacing w:after="0" w:line="17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None of the companies or transaction we may have used in any analysis for purposes of comparison is identical to the Company or the Transaction. Accordingly, our analysis of the results of the comparisons is not mathematical; rather, it involves complex considerations and judgments about differences in the companies and transactions to which the Company and the Transaction were compared and other factors that could affect the public trading value or transaction value of the companies or transactions. We also have considered no potential judicial, legislative, or regulatory changes pending or being considered or that may be adopted by any judicial,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H-3</w:t>
      </w:r>
    </w:p>
    <w:p>
      <w:pPr>
        <w:sectPr>
          <w:pgSz w:w="11900" w:h="16838" w:orient="portrait"/>
          <w:cols w:equalWidth="0" w:num="1">
            <w:col w:w="11120"/>
          </w:cols>
          <w:pgMar w:left="320" w:top="455" w:right="45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governmental, or regulatory bodies or any potential changes in accounting methods or generally accepted accounting principles that may be adopted.</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Opinions is based upon the financial, market, economic, and other conditions that exist on, and the information made available to us as of, the date hereof. It should be understood that subsequent developments may affect the Opinions and that we disclaim any undertaking or obligation to advise any person of any change in any fact or matter affecting the Opinions that may come or be brought to our attention after the date of the Opinions. We have not undertaken to reaffirm or revise the Opinions or otherwise comment upon any events after the date hereof and have no obligation to update, revise or reaffirm the Opinions.</w:t>
      </w:r>
    </w:p>
    <w:p>
      <w:pPr>
        <w:spacing w:after="0" w:line="183"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Consistent with applicable legal and regulatory requirements, we have adopted policies and procedures to establish and maintain the independence of our research department and personnel. Our research analysts may hold opinions, make statements or recommendations, or publish research reports regarding the Company or the Transaction and other participants in the Transaction that differ from the views of our investment banking personnel.</w:t>
      </w:r>
    </w:p>
    <w:p>
      <w:pPr>
        <w:spacing w:after="0" w:line="15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Opinions is furnished under our engagement letter dated December 6, 2021 (as supplemented on March 29, 2022, the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The Opinions are directed to the Board of Directors of Armada in connection with its consideration of the Transaction. The Opinions are furnished solely to be used by the Board of Directors of Armada as only one input to consider in its process of analyzing the Transaction and is not intended to be and does not constitute a recommendation to any member of the Board of Directors or any stockholder of Armada as to how such director or stockholder should act or vote regarding the Transaction or any other matter. Notwithstanding the foregoing, the Board of Directors of Armada may rely upon the Opinions. The Opinions delivered to the Board of Directors are subject to the conditions, scope of engagement, limitations, and understandings in this opinion and in the Engagement Letter.</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Opinions address solely the fairness, from a financial point of view, to Armada of the Aggregate Stock Consideration under the Agreement and the fair market value of the Company. We were not requested to opine as to, and the Opinions do not address, the basic business decision to proceed with or effect the Transaction, or any solvency or fraudulent conveyance consideration relating to the Transaction. We express no opinion as to the relative merits of the Transaction as compared to any alternative business strategies or transactions that might exist for Armada or any other party or the effect of any other transaction in which Armada or any other party might engage. We express no opinion as to the amount, nature or fairness of the consideration or compensation to be received in or because of the Transaction by securityholders, officers, directors, or employees of the Company, or any other class of such persons, or relative to or in comparison with the Aggregate Stock Consideration. We have not been asked to consider, and the Opinions do not address, the solvency or viability of Armada to pay its obligations when they come due. We are not rendering any financial, legal, accounting, or other advice and understand that Armada is relying on its legal counsel and accounting advisors as to legal and accounting matters in connection with the Transaction.</w:t>
      </w:r>
    </w:p>
    <w:p>
      <w:pPr>
        <w:spacing w:after="0" w:line="19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Preparing a fairness opinion is a complex, analytical process involving various determinations as to the most appropriate and relevant methods of financial analysis and applying those methods to the particular circumstances and is not necessarily susceptible to partial analysis or summary description. In arriving at the Opinions, we attributed no particular weight to any particular analysis or factor considered by us, but rather made qualitative judgments as to the significance and relevance of each analysis and factor. Several analytical methodologies were employed by us in our analyses, and no one method of analysis should be regarded as critical to the overall conclusion reached. Each analytical technique has inherent strengths and weaknesses, and the nature of the available information may further affect the value of particular techniques. Accordingly, we believe that our analyses must be considered as a whole and that selecting portions of our analyses and of the factors considered by us, without considering all analyses and factors in their entirety, could create a misleading or incomplete view of the evaluation process underlying the Opinions. The conclusion reached by us, therefore, is based on applying our own experience and judgment to all analyses and factors considered by us. The Opinions were reviewed and approved by the Northland Securities Fairness Opinion Committee.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H-4</w:t>
      </w:r>
    </w:p>
    <w:p>
      <w:pPr>
        <w:sectPr>
          <w:pgSz w:w="11900" w:h="16838" w:orient="portrait"/>
          <w:cols w:equalWidth="0" w:num="1">
            <w:col w:w="11120"/>
          </w:cols>
          <w:pgMar w:left="320" w:top="455" w:right="45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Opinions shall not be published, disclosed, or otherwise used, nor shall any public references to us be made, without our prior written approval. This letter and a summary thereof may be filed with or included in or with any proxy or information statement required to be filed by Armada with the Securities and Exchange Commission and delivered to the holders of Armada’s securities in connection with the Transaction. However, no reference to this letter or the Opinions in the proxy or information statement may be made without our written consent and subject to our approval of the language that references this letter or the Opinions, which consent we will not unreasonably withhold, condition, or delay.</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based upon such other factors as we consider relevant, it is our opinion that, as of the date hereof, (i) the Aggregate Stock Consideration under the Business Combination Agreement is fair, from a financial point of view, to Armada and (ii) the Company has a fair market value equal to at least 80 percent of the balance of funds in Armada’s trust account (excluding deferred underwriting commissions and taxes payable and subject to proportionate adjustments related to Nasdaq’s 80 percent test).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Northland Securities,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Northland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H-5</w:t>
      </w:r>
    </w:p>
    <w:p>
      <w:pPr>
        <w:sectPr>
          <w:pgSz w:w="11900" w:h="16838" w:orient="portrait"/>
          <w:cols w:equalWidth="0" w:num="1">
            <w:col w:w="11120"/>
          </w:cols>
          <w:pgMar w:left="320" w:top="455" w:right="45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2099945" cy="74612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09994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Reference: 34-36-63609</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Mr. Stephen Herbert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1760 Market Street, Suite 602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Marshall &amp; Stevens Transaction Advisory Services LLC (referred to herein as “Marshall &amp; Stevens” or “we,” “us,” or “our”) has been engaged by Armada Acquisition Corp. I (“Armada” or the “Company”) for the sole benefit of and to advise the board of directors (the “Board”) in connection with the consideration by the Board of a possible acquisition of Rezolve Limited (“Rezolve” or the “Acquired Business”) in accordance with the terms of the Business Combination Agreement and Plan of Reorganization by and among Armada, Rezolve, and certain other parties and dated December 17, 2021, amended as of November 10, 2022, and as to be further amended and restated pursuant to the terms of an amendment and restatement deed to be dated June 16, 2023 (the “Business Combination Agreement”). We have been engaged to perform (1) an analysis of the reasonable range of value for the Acquired Business immediately prior to the Transaction and, for purposes of NASDAQ Listing Rule 5101-2(b), whether such values represent at least 80% of the value of the cash assets held in its trust account, excluding taxes payable on the interest earned on such account and assuming the company has no liabilities (including contingent liabilities that could result in claims against such assets) at the time of such advice and (2) a fairness analysis, from a financial point of view, of the purchase price to be paid by the Company for the Acquired Business all as set forth in our Engagement Letter dated February 16, 2023 and the accompanying (and by this reference incorporated herein) General Contractual Conditions therein (collectively, the “Agreement”). This letter shall serve as our opinion (the “Opinion”) as to the fairness to the Company, from a financial point of view, of the purchase price to be paid by the Company for the Acquired Business as referenced in and governed by that Agreement.</w:t>
      </w:r>
    </w:p>
    <w:p>
      <w:pPr>
        <w:spacing w:after="0" w:line="18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are advised, and have relied upon such advice with your approval, that the Transaction will be consummated as set forth in the Business Combination Agreement. We understand that the Transaction is expected to close (the “Closing”) by June 12, 2023, unless extended pursuant to the terms of the Business Combination Agreement (the “Transaction Date”). We are further advised, and have relied upon such advice with your approval, that the Transaction consists of an acquisition of the Acquired Business by the Company for consideration of One Billion Six Hundred Million Dollars ($1,600,000,000) (the “Purchase Price”) to be paid by the issuance to the equity holders of Rezolve of 160 million shares of the common stock (the “Transaction Shares”) of the surviving NASDAQ listed company (the “Surviving Company”) valued at $10 per share (“Parent Per Share Value”). We understand that the remainder of the common stock of the Surviving Company will be issued to the common shareholders of Armada again on the basis of a $10.00 per share value, and that the currently outstanding warrants of Armada will be assumed by the Surviving Company in each case without any changes in their rights, privileges and preferences or contract terms and that additional shares of the Surviving Company may be issued in a private placement (the “Pipe Transaction”) again at an issuance price of $10.00 per share. We understand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350 Fifth Avenue, Suite 4100, New York, NY 10118</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212.425.4300  ·  212.344.9731 fax   ·  www.marshall-stevens.com</w:t>
      </w:r>
    </w:p>
    <w:p>
      <w:pPr>
        <w:spacing w:after="0" w:line="93" w:lineRule="exact"/>
        <w:rPr>
          <w:sz w:val="20"/>
          <w:szCs w:val="20"/>
          <w:color w:val="auto"/>
        </w:rPr>
      </w:pPr>
    </w:p>
    <w:p>
      <w:pPr>
        <w:ind w:left="120"/>
        <w:spacing w:after="0"/>
        <w:tabs>
          <w:tab w:leader="none" w:pos="4120" w:val="left"/>
          <w:tab w:leader="none" w:pos="6920" w:val="left"/>
          <w:tab w:leader="none" w:pos="10720" w:val="left"/>
        </w:tabs>
        <w:rPr>
          <w:sz w:val="20"/>
          <w:szCs w:val="20"/>
          <w:color w:val="auto"/>
        </w:rPr>
      </w:pPr>
      <w:r>
        <w:rPr>
          <w:rFonts w:ascii="Times New Roman" w:cs="Times New Roman" w:eastAsia="Times New Roman" w:hAnsi="Times New Roman"/>
          <w:sz w:val="14"/>
          <w:szCs w:val="14"/>
          <w:color w:val="auto"/>
        </w:rPr>
        <w:t>Chicago</w:t>
      </w:r>
      <w:r>
        <w:rPr>
          <w:sz w:val="20"/>
          <w:szCs w:val="20"/>
          <w:color w:val="auto"/>
        </w:rPr>
        <w:tab/>
      </w: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4"/>
          <w:szCs w:val="14"/>
          <w:color w:val="auto"/>
        </w:rPr>
        <w:t>New York</w:t>
      </w:r>
      <w:r>
        <w:rPr>
          <w:sz w:val="20"/>
          <w:szCs w:val="20"/>
          <w:color w:val="auto"/>
        </w:rPr>
        <w:tab/>
      </w:r>
      <w:r>
        <w:rPr>
          <w:rFonts w:ascii="Times New Roman" w:cs="Times New Roman" w:eastAsia="Times New Roman" w:hAnsi="Times New Roman"/>
          <w:sz w:val="14"/>
          <w:szCs w:val="14"/>
          <w:color w:val="auto"/>
        </w:rPr>
        <w:t>Tampa</w:t>
      </w:r>
    </w:p>
    <w:p>
      <w:pPr>
        <w:sectPr>
          <w:pgSz w:w="11900" w:h="16838" w:orient="portrait"/>
          <w:cols w:equalWidth="0" w:num="1">
            <w:col w:w="11140"/>
          </w:cols>
          <w:pgMar w:left="320" w:top="455" w:right="43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that the $10.00 per share Parent Per Share Value to be the estimated price at which the public stockholders of Armada will be entitled to redeem their Armada shares in connection with the Transaction (the “Redemption Price”).</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Based on the fact that the Company is only recently formed, has no operating history, has no assets other than cash and its rights under the letter of intent dated September 7, 2021 (the “LOI”), and that its securities are thinly traded, we have assumed, with your approval, that the fair value of each of the shares of Common Stock to be issued in the Transaction is equivalent to the Parent Per Share Value and we have not performed any separate analysis regarding the fair value of the Transaction Shares. No opinion is expressed as to the fair market value of the shares to be issued by the Surviving Company in the Transaction.</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understand that in connection with the Transaction, certain employees of Armada may enter into employment agreements with the surviving entity, and that certain equity of the Company may be reserved for issuance pursuant to stock bonus or incentive arrangements. Our Opinion will not address the fairness of such agreements or stock bonus or incentive arrangements. We further understand that in connection with the Transaction, the Company may make commitments with respect to the future financing or funding of the Acquired Business. Our Opinion will assign no value to such future financing or funding commitments or obligations. In addition, we understand that the Transaction contemplates certain changes in the rights, privileges, and preferences of the holders of the Company’s shares and certain changes in the composition of the Company’s management and board of directors. We have done no analysis of and express no opinion as to the fairness of such changes in rights, privileges, and preferences and/or in the changes to the composition of the Company’s management and board of directors.</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have been asked to advise the Board to the fairness, from a financial point of view, of the Purchase Price to be paid by the Company in the Transaction in the form of issuance of common stock of the surviving corporation to the shareholders of Rezolve. We have been asked to assume a Parent Per Share Value of $10.00 for the common stock of the Company and the Surviving Company. We have not been asked to render to any other person or entity besides the Board any opinion with respect to the fairness of the Purchase Price, and we specifically express no such opinion. We have not been engaged to serve as the financial advisor to the Board; we were not involved in the negotiation or structuring of the Transaction or the negotiation or structuring of the LOI or the Business Combination Agreement; we have not been involved in the raising of any funding for or with respect to, or associated with the Company and/or the Transaction or provided any advices with respect to such funding; and we have not been asked to consider any non-financial elements of the Transaction or any other alternatives that might be available to the Board or the Company.</w:t>
      </w:r>
    </w:p>
    <w:p>
      <w:pPr>
        <w:spacing w:after="0" w:line="192" w:lineRule="exact"/>
        <w:rPr>
          <w:sz w:val="20"/>
          <w:szCs w:val="20"/>
          <w:color w:val="auto"/>
        </w:rPr>
      </w:pPr>
    </w:p>
    <w:p>
      <w:pPr>
        <w:ind w:left="120" w:right="200"/>
        <w:spacing w:after="0" w:line="273" w:lineRule="auto"/>
        <w:rPr>
          <w:sz w:val="20"/>
          <w:szCs w:val="20"/>
          <w:color w:val="auto"/>
        </w:rPr>
      </w:pPr>
      <w:r>
        <w:rPr>
          <w:rFonts w:ascii="Times New Roman" w:cs="Times New Roman" w:eastAsia="Times New Roman" w:hAnsi="Times New Roman"/>
          <w:sz w:val="17"/>
          <w:szCs w:val="17"/>
          <w:color w:val="auto"/>
        </w:rPr>
        <w:t>With your consent, in establishing fair value, we have solely considered the equity value of Rezolve as of a valuation date of June 6, 2023 and prior to the Transaction and have not taken into consideration any possible consequences of the Transaction (either positive or negative). We have, with your consent, not considered the dilution effects of the issuance of common stock on the equity holders of the Company. Our services in rendering this opinion have been in our capacity as an independent valuation consultant and not as a fiduciary to the Board, the Company, the shareholders of the Company, the shareholders of Rezolve, or any other person or entity. We understand that this Opinion will be attached as an exhibit to the registration statement filed by the Company with the Securities and Exchange Commission (the “Registration Statement”) and have agree to the inclusion of this Opinion on the basis that the Company is solely responsible for truth, correctness, completeness and adequacy of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77470</wp:posOffset>
            </wp:positionV>
            <wp:extent cx="1457325" cy="53149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made such reviews, analysis, and inquiry as we, in the exercise of our professional judgment, have deemed necessary and appropriate under the circumstances. We have considered, among other things, the following information:</w:t>
      </w:r>
    </w:p>
    <w:p>
      <w:pPr>
        <w:spacing w:after="0" w:line="67" w:lineRule="exact"/>
        <w:rPr>
          <w:sz w:val="20"/>
          <w:szCs w:val="20"/>
          <w:color w:val="auto"/>
        </w:rPr>
      </w:pPr>
    </w:p>
    <w:p>
      <w:pPr>
        <w:jc w:val="both"/>
        <w:ind w:left="1080" w:right="60" w:hanging="424"/>
        <w:spacing w:after="0" w:line="266" w:lineRule="auto"/>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management interviews with Rezolve’s management. Topics addressed included, but were not limited to, transaction overview, business operations, product and service lines, financial results, projections, economic conditions and industry trends, market competitors, customer composition and various other topics related to business operations.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historical financial statements for the years ended December 31, 2020, December 31, 2021, and December 31, 2022, and for the three-month period ended March 31, 2023;</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for Rezolve for the fiscal years ending December 31, 2023 through December 31, 2027;</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presentations;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research reports;</w:t>
      </w:r>
    </w:p>
    <w:p>
      <w:pPr>
        <w:spacing w:after="0" w:line="12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industry and economic research, including, but not limited to, IBIS</w:t>
      </w:r>
      <w:r>
        <w:rPr>
          <w:rFonts w:ascii="Times New Roman" w:cs="Times New Roman" w:eastAsia="Times New Roman" w:hAnsi="Times New Roman"/>
          <w:sz w:val="18"/>
          <w:szCs w:val="18"/>
          <w:i w:val="1"/>
          <w:iCs w:val="1"/>
          <w:color w:val="auto"/>
        </w:rPr>
        <w:t>World</w:t>
      </w:r>
      <w:r>
        <w:rPr>
          <w:rFonts w:ascii="Times New Roman" w:cs="Times New Roman" w:eastAsia="Times New Roman" w:hAnsi="Times New Roman"/>
          <w:sz w:val="18"/>
          <w:szCs w:val="18"/>
          <w:color w:val="auto"/>
        </w:rPr>
        <w:t>, Capital IQ, Guide to Cost of Capital published by Duff &amp; Phelps LLC;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studies, and analyses as we deemed appropriate.</w:t>
      </w:r>
    </w:p>
    <w:p>
      <w:pPr>
        <w:spacing w:after="0" w:line="225"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With your consent, we have i) relied upon the accuracy and completeness of the financial and supplemental information (a) provided by or on behalf of the Board, the Company and/or Rezolve or (b) which we have otherwise obtained from public sources or from private sources and which we believe, in the exercise of our professional judgment to be reasonably dependable, ii) not assumed responsibility for independent verification of such information, and iii) not conducted any independent valuation or appraisal of any specific assets of the Company or Rezolve or any appraisal or estimate of any specific liabilities of the Company or Rezolve. With respect to the relating to Rezolve, we have assumed, with your consent, that such projections have been reasonably prepared on the basis of and reflect the best currently available estimates and judgments of the management of Rezolve as to the future financial performance of that company and that management of the surviving corporation will be able to execute on the business plan underlying such projections and/or financial forecasts. With your consent, we assume no responsibility for, and express no view as to, such projections and/or financial forecasts or the assumptions on which they are based. Our Opinion assumes that there are no contingent or off-balance sheet assets or liabilities for the Company or Rezolve.</w:t>
      </w:r>
    </w:p>
    <w:p>
      <w:pPr>
        <w:spacing w:after="0" w:line="19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opinion is based upon economic, market and other conditions as they exist and can reasonably be evaluated on the date hereof and does not address the fairness of the Purchase Price as of any other date. In rendering our Opinion, we have assumed that the factual circumstances, agreements, and terms, as they existed at the date of the Opinion, will remain substantially unchanged through the time the Transaction is completed. It is understood that financial markets are subject to volatility, and our opinion does not purport to address potential developments in applicable financial markets.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Opinion expressed herein has been prepared for the Board in connection with its consideration of the Transaction and may not be relied upon by any other person or entity or used for any other purpose.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71755</wp:posOffset>
            </wp:positionV>
            <wp:extent cx="1457325" cy="53149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does not constitute a recommendation to the Board or the shareholders of Company, the shareholders of Rezolve or any other person or entity as to any action the Board, the shareholders of Company, the shareholders of Rezolve or any other person or entity should take in connection with the Transaction or any aspect thereof. Our opinion does not address the merits of the Transaction or the underlying decision by the Board to engage in the Transaction or the relative merits of any alternatives that may be available to the Company. This Opinion addresses only the Purchase Price and does not address any other aspect of the Transaction. By way of example, our Opinion does not represent any advice as to the fairness of any matters of management compensation or of any fees paid or expenses incurred, any future funding or fund-raising commitments, or any changes in the rights, privileges and preferences of the holders of the Company’s shares or in the composition of the Company’s management and board of directors. Furthermore, our Opinion is not to be construed or deemed to be a solvency opinion or provide any advice as to legal, accounting or tax matters. This Opinion may not be reproduced, disseminated, quoted, or referred to at any time without our prior written consent.</w:t>
      </w:r>
    </w:p>
    <w:p>
      <w:pPr>
        <w:spacing w:after="0" w:line="188" w:lineRule="exact"/>
        <w:rPr>
          <w:sz w:val="20"/>
          <w:szCs w:val="20"/>
          <w:color w:val="auto"/>
        </w:rPr>
      </w:pPr>
    </w:p>
    <w:p>
      <w:pPr>
        <w:ind w:left="120" w:right="20"/>
        <w:spacing w:after="0" w:line="236" w:lineRule="auto"/>
        <w:rPr>
          <w:sz w:val="20"/>
          <w:szCs w:val="20"/>
          <w:color w:val="auto"/>
        </w:rPr>
      </w:pPr>
      <w:r>
        <w:rPr>
          <w:rFonts w:ascii="Times New Roman" w:cs="Times New Roman" w:eastAsia="Times New Roman" w:hAnsi="Times New Roman"/>
          <w:sz w:val="18"/>
          <w:szCs w:val="18"/>
          <w:color w:val="auto"/>
        </w:rPr>
        <w:t>Therefore, subject to the foregoing, it is our opinion that, as of the date hereof, based upon an analysis of the reasonable range of value for the Acquired Business immediately prior to the Transaction and, for purposes of NASDAQ Listing Rule 5101-2(b), such values represent at least 80% of the value of the cash assets held in its trust account, excluding taxes payable on the interest earned on such account and assuming the company has no liabilities (including contingent liabilities that could result in claims against such assets) at the date hereof.</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It is further our opinion that the Purchase Price to be paid by the Company to Rezolve in the Transaction in the form of the issuance of the common shares of the Surviving Company to the equity holders of Rezolve as provided in the Business Combination Agreement is fair to the Company from a financial point of view.</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Marshall &amp; Stevens Transaction Advisory Services, LLC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File No. 34-36-63609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7" w:lineRule="exact"/>
        <w:rPr>
          <w:sz w:val="20"/>
          <w:szCs w:val="20"/>
          <w:color w:val="auto"/>
        </w:rPr>
      </w:pPr>
    </w:p>
    <w:p>
      <w:pPr>
        <w:ind w:left="540" w:hanging="424"/>
        <w:spacing w:after="0"/>
        <w:tabs>
          <w:tab w:leader="none" w:pos="540" w:val="left"/>
        </w:tabs>
        <w:numPr>
          <w:ilvl w:val="0"/>
          <w:numId w:val="60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It is our understanding that the cash in trust as of the date hereof is approximately Thirty-Seven Million Seven Hundred Thousand Dollars</w:t>
      </w:r>
    </w:p>
    <w:p>
      <w:pPr>
        <w:spacing w:after="0" w:line="1" w:lineRule="exact"/>
        <w:rPr>
          <w:rFonts w:ascii="Times New Roman" w:cs="Times New Roman" w:eastAsia="Times New Roman" w:hAnsi="Times New Roman"/>
          <w:sz w:val="27"/>
          <w:szCs w:val="27"/>
          <w:color w:val="auto"/>
          <w:vertAlign w:val="superscript"/>
        </w:rPr>
      </w:pPr>
    </w:p>
    <w:p>
      <w:pPr>
        <w:ind w:left="540" w:right="120"/>
        <w:spacing w:after="0" w:line="253"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($36,700,000). Therefore, the 80% threshold is approximately Twenty-Nine Million, Three Hundred and Sixty Thousand Dollars ($36,700,000 x 80% = $29,360,000). Our estimates of fair market value of equity ranged from approximately One Billion Six Hundred Thirty Million Dollars ($1,630,000,000) to approximately One Billion Nine Hundred Twenty-Five Million Dollars ($1,925,000,000), with a midpoint of approximately One Billion Seven Hundred Seventy Million Dollars ($1,770,000,000).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87630</wp:posOffset>
            </wp:positionV>
            <wp:extent cx="1457325" cy="53149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0" w:type="dxa"/>
            <w:vAlign w:val="bottom"/>
            <w:tcBorders>
              <w:bottom w:val="single" w:sz="8" w:color="auto"/>
            </w:tcBorders>
            <w:gridSpan w:val="12"/>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740" w:type="dxa"/>
            <w:vAlign w:val="bottom"/>
          </w:tcPr>
          <w:p>
            <w:pPr>
              <w:spacing w:after="0"/>
              <w:rPr>
                <w:sz w:val="22"/>
                <w:szCs w:val="22"/>
                <w:color w:val="auto"/>
              </w:rPr>
            </w:pPr>
          </w:p>
        </w:tc>
        <w:tc>
          <w:tcPr>
            <w:tcW w:w="9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698">
              <w:r>
                <w:rPr>
                  <w:rFonts w:ascii="Times New Roman" w:cs="Times New Roman" w:eastAsia="Times New Roman" w:hAnsi="Times New Roman"/>
                  <w:sz w:val="18"/>
                  <w:szCs w:val="18"/>
                  <w:color w:val="0000EE"/>
                </w:rPr>
                <w:t>Business Combination Agreement, dated December 17, 2021, as amended on November 10, 2022 and as further amended and</w:t>
              </w:r>
            </w:hyperlink>
          </w:p>
        </w:tc>
        <w:tc>
          <w:tcPr>
            <w:tcW w:w="420" w:type="dxa"/>
            <w:vAlign w:val="bottom"/>
            <w:gridSpan w:val="2"/>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17"/>
          </w:tcPr>
          <w:p>
            <w:pPr>
              <w:spacing w:after="0" w:line="196" w:lineRule="exact"/>
              <w:rPr>
                <w:rFonts w:ascii="Times New Roman" w:cs="Times New Roman" w:eastAsia="Times New Roman" w:hAnsi="Times New Roman"/>
                <w:sz w:val="18"/>
                <w:szCs w:val="18"/>
                <w:color w:val="0000EE"/>
              </w:rPr>
            </w:pPr>
            <w:hyperlink r:id="rId698">
              <w:r>
                <w:rPr>
                  <w:rFonts w:ascii="Times New Roman" w:cs="Times New Roman" w:eastAsia="Times New Roman" w:hAnsi="Times New Roman"/>
                  <w:sz w:val="18"/>
                  <w:szCs w:val="18"/>
                  <w:color w:val="0000EE"/>
                </w:rPr>
                <w:t>restated on June 16, 2023, as amended on August 4, 2023 (included as Annex A to the proxy statement/prospectus).</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74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0000EE"/>
              </w:rPr>
            </w:pPr>
            <w:hyperlink r:id="rId699">
              <w:r>
                <w:rPr>
                  <w:rFonts w:ascii="Times New Roman" w:cs="Times New Roman" w:eastAsia="Times New Roman" w:hAnsi="Times New Roman"/>
                  <w:sz w:val="18"/>
                  <w:szCs w:val="18"/>
                  <w:color w:val="0000EE"/>
                </w:rPr>
                <w:t>First Amendment to the Business Combination Agreement, dated as of August 4, 2023, by and among Armada Rezolve Limited,</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99">
              <w:r>
                <w:rPr>
                  <w:rFonts w:ascii="Times New Roman" w:cs="Times New Roman" w:eastAsia="Times New Roman" w:hAnsi="Times New Roman"/>
                  <w:sz w:val="18"/>
                  <w:szCs w:val="18"/>
                  <w:color w:val="0000EE"/>
                  <w:w w:val="99"/>
                </w:rPr>
                <w:t>Rezolve and Rezolve Merger Sub (included as Annex AA to the proxy statement/prospectus).</w:t>
              </w:r>
            </w:hyperlink>
          </w:p>
        </w:tc>
        <w:tc>
          <w:tcPr>
            <w:tcW w:w="2520" w:type="dxa"/>
            <w:vAlign w:val="bottom"/>
            <w:tcBorders>
              <w:top w:val="single" w:sz="8" w:color="0000EE"/>
            </w:tcBorders>
            <w:gridSpan w:val="8"/>
          </w:tcPr>
          <w:p>
            <w:pPr>
              <w:spacing w:after="0"/>
              <w:rPr>
                <w:sz w:val="17"/>
                <w:szCs w:val="17"/>
                <w:color w:val="auto"/>
              </w:rPr>
            </w:pPr>
          </w:p>
        </w:tc>
        <w:tc>
          <w:tcPr>
            <w:tcW w:w="28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740" w:type="dxa"/>
            <w:vAlign w:val="bottom"/>
          </w:tcPr>
          <w:p>
            <w:pPr>
              <w:spacing w:after="0"/>
              <w:rPr>
                <w:sz w:val="24"/>
                <w:szCs w:val="24"/>
                <w:color w:val="auto"/>
              </w:rPr>
            </w:pPr>
          </w:p>
        </w:tc>
        <w:tc>
          <w:tcPr>
            <w:tcW w:w="5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00">
              <w:r>
                <w:rPr>
                  <w:rFonts w:ascii="Times New Roman" w:cs="Times New Roman" w:eastAsia="Times New Roman" w:hAnsi="Times New Roman"/>
                  <w:sz w:val="18"/>
                  <w:szCs w:val="18"/>
                  <w:color w:val="0000EE"/>
                  <w:w w:val="99"/>
                </w:rPr>
                <w:t>Second Amended and Restated Certificate of Incorporation of Armada.</w:t>
              </w:r>
            </w:hyperlink>
          </w:p>
        </w:tc>
        <w:tc>
          <w:tcPr>
            <w:tcW w:w="4420" w:type="dxa"/>
            <w:vAlign w:val="bottom"/>
            <w:gridSpan w:val="11"/>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740" w:type="dxa"/>
            <w:vAlign w:val="bottom"/>
          </w:tcPr>
          <w:p>
            <w:pPr>
              <w:spacing w:after="0"/>
              <w:rPr>
                <w:sz w:val="24"/>
                <w:szCs w:val="24"/>
                <w:color w:val="auto"/>
              </w:rPr>
            </w:pPr>
          </w:p>
        </w:tc>
        <w:tc>
          <w:tcPr>
            <w:tcW w:w="6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01">
              <w:r>
                <w:rPr>
                  <w:rFonts w:ascii="Times New Roman" w:cs="Times New Roman" w:eastAsia="Times New Roman" w:hAnsi="Times New Roman"/>
                  <w:sz w:val="18"/>
                  <w:szCs w:val="18"/>
                  <w:color w:val="0000EE"/>
                  <w:w w:val="99"/>
                </w:rPr>
                <w:t>First Amendment to the Second Amended and Restated Certificate of Incorporation of Armada.</w:t>
              </w:r>
            </w:hyperlink>
          </w:p>
        </w:tc>
        <w:tc>
          <w:tcPr>
            <w:tcW w:w="2660" w:type="dxa"/>
            <w:vAlign w:val="bottom"/>
            <w:gridSpan w:val="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740" w:type="dxa"/>
            <w:vAlign w:val="bottom"/>
          </w:tcPr>
          <w:p>
            <w:pPr>
              <w:spacing w:after="0"/>
              <w:rPr>
                <w:sz w:val="24"/>
                <w:szCs w:val="24"/>
                <w:color w:val="auto"/>
              </w:rPr>
            </w:pPr>
          </w:p>
        </w:tc>
        <w:tc>
          <w:tcPr>
            <w:tcW w:w="71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702">
              <w:r>
                <w:rPr>
                  <w:rFonts w:ascii="Times New Roman" w:cs="Times New Roman" w:eastAsia="Times New Roman" w:hAnsi="Times New Roman"/>
                  <w:sz w:val="18"/>
                  <w:szCs w:val="18"/>
                  <w:color w:val="0000EE"/>
                  <w:w w:val="99"/>
                </w:rPr>
                <w:t>Second Amendment to the Second Amended and Restated Certificate of Incorporation of Armada.</w:t>
              </w:r>
            </w:hyperlink>
          </w:p>
        </w:tc>
        <w:tc>
          <w:tcPr>
            <w:tcW w:w="2460" w:type="dxa"/>
            <w:vAlign w:val="bottom"/>
            <w:gridSpan w:val="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Amended and Restated Memorandum and Articles of Association of Rezolve (as they will be in effect at the Merger</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Effective Time) (included as Annex B to the proxy statement/prospectus).</w:t>
            </w:r>
          </w:p>
        </w:tc>
        <w:tc>
          <w:tcPr>
            <w:tcW w:w="56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3.5**</w:t>
            </w:r>
          </w:p>
        </w:tc>
        <w:tc>
          <w:tcPr>
            <w:tcW w:w="740" w:type="dxa"/>
            <w:vAlign w:val="bottom"/>
          </w:tcPr>
          <w:p>
            <w:pPr>
              <w:spacing w:after="0"/>
              <w:rPr>
                <w:sz w:val="24"/>
                <w:szCs w:val="24"/>
                <w:color w:val="auto"/>
              </w:rPr>
            </w:pPr>
          </w:p>
        </w:tc>
        <w:tc>
          <w:tcPr>
            <w:tcW w:w="14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r:id="rId703">
              <w:r>
                <w:rPr>
                  <w:rFonts w:ascii="Times New Roman" w:cs="Times New Roman" w:eastAsia="Times New Roman" w:hAnsi="Times New Roman"/>
                  <w:sz w:val="18"/>
                  <w:szCs w:val="18"/>
                  <w:color w:val="0000EE"/>
                  <w:w w:val="99"/>
                </w:rPr>
                <w:t>Bylaws of Armada.</w:t>
              </w:r>
            </w:hyperlink>
          </w:p>
        </w:tc>
        <w:tc>
          <w:tcPr>
            <w:tcW w:w="3900" w:type="dxa"/>
            <w:vAlign w:val="bottom"/>
            <w:tcBorders>
              <w:top w:val="single" w:sz="8" w:color="0000EE"/>
            </w:tcBorders>
            <w:gridSpan w:val="6"/>
          </w:tcPr>
          <w:p>
            <w:pPr>
              <w:spacing w:after="0"/>
              <w:rPr>
                <w:sz w:val="24"/>
                <w:szCs w:val="24"/>
                <w:color w:val="auto"/>
              </w:rPr>
            </w:pPr>
          </w:p>
        </w:tc>
        <w:tc>
          <w:tcPr>
            <w:tcW w:w="4240" w:type="dxa"/>
            <w:vAlign w:val="bottom"/>
            <w:gridSpan w:val="1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740" w:type="dxa"/>
            <w:vAlign w:val="bottom"/>
          </w:tcPr>
          <w:p>
            <w:pPr>
              <w:spacing w:after="0"/>
              <w:rPr>
                <w:sz w:val="24"/>
                <w:szCs w:val="24"/>
                <w:color w:val="auto"/>
              </w:rPr>
            </w:pPr>
          </w:p>
        </w:tc>
        <w:tc>
          <w:tcPr>
            <w:tcW w:w="2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704">
              <w:r>
                <w:rPr>
                  <w:rFonts w:ascii="Times New Roman" w:cs="Times New Roman" w:eastAsia="Times New Roman" w:hAnsi="Times New Roman"/>
                  <w:sz w:val="18"/>
                  <w:szCs w:val="18"/>
                  <w:color w:val="0000EE"/>
                  <w:w w:val="99"/>
                </w:rPr>
                <w:t>Specimen Unit Certificate of Armada.</w:t>
              </w:r>
            </w:hyperlink>
          </w:p>
        </w:tc>
        <w:tc>
          <w:tcPr>
            <w:tcW w:w="6800" w:type="dxa"/>
            <w:vAlign w:val="bottom"/>
            <w:gridSpan w:val="1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740" w:type="dxa"/>
            <w:vAlign w:val="bottom"/>
          </w:tcPr>
          <w:p>
            <w:pPr>
              <w:spacing w:after="0"/>
              <w:rPr>
                <w:sz w:val="24"/>
                <w:szCs w:val="24"/>
                <w:color w:val="auto"/>
              </w:rPr>
            </w:pPr>
          </w:p>
        </w:tc>
        <w:tc>
          <w:tcPr>
            <w:tcW w:w="35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705">
              <w:r>
                <w:rPr>
                  <w:rFonts w:ascii="Times New Roman" w:cs="Times New Roman" w:eastAsia="Times New Roman" w:hAnsi="Times New Roman"/>
                  <w:sz w:val="18"/>
                  <w:szCs w:val="18"/>
                  <w:color w:val="0000EE"/>
                  <w:w w:val="99"/>
                </w:rPr>
                <w:t>Specimen Common Stock Certificate of Armada.</w:t>
              </w:r>
            </w:hyperlink>
          </w:p>
        </w:tc>
        <w:tc>
          <w:tcPr>
            <w:tcW w:w="6000" w:type="dxa"/>
            <w:vAlign w:val="bottom"/>
            <w:gridSpan w:val="1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74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0000EE"/>
              </w:rPr>
            </w:pPr>
            <w:hyperlink r:id="rId706">
              <w:r>
                <w:rPr>
                  <w:rFonts w:ascii="Times New Roman" w:cs="Times New Roman" w:eastAsia="Times New Roman" w:hAnsi="Times New Roman"/>
                  <w:sz w:val="18"/>
                  <w:szCs w:val="18"/>
                  <w:color w:val="0000EE"/>
                </w:rPr>
                <w:t>Specimen Warrant Certificate of Armada</w:t>
              </w:r>
            </w:hyperlink>
            <w:r>
              <w:rPr>
                <w:rFonts w:ascii="Times New Roman" w:cs="Times New Roman" w:eastAsia="Times New Roman" w:hAnsi="Times New Roman"/>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74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0000EE"/>
              </w:rPr>
            </w:pPr>
            <w:hyperlink r:id="rId707">
              <w:r>
                <w:rPr>
                  <w:rFonts w:ascii="Times New Roman" w:cs="Times New Roman" w:eastAsia="Times New Roman" w:hAnsi="Times New Roman"/>
                  <w:sz w:val="18"/>
                  <w:szCs w:val="18"/>
                  <w:color w:val="0000EE"/>
                </w:rPr>
                <w:t>Warrant Agreement, dated August 12, 2021, by and between Armada and Continental Stock Transfer &amp; Trust Company.</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4380" w:type="dxa"/>
            <w:vAlign w:val="bottom"/>
            <w:gridSpan w:val="7"/>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Assignment, Assumption and Amendment Agreement (Warrant Agreement) between Armada, Rezolve and (included as</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Annex D to the proxy statement/prospectus).</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Specimen of Rezolve Ordinary Share Certificate.</w:t>
            </w: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740" w:type="dxa"/>
            <w:vAlign w:val="bottom"/>
          </w:tcPr>
          <w:p>
            <w:pPr>
              <w:spacing w:after="0"/>
              <w:rPr>
                <w:sz w:val="24"/>
                <w:szCs w:val="24"/>
                <w:color w:val="auto"/>
              </w:rPr>
            </w:pPr>
          </w:p>
        </w:tc>
        <w:tc>
          <w:tcPr>
            <w:tcW w:w="35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Opinion of Taylor Wessing LLP.</w:t>
            </w:r>
          </w:p>
        </w:tc>
        <w:tc>
          <w:tcPr>
            <w:tcW w:w="6020" w:type="dxa"/>
            <w:vAlign w:val="bottom"/>
            <w:gridSpan w:val="13"/>
          </w:tcPr>
          <w:p>
            <w:pPr>
              <w:spacing w:after="0"/>
              <w:rPr>
                <w:sz w:val="24"/>
                <w:szCs w:val="24"/>
                <w:color w:val="auto"/>
              </w:rPr>
            </w:pP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5.2*</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Opinion of DLA Piper LLP (US).</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w:t>
            </w:r>
          </w:p>
        </w:tc>
        <w:tc>
          <w:tcPr>
            <w:tcW w:w="740" w:type="dxa"/>
            <w:vAlign w:val="bottom"/>
          </w:tcPr>
          <w:p>
            <w:pPr>
              <w:spacing w:after="0"/>
              <w:rPr>
                <w:sz w:val="24"/>
                <w:szCs w:val="24"/>
                <w:color w:val="auto"/>
              </w:rPr>
            </w:pPr>
          </w:p>
        </w:tc>
        <w:tc>
          <w:tcPr>
            <w:tcW w:w="79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08">
              <w:r>
                <w:rPr>
                  <w:rFonts w:ascii="Times New Roman" w:cs="Times New Roman" w:eastAsia="Times New Roman" w:hAnsi="Times New Roman"/>
                  <w:sz w:val="18"/>
                  <w:szCs w:val="18"/>
                  <w:color w:val="0000EE"/>
                  <w:w w:val="99"/>
                </w:rPr>
                <w:t>Private Placement Shares Purchase Agreement, dated August 12, 2021, by and between Armada and Sponsor.</w:t>
              </w:r>
            </w:hyperlink>
          </w:p>
        </w:tc>
        <w:tc>
          <w:tcPr>
            <w:tcW w:w="1640" w:type="dxa"/>
            <w:vAlign w:val="bottom"/>
            <w:gridSpan w:val="6"/>
          </w:tcPr>
          <w:p>
            <w:pPr>
              <w:spacing w:after="0"/>
              <w:rPr>
                <w:sz w:val="24"/>
                <w:szCs w:val="24"/>
                <w:color w:val="auto"/>
              </w:rPr>
            </w:pP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II-1</w:t>
            </w:r>
          </w:p>
        </w:tc>
      </w:tr>
    </w:tbl>
    <w:p>
      <w:pPr>
        <w:sectPr>
          <w:pgSz w:w="11900" w:h="16838" w:orient="portrait"/>
          <w:cols w:equalWidth="0" w:num="1">
            <w:col w:w="11140"/>
          </w:cols>
          <w:pgMar w:left="320" w:top="455" w:right="43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17"/>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740" w:type="dxa"/>
            <w:vAlign w:val="bottom"/>
          </w:tcPr>
          <w:p>
            <w:pPr>
              <w:spacing w:after="0"/>
              <w:rPr>
                <w:sz w:val="22"/>
                <w:szCs w:val="22"/>
                <w:color w:val="auto"/>
              </w:rPr>
            </w:pPr>
          </w:p>
        </w:tc>
        <w:tc>
          <w:tcPr>
            <w:tcW w:w="8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10">
              <w:r>
                <w:rPr>
                  <w:rFonts w:ascii="Times New Roman" w:cs="Times New Roman" w:eastAsia="Times New Roman" w:hAnsi="Times New Roman"/>
                  <w:sz w:val="18"/>
                  <w:szCs w:val="18"/>
                  <w:color w:val="0000EE"/>
                  <w:w w:val="99"/>
                </w:rPr>
                <w:t>Registration Rights Agreement, dated August 12, 2021, by and among Armada, its officers and directors, the Sponsor and</w:t>
              </w:r>
            </w:hyperlink>
          </w:p>
        </w:tc>
        <w:tc>
          <w:tcPr>
            <w:tcW w:w="780" w:type="dxa"/>
            <w:vAlign w:val="bottom"/>
            <w:gridSpan w:val="4"/>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EE"/>
              </w:rPr>
            </w:pPr>
            <w:hyperlink r:id="rId710">
              <w:r>
                <w:rPr>
                  <w:rFonts w:ascii="Times New Roman" w:cs="Times New Roman" w:eastAsia="Times New Roman" w:hAnsi="Times New Roman"/>
                  <w:sz w:val="18"/>
                  <w:szCs w:val="18"/>
                  <w:color w:val="0000EE"/>
                </w:rPr>
                <w:t>EarlyBirdCapital, Inc.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740" w:type="dxa"/>
            <w:vAlign w:val="bottom"/>
          </w:tcPr>
          <w:p>
            <w:pPr>
              <w:spacing w:after="0"/>
              <w:rPr>
                <w:sz w:val="24"/>
                <w:szCs w:val="24"/>
                <w:color w:val="auto"/>
              </w:rPr>
            </w:pPr>
          </w:p>
        </w:tc>
        <w:tc>
          <w:tcPr>
            <w:tcW w:w="65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11">
              <w:r>
                <w:rPr>
                  <w:rFonts w:ascii="Times New Roman" w:cs="Times New Roman" w:eastAsia="Times New Roman" w:hAnsi="Times New Roman"/>
                  <w:sz w:val="18"/>
                  <w:szCs w:val="18"/>
                  <w:color w:val="0000EE"/>
                  <w:w w:val="99"/>
                </w:rPr>
                <w:t>Form of Subscription Agreement, by and among Armada and the subscribers party thereto.</w:t>
              </w:r>
            </w:hyperlink>
          </w:p>
        </w:tc>
        <w:tc>
          <w:tcPr>
            <w:tcW w:w="3000" w:type="dxa"/>
            <w:vAlign w:val="bottom"/>
            <w:gridSpan w:val="1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74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EE"/>
              </w:rPr>
            </w:pPr>
            <w:hyperlink r:id="rId712">
              <w:r>
                <w:rPr>
                  <w:rFonts w:ascii="Times New Roman" w:cs="Times New Roman" w:eastAsia="Times New Roman" w:hAnsi="Times New Roman"/>
                  <w:sz w:val="18"/>
                  <w:szCs w:val="18"/>
                  <w:color w:val="0000EE"/>
                </w:rPr>
                <w:t>Letter Agreement, dated August 12, 2021, by and among Armada, its officers and directors and the Sponsor.</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10.5*</w:t>
            </w:r>
          </w:p>
        </w:tc>
        <w:tc>
          <w:tcPr>
            <w:tcW w:w="7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of Rezolve Incentive Equity Plan and form agreements thereunder (included as Annex F to the proxy statement/prospectus).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7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Nominee Agreement dated      , by and between      and Rezolve.</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7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Form of Director and Officer Indemnification Agreement.</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7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of Investor Rights Agreement (included as Annex E to the proxy statement/prospectus).</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74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EE"/>
              </w:rPr>
            </w:pPr>
            <w:hyperlink r:id="rId713">
              <w:r>
                <w:rPr>
                  <w:rFonts w:ascii="Times New Roman" w:cs="Times New Roman" w:eastAsia="Times New Roman" w:hAnsi="Times New Roman"/>
                  <w:sz w:val="18"/>
                  <w:szCs w:val="18"/>
                  <w:color w:val="0000EE"/>
                </w:rPr>
                <w:t>Service Agreement between Rezolve and Daniel Wagner, dated April 1, 2016.</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10.10**</w:t>
            </w:r>
          </w:p>
        </w:tc>
        <w:tc>
          <w:tcPr>
            <w:tcW w:w="74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EE"/>
              </w:rPr>
            </w:pPr>
            <w:hyperlink r:id="rId714">
              <w:r>
                <w:rPr>
                  <w:rFonts w:ascii="Times New Roman" w:cs="Times New Roman" w:eastAsia="Times New Roman" w:hAnsi="Times New Roman"/>
                  <w:sz w:val="18"/>
                  <w:szCs w:val="18"/>
                  <w:color w:val="0000EE"/>
                </w:rPr>
                <w:t>Service Agreement between Rezolve and Richard Burchill, dated September 6, 2021.</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10.11**</w:t>
            </w:r>
          </w:p>
        </w:tc>
        <w:tc>
          <w:tcPr>
            <w:tcW w:w="740" w:type="dxa"/>
            <w:vAlign w:val="bottom"/>
          </w:tcPr>
          <w:p>
            <w:pPr>
              <w:spacing w:after="0"/>
              <w:rPr>
                <w:sz w:val="24"/>
                <w:szCs w:val="24"/>
                <w:color w:val="auto"/>
              </w:rPr>
            </w:pPr>
          </w:p>
        </w:tc>
        <w:tc>
          <w:tcPr>
            <w:tcW w:w="56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715">
              <w:r>
                <w:rPr>
                  <w:rFonts w:ascii="Times New Roman" w:cs="Times New Roman" w:eastAsia="Times New Roman" w:hAnsi="Times New Roman"/>
                  <w:sz w:val="18"/>
                  <w:szCs w:val="18"/>
                  <w:color w:val="0000EE"/>
                  <w:w w:val="99"/>
                </w:rPr>
                <w:t>Service Agreement between Rezolve and Peter Vesco, dated October 1, 2018.</w:t>
              </w:r>
            </w:hyperlink>
          </w:p>
        </w:tc>
        <w:tc>
          <w:tcPr>
            <w:tcW w:w="520" w:type="dxa"/>
            <w:vAlign w:val="bottom"/>
            <w:tcBorders>
              <w:top w:val="single" w:sz="8" w:color="0000EE"/>
            </w:tcBorders>
            <w:gridSpan w:val="3"/>
          </w:tcPr>
          <w:p>
            <w:pPr>
              <w:spacing w:after="0"/>
              <w:rPr>
                <w:sz w:val="24"/>
                <w:szCs w:val="24"/>
                <w:color w:val="auto"/>
              </w:rPr>
            </w:pPr>
          </w:p>
        </w:tc>
        <w:tc>
          <w:tcPr>
            <w:tcW w:w="3420" w:type="dxa"/>
            <w:vAlign w:val="bottom"/>
            <w:gridSpan w:val="1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10.12**</w:t>
            </w:r>
          </w:p>
        </w:tc>
        <w:tc>
          <w:tcPr>
            <w:tcW w:w="74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EE"/>
              </w:rPr>
            </w:pPr>
            <w:hyperlink r:id="rId716">
              <w:r>
                <w:rPr>
                  <w:rFonts w:ascii="Times New Roman" w:cs="Times New Roman" w:eastAsia="Times New Roman" w:hAnsi="Times New Roman"/>
                  <w:sz w:val="18"/>
                  <w:szCs w:val="18"/>
                  <w:color w:val="0000EE"/>
                </w:rPr>
                <w:t>Service Agreement between Rezolve and Sauvik Banerjjee, dated July 2, 2022.</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10.13**</w:t>
            </w:r>
          </w:p>
        </w:tc>
        <w:tc>
          <w:tcPr>
            <w:tcW w:w="740" w:type="dxa"/>
            <w:vAlign w:val="bottom"/>
          </w:tcPr>
          <w:p>
            <w:pPr>
              <w:spacing w:after="0"/>
              <w:rPr>
                <w:sz w:val="24"/>
                <w:szCs w:val="24"/>
                <w:color w:val="auto"/>
              </w:rPr>
            </w:pPr>
          </w:p>
        </w:tc>
        <w:tc>
          <w:tcPr>
            <w:tcW w:w="59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17">
              <w:r>
                <w:rPr>
                  <w:rFonts w:ascii="Times New Roman" w:cs="Times New Roman" w:eastAsia="Times New Roman" w:hAnsi="Times New Roman"/>
                  <w:sz w:val="18"/>
                  <w:szCs w:val="18"/>
                  <w:color w:val="0000EE"/>
                  <w:w w:val="99"/>
                </w:rPr>
                <w:t>Service Agreement between Rezolve and Salman Ahmad, dated October 18, 2017.</w:t>
              </w:r>
            </w:hyperlink>
          </w:p>
        </w:tc>
        <w:tc>
          <w:tcPr>
            <w:tcW w:w="3600" w:type="dxa"/>
            <w:vAlign w:val="bottom"/>
            <w:gridSpan w:val="13"/>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10.14*</w:t>
            </w:r>
          </w:p>
        </w:tc>
        <w:tc>
          <w:tcPr>
            <w:tcW w:w="7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of Three-Year Term Non-Executive Director Appointment Letter.</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10.15*</w:t>
            </w:r>
          </w:p>
        </w:tc>
        <w:tc>
          <w:tcPr>
            <w:tcW w:w="7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of One-Year Term Non-Executive Director Appointment Letter.</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10.16**</w:t>
            </w:r>
          </w:p>
        </w:tc>
        <w:tc>
          <w:tcPr>
            <w:tcW w:w="74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EE"/>
              </w:rPr>
            </w:pPr>
            <w:hyperlink r:id="rId718">
              <w:r>
                <w:rPr>
                  <w:rFonts w:ascii="Times New Roman" w:cs="Times New Roman" w:eastAsia="Times New Roman" w:hAnsi="Times New Roman"/>
                  <w:sz w:val="18"/>
                  <w:szCs w:val="18"/>
                  <w:color w:val="0000EE"/>
                </w:rPr>
                <w:t>Form of Transaction Support Agreement (included as Annex C to the proxy statement/prospectus).</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10.17</w:t>
            </w:r>
          </w:p>
        </w:tc>
        <w:tc>
          <w:tcPr>
            <w:tcW w:w="740" w:type="dxa"/>
            <w:vAlign w:val="bottom"/>
          </w:tcPr>
          <w:p>
            <w:pPr>
              <w:spacing w:after="0"/>
              <w:rPr>
                <w:sz w:val="24"/>
                <w:szCs w:val="24"/>
                <w:color w:val="auto"/>
              </w:rPr>
            </w:pPr>
          </w:p>
        </w:tc>
        <w:tc>
          <w:tcPr>
            <w:tcW w:w="91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Loan Note Instrument dated December 16, 2021, as amended and restated on November 21, 2022, and as further amended and</w:t>
            </w:r>
          </w:p>
        </w:tc>
        <w:tc>
          <w:tcPr>
            <w:tcW w:w="4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restated on May 23, 2023.</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10.18**</w:t>
            </w:r>
          </w:p>
        </w:tc>
        <w:tc>
          <w:tcPr>
            <w:tcW w:w="740" w:type="dxa"/>
            <w:vAlign w:val="bottom"/>
          </w:tcPr>
          <w:p>
            <w:pPr>
              <w:spacing w:after="0"/>
              <w:rPr>
                <w:sz w:val="24"/>
                <w:szCs w:val="24"/>
                <w:color w:val="auto"/>
              </w:rPr>
            </w:pPr>
          </w:p>
        </w:tc>
        <w:tc>
          <w:tcPr>
            <w:tcW w:w="80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719">
              <w:r>
                <w:rPr>
                  <w:rFonts w:ascii="Times New Roman" w:cs="Times New Roman" w:eastAsia="Times New Roman" w:hAnsi="Times New Roman"/>
                  <w:sz w:val="18"/>
                  <w:szCs w:val="18"/>
                  <w:color w:val="0000EE"/>
                  <w:w w:val="99"/>
                </w:rPr>
                <w:t>Binding Term Sheet, dated August 30, 2021, by and among Rezolve, Radio Group and the other parties thereto.</w:t>
              </w:r>
            </w:hyperlink>
          </w:p>
        </w:tc>
        <w:tc>
          <w:tcPr>
            <w:tcW w:w="1520" w:type="dxa"/>
            <w:vAlign w:val="bottom"/>
            <w:gridSpan w:val="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10.19**</w:t>
            </w:r>
          </w:p>
        </w:tc>
        <w:tc>
          <w:tcPr>
            <w:tcW w:w="740" w:type="dxa"/>
            <w:vAlign w:val="bottom"/>
          </w:tcPr>
          <w:p>
            <w:pPr>
              <w:spacing w:after="0"/>
              <w:rPr>
                <w:sz w:val="24"/>
                <w:szCs w:val="24"/>
                <w:color w:val="auto"/>
              </w:rPr>
            </w:pPr>
          </w:p>
        </w:tc>
        <w:tc>
          <w:tcPr>
            <w:tcW w:w="89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720">
              <w:r>
                <w:rPr>
                  <w:rFonts w:ascii="Times New Roman" w:cs="Times New Roman" w:eastAsia="Times New Roman" w:hAnsi="Times New Roman"/>
                  <w:sz w:val="18"/>
                  <w:szCs w:val="18"/>
                  <w:color w:val="0000EE"/>
                  <w:w w:val="99"/>
                </w:rPr>
                <w:t>Amendment to Binding Term Sheet, dated May 24, 2023, by and among Rezolve, Radio Group and the other parties thereo.</w:t>
              </w:r>
            </w:hyperlink>
          </w:p>
        </w:tc>
        <w:tc>
          <w:tcPr>
            <w:tcW w:w="64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10.20**</w:t>
            </w:r>
          </w:p>
        </w:tc>
        <w:tc>
          <w:tcPr>
            <w:tcW w:w="74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EE"/>
              </w:rPr>
            </w:pPr>
            <w:hyperlink r:id="rId721">
              <w:r>
                <w:rPr>
                  <w:rFonts w:ascii="Times New Roman" w:cs="Times New Roman" w:eastAsia="Times New Roman" w:hAnsi="Times New Roman"/>
                  <w:sz w:val="18"/>
                  <w:szCs w:val="18"/>
                  <w:color w:val="0000EE"/>
                </w:rPr>
                <w:t>Agreement in Context of the Binding Term Sheet, dated May 24, 2023, by and among Rezolve, Radio Group and the other parties</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21">
              <w:r>
                <w:rPr>
                  <w:rFonts w:ascii="Times New Roman" w:cs="Times New Roman" w:eastAsia="Times New Roman" w:hAnsi="Times New Roman"/>
                  <w:sz w:val="18"/>
                  <w:szCs w:val="18"/>
                  <w:color w:val="0000EE"/>
                  <w:w w:val="99"/>
                </w:rPr>
                <w:t>thereto.</w:t>
              </w:r>
            </w:hyperlink>
          </w:p>
        </w:tc>
        <w:tc>
          <w:tcPr>
            <w:tcW w:w="8840" w:type="dxa"/>
            <w:vAlign w:val="bottom"/>
            <w:tcBorders>
              <w:top w:val="single" w:sz="8" w:color="0000EE"/>
            </w:tcBorders>
            <w:gridSpan w:val="23"/>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10.21**</w:t>
            </w:r>
          </w:p>
        </w:tc>
        <w:tc>
          <w:tcPr>
            <w:tcW w:w="740" w:type="dxa"/>
            <w:vAlign w:val="bottom"/>
          </w:tcPr>
          <w:p>
            <w:pPr>
              <w:spacing w:after="0"/>
              <w:rPr>
                <w:sz w:val="24"/>
                <w:szCs w:val="24"/>
                <w:color w:val="auto"/>
              </w:rPr>
            </w:pPr>
          </w:p>
        </w:tc>
        <w:tc>
          <w:tcPr>
            <w:tcW w:w="82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722">
              <w:r>
                <w:rPr>
                  <w:rFonts w:ascii="Times New Roman" w:cs="Times New Roman" w:eastAsia="Times New Roman" w:hAnsi="Times New Roman"/>
                  <w:sz w:val="18"/>
                  <w:szCs w:val="18"/>
                  <w:color w:val="0000EE"/>
                  <w:w w:val="99"/>
                </w:rPr>
                <w:t>Contractual Agreement, dated August 30, 2021, by and among Rezolve, Radio Group and the other parties thereto.</w:t>
              </w:r>
            </w:hyperlink>
          </w:p>
        </w:tc>
        <w:tc>
          <w:tcPr>
            <w:tcW w:w="128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10.22**</w:t>
            </w:r>
          </w:p>
        </w:tc>
        <w:tc>
          <w:tcPr>
            <w:tcW w:w="740" w:type="dxa"/>
            <w:vAlign w:val="bottom"/>
          </w:tcPr>
          <w:p>
            <w:pPr>
              <w:spacing w:after="0"/>
              <w:rPr>
                <w:sz w:val="24"/>
                <w:szCs w:val="24"/>
                <w:color w:val="auto"/>
              </w:rPr>
            </w:pPr>
          </w:p>
        </w:tc>
        <w:tc>
          <w:tcPr>
            <w:tcW w:w="9560" w:type="dxa"/>
            <w:vAlign w:val="bottom"/>
            <w:gridSpan w:val="25"/>
          </w:tcPr>
          <w:p>
            <w:pPr>
              <w:spacing w:after="0"/>
              <w:rPr>
                <w:rFonts w:ascii="Times New Roman" w:cs="Times New Roman" w:eastAsia="Times New Roman" w:hAnsi="Times New Roman"/>
                <w:sz w:val="18"/>
                <w:szCs w:val="18"/>
                <w:color w:val="0000EE"/>
              </w:rPr>
            </w:pPr>
            <w:hyperlink r:id="rId723">
              <w:r>
                <w:rPr>
                  <w:rFonts w:ascii="Times New Roman" w:cs="Times New Roman" w:eastAsia="Times New Roman" w:hAnsi="Times New Roman"/>
                  <w:sz w:val="18"/>
                  <w:szCs w:val="18"/>
                  <w:color w:val="0000EE"/>
                </w:rPr>
                <w:t>Contractual Relationship, dated April 30, 2023.</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10.23**</w:t>
            </w:r>
          </w:p>
        </w:tc>
        <w:tc>
          <w:tcPr>
            <w:tcW w:w="740" w:type="dxa"/>
            <w:vAlign w:val="bottom"/>
          </w:tcPr>
          <w:p>
            <w:pPr>
              <w:spacing w:after="0"/>
              <w:rPr>
                <w:sz w:val="24"/>
                <w:szCs w:val="24"/>
                <w:color w:val="auto"/>
              </w:rPr>
            </w:pPr>
          </w:p>
        </w:tc>
        <w:tc>
          <w:tcPr>
            <w:tcW w:w="6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24">
              <w:r>
                <w:rPr>
                  <w:rFonts w:ascii="Times New Roman" w:cs="Times New Roman" w:eastAsia="Times New Roman" w:hAnsi="Times New Roman"/>
                  <w:sz w:val="18"/>
                  <w:szCs w:val="18"/>
                  <w:color w:val="0000EE"/>
                  <w:w w:val="99"/>
                </w:rPr>
                <w:t>Power of Disposal over ANY Lifestyle Marketing GmbH, dated November 17, 2023.</w:t>
              </w:r>
            </w:hyperlink>
          </w:p>
        </w:tc>
        <w:tc>
          <w:tcPr>
            <w:tcW w:w="3400" w:type="dxa"/>
            <w:vAlign w:val="bottom"/>
            <w:gridSpan w:val="11"/>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10.24**</w:t>
            </w:r>
          </w:p>
        </w:tc>
        <w:tc>
          <w:tcPr>
            <w:tcW w:w="740" w:type="dxa"/>
            <w:vAlign w:val="bottom"/>
          </w:tcPr>
          <w:p>
            <w:pPr>
              <w:spacing w:after="0"/>
              <w:rPr>
                <w:sz w:val="24"/>
                <w:szCs w:val="24"/>
                <w:color w:val="auto"/>
              </w:rPr>
            </w:pPr>
          </w:p>
        </w:tc>
        <w:tc>
          <w:tcPr>
            <w:tcW w:w="80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725">
              <w:r>
                <w:rPr>
                  <w:rFonts w:ascii="Times New Roman" w:cs="Times New Roman" w:eastAsia="Times New Roman" w:hAnsi="Times New Roman"/>
                  <w:sz w:val="18"/>
                  <w:szCs w:val="18"/>
                  <w:color w:val="0000EE"/>
                  <w:w w:val="99"/>
                </w:rPr>
                <w:t>Loan Agreement, dated September 28, 2023, by and among Rezolve, Radio Group and the other parties thereto.</w:t>
              </w:r>
            </w:hyperlink>
          </w:p>
        </w:tc>
        <w:tc>
          <w:tcPr>
            <w:tcW w:w="150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740" w:type="dxa"/>
            <w:vAlign w:val="bottom"/>
          </w:tcPr>
          <w:p>
            <w:pPr>
              <w:spacing w:after="0"/>
              <w:rPr>
                <w:sz w:val="24"/>
                <w:szCs w:val="24"/>
                <w:color w:val="auto"/>
              </w:rPr>
            </w:pPr>
          </w:p>
        </w:tc>
        <w:tc>
          <w:tcPr>
            <w:tcW w:w="22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726">
              <w:r>
                <w:rPr>
                  <w:rFonts w:ascii="Times New Roman" w:cs="Times New Roman" w:eastAsia="Times New Roman" w:hAnsi="Times New Roman"/>
                  <w:sz w:val="18"/>
                  <w:szCs w:val="18"/>
                  <w:color w:val="0000EE"/>
                  <w:w w:val="99"/>
                </w:rPr>
                <w:t>List of subsidiaries of Rezolve.</w:t>
              </w:r>
            </w:hyperlink>
          </w:p>
        </w:tc>
        <w:tc>
          <w:tcPr>
            <w:tcW w:w="7300" w:type="dxa"/>
            <w:vAlign w:val="bottom"/>
            <w:gridSpan w:val="21"/>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740" w:type="dxa"/>
            <w:vAlign w:val="bottom"/>
          </w:tcPr>
          <w:p>
            <w:pPr>
              <w:spacing w:after="0"/>
              <w:rPr>
                <w:sz w:val="24"/>
                <w:szCs w:val="24"/>
                <w:color w:val="auto"/>
              </w:rPr>
            </w:pPr>
          </w:p>
        </w:tc>
        <w:tc>
          <w:tcPr>
            <w:tcW w:w="2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Grassi &amp; Co., CPAs, PC.</w:t>
            </w:r>
          </w:p>
        </w:tc>
        <w:tc>
          <w:tcPr>
            <w:tcW w:w="6920" w:type="dxa"/>
            <w:vAlign w:val="bottom"/>
            <w:gridSpan w:val="2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7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Marcum LLP, independent registered accounting firm for Armada Acquisition Corp. I.</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7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Marshall &amp; Stevens Transaction Advisory Services LLC.</w:t>
            </w:r>
          </w:p>
        </w:tc>
        <w:tc>
          <w:tcPr>
            <w:tcW w:w="2160" w:type="dxa"/>
            <w:vAlign w:val="bottom"/>
            <w:tcBorders>
              <w:top w:val="single" w:sz="8" w:color="0000EE"/>
            </w:tcBorders>
            <w:gridSpan w:val="7"/>
          </w:tcPr>
          <w:p>
            <w:pPr>
              <w:spacing w:after="0"/>
              <w:rPr>
                <w:sz w:val="24"/>
                <w:szCs w:val="24"/>
                <w:color w:val="auto"/>
              </w:rPr>
            </w:pPr>
          </w:p>
        </w:tc>
        <w:tc>
          <w:tcPr>
            <w:tcW w:w="2440" w:type="dxa"/>
            <w:vAlign w:val="bottom"/>
            <w:gridSpan w:val="9"/>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23.4</w:t>
            </w:r>
          </w:p>
        </w:tc>
        <w:tc>
          <w:tcPr>
            <w:tcW w:w="7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Northland Securities, Inc.</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gridSpan w:val="6"/>
            <w:shd w:val="clear" w:color="auto" w:fill="0000EE"/>
          </w:tcPr>
          <w:p>
            <w:pPr>
              <w:spacing w:after="0" w:line="20" w:lineRule="exact"/>
              <w:rPr>
                <w:sz w:val="1"/>
                <w:szCs w:val="1"/>
                <w:color w:val="auto"/>
              </w:rPr>
            </w:pPr>
          </w:p>
        </w:tc>
        <w:tc>
          <w:tcPr>
            <w:tcW w:w="6880" w:type="dxa"/>
            <w:vAlign w:val="bottom"/>
            <w:gridSpan w:val="19"/>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23.5*</w:t>
            </w:r>
          </w:p>
        </w:tc>
        <w:tc>
          <w:tcPr>
            <w:tcW w:w="7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Consent of Taylor Wessing LLP (included in Exhibit 5.1).</w:t>
            </w:r>
          </w:p>
        </w:tc>
      </w:tr>
      <w:tr>
        <w:trPr>
          <w:trHeight w:val="36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40" w:type="dxa"/>
            <w:vAlign w:val="bottom"/>
            <w:gridSpan w:val="18"/>
          </w:tcPr>
          <w:p>
            <w:pPr>
              <w:ind w:left="480"/>
              <w:spacing w:after="0"/>
              <w:rPr>
                <w:sz w:val="20"/>
                <w:szCs w:val="20"/>
                <w:color w:val="auto"/>
              </w:rPr>
            </w:pPr>
            <w:r>
              <w:rPr>
                <w:rFonts w:ascii="Times New Roman" w:cs="Times New Roman" w:eastAsia="Times New Roman" w:hAnsi="Times New Roman"/>
                <w:sz w:val="18"/>
                <w:szCs w:val="18"/>
                <w:color w:val="auto"/>
              </w:rPr>
              <w:t>II-2</w:t>
            </w:r>
          </w:p>
        </w:tc>
      </w:tr>
    </w:tbl>
    <w:p>
      <w:pPr>
        <w:sectPr>
          <w:pgSz w:w="11900" w:h="16838" w:orient="portrait"/>
          <w:cols w:equalWidth="0" w:num="1">
            <w:col w:w="11140"/>
          </w:cols>
          <w:pgMar w:left="320" w:top="455" w:right="43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40" w:type="dxa"/>
            <w:vAlign w:val="bottom"/>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23.6*</w:t>
            </w:r>
          </w:p>
        </w:tc>
        <w:tc>
          <w:tcPr>
            <w:tcW w:w="9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Consent of DLA Piper LLP (US) (included in Exhibit 5.2).</w:t>
            </w:r>
          </w:p>
        </w:tc>
      </w:tr>
      <w:tr>
        <w:trPr>
          <w:trHeight w:val="28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70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728">
              <w:r>
                <w:rPr>
                  <w:rFonts w:ascii="Times New Roman" w:cs="Times New Roman" w:eastAsia="Times New Roman" w:hAnsi="Times New Roman"/>
                  <w:sz w:val="18"/>
                  <w:szCs w:val="18"/>
                  <w:color w:val="0000EE"/>
                  <w:w w:val="99"/>
                </w:rPr>
                <w:t>Power of Attorney (included on signature page of the initial filing of this Registration Statement).</w:t>
              </w:r>
            </w:hyperlink>
          </w:p>
        </w:tc>
        <w:tc>
          <w:tcPr>
            <w:tcW w:w="2420" w:type="dxa"/>
            <w:vAlign w:val="bottom"/>
          </w:tcPr>
          <w:p>
            <w:pPr>
              <w:spacing w:after="0"/>
              <w:rPr>
                <w:sz w:val="24"/>
                <w:szCs w:val="24"/>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99.1**</w:t>
            </w:r>
          </w:p>
        </w:tc>
        <w:tc>
          <w:tcPr>
            <w:tcW w:w="9460" w:type="dxa"/>
            <w:vAlign w:val="bottom"/>
            <w:gridSpan w:val="5"/>
          </w:tcPr>
          <w:p>
            <w:pPr>
              <w:spacing w:after="0"/>
              <w:rPr>
                <w:rFonts w:ascii="Times New Roman" w:cs="Times New Roman" w:eastAsia="Times New Roman" w:hAnsi="Times New Roman"/>
                <w:sz w:val="18"/>
                <w:szCs w:val="18"/>
                <w:color w:val="0000EE"/>
              </w:rPr>
            </w:pPr>
            <w:hyperlink r:id="rId729">
              <w:r>
                <w:rPr>
                  <w:rFonts w:ascii="Times New Roman" w:cs="Times New Roman" w:eastAsia="Times New Roman" w:hAnsi="Times New Roman"/>
                  <w:sz w:val="18"/>
                  <w:szCs w:val="18"/>
                  <w:color w:val="0000EE"/>
                </w:rPr>
                <w:t>Form of Proxy for Armada.</w:t>
              </w:r>
            </w:hyperlink>
          </w:p>
        </w:tc>
      </w:tr>
      <w:tr>
        <w:trPr>
          <w:trHeight w:val="20"/>
        </w:trPr>
        <w:tc>
          <w:tcPr>
            <w:tcW w:w="1560" w:type="dxa"/>
            <w:vAlign w:val="bottom"/>
            <w:gridSpan w:val="2"/>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99.2**</w:t>
            </w:r>
          </w:p>
        </w:tc>
        <w:tc>
          <w:tcPr>
            <w:tcW w:w="9460" w:type="dxa"/>
            <w:vAlign w:val="bottom"/>
            <w:gridSpan w:val="5"/>
          </w:tcPr>
          <w:p>
            <w:pPr>
              <w:spacing w:after="0"/>
              <w:rPr>
                <w:rFonts w:ascii="Times New Roman" w:cs="Times New Roman" w:eastAsia="Times New Roman" w:hAnsi="Times New Roman"/>
                <w:sz w:val="18"/>
                <w:szCs w:val="18"/>
                <w:color w:val="0000EE"/>
              </w:rPr>
            </w:pPr>
            <w:hyperlink r:id="rId730">
              <w:r>
                <w:rPr>
                  <w:rFonts w:ascii="Times New Roman" w:cs="Times New Roman" w:eastAsia="Times New Roman" w:hAnsi="Times New Roman"/>
                  <w:sz w:val="18"/>
                  <w:szCs w:val="18"/>
                  <w:color w:val="0000EE"/>
                </w:rPr>
                <w:t>Consent to be named a nominee director of Stephen Herbert.</w:t>
              </w:r>
            </w:hyperlink>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99.3**</w:t>
            </w:r>
          </w:p>
        </w:tc>
        <w:tc>
          <w:tcPr>
            <w:tcW w:w="42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r:id="rId731">
              <w:r>
                <w:rPr>
                  <w:rFonts w:ascii="Times New Roman" w:cs="Times New Roman" w:eastAsia="Times New Roman" w:hAnsi="Times New Roman"/>
                  <w:sz w:val="18"/>
                  <w:szCs w:val="18"/>
                  <w:color w:val="0000EE"/>
                  <w:w w:val="99"/>
                </w:rPr>
                <w:t>Consent to be named a nominee director of Douglas Lurio.</w:t>
              </w:r>
            </w:hyperlink>
          </w:p>
        </w:tc>
        <w:tc>
          <w:tcPr>
            <w:tcW w:w="120" w:type="dxa"/>
            <w:vAlign w:val="bottom"/>
            <w:tcBorders>
              <w:top w:val="single" w:sz="8" w:color="0000EE"/>
            </w:tcBorders>
          </w:tcPr>
          <w:p>
            <w:pPr>
              <w:spacing w:after="0"/>
              <w:rPr>
                <w:sz w:val="24"/>
                <w:szCs w:val="24"/>
                <w:color w:val="auto"/>
              </w:rPr>
            </w:pPr>
          </w:p>
        </w:tc>
        <w:tc>
          <w:tcPr>
            <w:tcW w:w="5100" w:type="dxa"/>
            <w:vAlign w:val="bottom"/>
            <w:gridSpan w:val="2"/>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Calculation of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right="8660" w:hanging="4"/>
        <w:spacing w:after="0" w:line="312" w:lineRule="auto"/>
        <w:tabs>
          <w:tab w:leader="none" w:pos="552" w:val="left"/>
        </w:tabs>
        <w:numPr>
          <w:ilvl w:val="0"/>
          <w:numId w:val="6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As previously filed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540" w:right="60" w:hanging="439"/>
        <w:spacing w:after="0" w:line="255" w:lineRule="auto"/>
        <w:tabs>
          <w:tab w:leader="none" w:pos="1540" w:val="left"/>
        </w:tabs>
        <w:numPr>
          <w:ilvl w:val="1"/>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1"/>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60" w:hanging="532"/>
        <w:spacing w:after="0" w:line="254" w:lineRule="auto"/>
        <w:tabs>
          <w:tab w:leader="none" w:pos="108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Section 15(d) of the Securities Exchange Act of 1934 that are incorporated by reference in this registration statement;</w:t>
      </w:r>
    </w:p>
    <w:p>
      <w:pPr>
        <w:spacing w:after="0" w:line="131" w:lineRule="exact"/>
        <w:rPr>
          <w:sz w:val="20"/>
          <w:szCs w:val="20"/>
          <w:color w:val="auto"/>
        </w:rPr>
      </w:pPr>
    </w:p>
    <w:p>
      <w:pPr>
        <w:ind w:left="1080" w:right="60" w:hanging="532"/>
        <w:spacing w:after="0" w:line="261" w:lineRule="auto"/>
        <w:tabs>
          <w:tab w:leader="none" w:pos="108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or (4) or 497(h) under the Securities Act shall be deemed to be part of this registration statement as of the time it was declared effective.</w:t>
      </w:r>
    </w:p>
    <w:p>
      <w:pPr>
        <w:spacing w:after="0" w:line="112"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1540" w:right="480" w:hanging="439"/>
        <w:spacing w:after="0" w:line="282" w:lineRule="auto"/>
        <w:tabs>
          <w:tab w:leader="none" w:pos="154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20" w:hanging="439"/>
        <w:spacing w:after="0" w:line="282" w:lineRule="auto"/>
        <w:tabs>
          <w:tab w:leader="none" w:pos="154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92" w:lineRule="exact"/>
        <w:rPr>
          <w:rFonts w:ascii="Times New Roman" w:cs="Times New Roman" w:eastAsia="Times New Roman" w:hAnsi="Times New Roman"/>
          <w:sz w:val="18"/>
          <w:szCs w:val="18"/>
          <w:color w:val="auto"/>
        </w:rPr>
      </w:pPr>
    </w:p>
    <w:p>
      <w:pPr>
        <w:ind w:left="1080" w:right="360" w:hanging="532"/>
        <w:spacing w:after="0" w:line="258" w:lineRule="auto"/>
        <w:tabs>
          <w:tab w:leader="none" w:pos="108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this paragraph includes information contained in documents filed subsequent to the effective date of the registration statement through the date of responding to the request.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82" w:lineRule="auto"/>
        <w:tabs>
          <w:tab w:leader="none" w:pos="108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this transaction, and the company being acquired involved therein, that was not the subject of and included in this Registration Statement when it became effective.</w:t>
      </w:r>
    </w:p>
    <w:p>
      <w:pPr>
        <w:spacing w:after="0" w:line="67"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F-4 to be signed on its behalf by the undersigned, thereunto duly authorized, in the city of London, United Kingdom, on the 11th day of June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 Daniel Wagner</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 Richard Burchill</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20"/>
                <w:szCs w:val="20"/>
                <w:color w:val="auto"/>
              </w:rPr>
            </w:pPr>
          </w:p>
        </w:tc>
      </w:tr>
      <w:tr>
        <w:trPr>
          <w:trHeight w:val="35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F-4 to be signed on its behalf by the undersigned, thereunto duly authorized, in the city of New York, New York, on the 11th day of June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Colleen A. De Vries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1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20"/>
          </w:cols>
          <w:pgMar w:left="320" w:top="455" w:right="459" w:bottom="1440" w:gutter="0" w:footer="0" w:header="0"/>
        </w:sectPr>
      </w:pPr>
    </w:p>
    <w:bookmarkStart w:id="592" w:name="page593"/>
    <w:bookmarkEnd w:id="592"/>
    <w:p>
      <w:pPr>
        <w:ind w:left="9180"/>
        <w:spacing w:after="0"/>
        <w:rPr>
          <w:sz w:val="20"/>
          <w:szCs w:val="20"/>
          <w:color w:val="auto"/>
        </w:rPr>
      </w:pPr>
      <w:r>
        <w:rPr>
          <w:rFonts w:ascii="Times New Roman" w:cs="Times New Roman" w:eastAsia="Times New Roman" w:hAnsi="Times New Roman"/>
          <w:sz w:val="17"/>
          <w:szCs w:val="17"/>
          <w:b w:val="1"/>
          <w:bCs w:val="1"/>
          <w:color w:val="auto"/>
        </w:rPr>
        <w:t>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35560</wp:posOffset>
            </wp:positionV>
            <wp:extent cx="7029450" cy="49720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9">
                      <a:extLst>
                        <a:ext uri="{28A0092B-C50C-407E-A947-70E740481C1C}"/>
                      </a:extLst>
                    </a:blip>
                    <a:srcRect/>
                    <a:stretch>
                      <a:fillRect/>
                    </a:stretch>
                  </pic:blipFill>
                  <pic:spPr bwMode="auto">
                    <a:xfrm>
                      <a:off x="0" y="0"/>
                      <a:ext cx="7029450" cy="497205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93" w:name="page594"/>
    <w:bookmarkEnd w:id="59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INDEMNITY AGREEMENT</w:t>
      </w:r>
    </w:p>
    <w:p>
      <w:pPr>
        <w:spacing w:after="0" w:line="225"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{{DATE}}, 2024, by and between Rezolve AI Limited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re-registered as Rezolve AI Plc prior to closing occurring under the business combination agreement dated 17 December 2021, as amended and restated from time to time), a limited liability company registered under the laws of England and Wales with company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Daniel Wagner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highly competent persons have become more reluctant to serve companies or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companies or corporations;</w:t>
      </w:r>
    </w:p>
    <w:p>
      <w:pPr>
        <w:spacing w:after="0" w:line="171" w:lineRule="exact"/>
        <w:rPr>
          <w:sz w:val="20"/>
          <w:szCs w:val="20"/>
          <w:color w:val="auto"/>
        </w:rPr>
      </w:pPr>
    </w:p>
    <w:p>
      <w:pPr>
        <w:ind w:left="4"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The amended and restated memorandum and articles of association of the Company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provide the basis for the indemnification of the officers and directors of the Company. The Articles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82" w:lineRule="exact"/>
        <w:rPr>
          <w:sz w:val="20"/>
          <w:szCs w:val="20"/>
          <w:color w:val="auto"/>
        </w:rPr>
      </w:pPr>
    </w:p>
    <w:p>
      <w:pPr>
        <w:ind w:left="4"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and the Articles so that they will serve or continue to serve the Company free from undue concern that they will not be so protected against liabilities;</w:t>
      </w:r>
    </w:p>
    <w:p>
      <w:pPr>
        <w:spacing w:after="0" w:line="171"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w:t>
      </w:r>
    </w:p>
    <w:p>
      <w:pPr>
        <w:spacing w:after="0" w:line="15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 and</w:t>
      </w:r>
    </w:p>
    <w:p>
      <w:pPr>
        <w:spacing w:after="0" w:line="171"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on or after the date of this Agreement the Company and Indemnitee do hereby covenant and agree as follows:</w:t>
      </w:r>
    </w:p>
    <w:p>
      <w:pPr>
        <w:spacing w:after="0" w:line="303" w:lineRule="exact"/>
        <w:rPr>
          <w:sz w:val="20"/>
          <w:szCs w:val="20"/>
          <w:color w:val="auto"/>
        </w:rPr>
      </w:pPr>
    </w:p>
    <w:p>
      <w:pPr>
        <w:ind w:left="424" w:hanging="424"/>
        <w:spacing w:after="0"/>
        <w:tabs>
          <w:tab w:leader="none" w:pos="424" w:val="left"/>
        </w:tabs>
        <w:numPr>
          <w:ilvl w:val="0"/>
          <w:numId w:val="6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TO THE COMPANY</w:t>
      </w:r>
    </w:p>
    <w:p>
      <w:pPr>
        <w:spacing w:after="0" w:line="121"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In consideration of the Company’s covenants and obligations hereunder, Indemnitee will serve or continue to serve as an officer, director, advisor, key employee or in any other capacity of the Company, as applicable, for so long as Indemnitee is duly elected or appointed or retained or until Indemnitee tenders his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ectPr>
          <w:pgSz w:w="11900" w:h="16838" w:orient="portrait"/>
          <w:cols w:equalWidth="0" w:num="1">
            <w:col w:w="11024"/>
          </w:cols>
          <w:pgMar w:left="436" w:top="117" w:right="439" w:bottom="1440" w:gutter="0" w:footer="0" w:header="0"/>
        </w:sectPr>
      </w:pPr>
    </w:p>
    <w:bookmarkStart w:id="594" w:name="page595"/>
    <w:bookmarkEnd w:id="59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DEFINITIONS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27" w:lineRule="exact"/>
        <w:rPr>
          <w:sz w:val="20"/>
          <w:szCs w:val="20"/>
          <w:color w:val="auto"/>
        </w:rPr>
      </w:pPr>
    </w:p>
    <w:p>
      <w:pPr>
        <w:ind w:left="424" w:hanging="424"/>
        <w:spacing w:after="0" w:line="262" w:lineRule="auto"/>
        <w:tabs>
          <w:tab w:leader="none" w:pos="42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company or corporation, partnership, limited liability company, joint venture, trust or other enterprise at the request of, for the convenience of, or to represent the interests of the Company or a subsidiary of the Company.</w:t>
      </w:r>
    </w:p>
    <w:p>
      <w:pPr>
        <w:spacing w:after="0" w:line="81" w:lineRule="exact"/>
        <w:rPr>
          <w:rFonts w:ascii="Times New Roman" w:cs="Times New Roman" w:eastAsia="Times New Roman" w:hAnsi="Times New Roman"/>
          <w:sz w:val="18"/>
          <w:szCs w:val="18"/>
          <w:color w:val="auto"/>
        </w:rPr>
      </w:pPr>
    </w:p>
    <w:p>
      <w:pPr>
        <w:ind w:left="424" w:right="20" w:hanging="424"/>
        <w:spacing w:after="0" w:line="286" w:lineRule="auto"/>
        <w:tabs>
          <w:tab w:leader="none" w:pos="42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6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Court</w:t>
      </w:r>
      <w:r>
        <w:rPr>
          <w:rFonts w:ascii="Times New Roman" w:cs="Times New Roman" w:eastAsia="Times New Roman" w:hAnsi="Times New Roman"/>
          <w:sz w:val="18"/>
          <w:szCs w:val="18"/>
          <w:color w:val="auto"/>
        </w:rPr>
        <w:t>” shall mean the courts of England and Wales;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34" w:lineRule="exact"/>
        <w:rPr>
          <w:rFonts w:ascii="Times New Roman" w:cs="Times New Roman" w:eastAsia="Times New Roman" w:hAnsi="Times New Roman"/>
          <w:sz w:val="18"/>
          <w:szCs w:val="18"/>
          <w:color w:val="auto"/>
        </w:rPr>
      </w:pPr>
    </w:p>
    <w:p>
      <w:pPr>
        <w:ind w:left="964" w:right="280" w:hanging="532"/>
        <w:spacing w:after="0" w:line="258" w:lineRule="auto"/>
        <w:tabs>
          <w:tab w:leader="none" w:pos="964"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Shares by Third Party</w:t>
      </w:r>
      <w:r>
        <w:rPr>
          <w:rFonts w:ascii="Times New Roman" w:cs="Times New Roman" w:eastAsia="Times New Roman" w:hAnsi="Times New Roman"/>
          <w:sz w:val="18"/>
          <w:szCs w:val="18"/>
          <w:color w:val="auto"/>
        </w:rPr>
        <w:t>. any Person becomes the Beneficial Owner, directly or indirectly, of securities of the Company representing twenty percent (20%) or more of the combined voting power of the Company’s then outstanding securities entitled to vote generally in the election of directors, unless such acquisition was approved in advance by shareholders holding a majority of the voting power of the Company prior to such acquisition and such acquisition would not constitute a Change in Control under part (iii) of this definition;</w:t>
      </w:r>
    </w:p>
    <w:p>
      <w:pPr>
        <w:spacing w:after="0" w:line="88"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i w:val="1"/>
          <w:i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85" w:lineRule="exact"/>
        <w:rPr>
          <w:rFonts w:ascii="Times New Roman" w:cs="Times New Roman" w:eastAsia="Times New Roman" w:hAnsi="Times New Roman"/>
          <w:sz w:val="18"/>
          <w:szCs w:val="18"/>
          <w:color w:val="auto"/>
        </w:rPr>
      </w:pPr>
    </w:p>
    <w:p>
      <w:pPr>
        <w:ind w:left="964" w:right="20" w:hanging="532"/>
        <w:spacing w:after="0" w:line="252" w:lineRule="auto"/>
        <w:tabs>
          <w:tab w:leader="none" w:pos="964"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share purchase, reorganization or similar business combination, involving the Company and one or more businesses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company or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no Person (excluding any company or corporation resulting from such Business Combination) is the Beneficial Owner, directly or indirectly, of 20% or more of the combined voting power of the then outstanding securities entitled to vote generally in the election of directors of the surviving company or corporation except to the extent that such ownership existed prior to the Business Combination; and (3) at least a majority of the board of directors of the company or corporation resulting from such Business Combination were Continuing Directors at the time of the execution of the initial agreement, or of the action of the Board, providing for such Business Combination; or</w:t>
      </w:r>
    </w:p>
    <w:p>
      <w:pPr>
        <w:spacing w:after="0" w:line="102"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5" w:right="479" w:bottom="1440" w:gutter="0" w:footer="0" w:header="0"/>
        </w:sectPr>
      </w:pPr>
    </w:p>
    <w:bookmarkStart w:id="595" w:name="page596"/>
    <w:bookmarkEnd w:id="595"/>
    <w:p>
      <w:pPr>
        <w:ind w:left="424" w:right="540" w:hanging="424"/>
        <w:spacing w:after="0" w:line="317" w:lineRule="auto"/>
        <w:tabs>
          <w:tab w:leader="none" w:pos="424" w:val="left"/>
        </w:tabs>
        <w:numPr>
          <w:ilvl w:val="0"/>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Corporate Status</w:t>
      </w:r>
      <w:r>
        <w:rPr>
          <w:rFonts w:ascii="Times New Roman" w:cs="Times New Roman" w:eastAsia="Times New Roman" w:hAnsi="Times New Roman"/>
          <w:sz w:val="17"/>
          <w:szCs w:val="17"/>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37" w:lineRule="exact"/>
        <w:rPr>
          <w:rFonts w:ascii="Times New Roman" w:cs="Times New Roman" w:eastAsia="Times New Roman" w:hAnsi="Times New Roman"/>
          <w:sz w:val="17"/>
          <w:szCs w:val="17"/>
          <w:color w:val="auto"/>
        </w:rPr>
      </w:pPr>
    </w:p>
    <w:p>
      <w:pPr>
        <w:ind w:left="424" w:right="1060" w:hanging="424"/>
        <w:spacing w:after="0" w:line="286" w:lineRule="auto"/>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60" w:lineRule="exact"/>
        <w:rPr>
          <w:rFonts w:ascii="Times New Roman" w:cs="Times New Roman" w:eastAsia="Times New Roman" w:hAnsi="Times New Roman"/>
          <w:sz w:val="18"/>
          <w:szCs w:val="18"/>
          <w:color w:val="auto"/>
        </w:rPr>
      </w:pPr>
    </w:p>
    <w:p>
      <w:pPr>
        <w:ind w:left="424" w:right="100" w:hanging="424"/>
        <w:spacing w:after="0" w:line="262" w:lineRule="auto"/>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company or corporation, constituent company or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manager, managing member, fiduciary, employee or agent.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130" w:lineRule="exact"/>
        <w:rPr>
          <w:rFonts w:ascii="Times New Roman" w:cs="Times New Roman" w:eastAsia="Times New Roman" w:hAnsi="Times New Roman"/>
          <w:sz w:val="18"/>
          <w:szCs w:val="18"/>
          <w:color w:val="auto"/>
        </w:rPr>
      </w:pPr>
    </w:p>
    <w:p>
      <w:pPr>
        <w:ind w:left="424" w:right="40" w:hanging="424"/>
        <w:spacing w:after="0" w:line="254" w:lineRule="auto"/>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9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w:t>
      </w:r>
    </w:p>
    <w:p>
      <w:pPr>
        <w:spacing w:after="0" w:line="130" w:lineRule="exact"/>
        <w:rPr>
          <w:rFonts w:ascii="Times New Roman" w:cs="Times New Roman" w:eastAsia="Times New Roman" w:hAnsi="Times New Roman"/>
          <w:sz w:val="18"/>
          <w:szCs w:val="18"/>
          <w:color w:val="auto"/>
        </w:rPr>
      </w:pPr>
    </w:p>
    <w:p>
      <w:pPr>
        <w:ind w:left="424" w:right="280" w:hanging="424"/>
        <w:spacing w:after="0" w:line="259" w:lineRule="auto"/>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i w:val="1"/>
          <w:iCs w:val="1"/>
          <w:color w:val="auto"/>
        </w:rPr>
        <w:t>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opposed to the best interests of the Company</w:t>
      </w:r>
      <w:r>
        <w:rPr>
          <w:rFonts w:ascii="Times New Roman" w:cs="Times New Roman" w:eastAsia="Times New Roman" w:hAnsi="Times New Roman"/>
          <w:sz w:val="18"/>
          <w:szCs w:val="18"/>
          <w:color w:val="auto"/>
        </w:rPr>
        <w:t>” as referred to in this Agreement.</w:t>
      </w:r>
    </w:p>
    <w:p>
      <w:pPr>
        <w:spacing w:after="0" w:line="84"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87" w:lineRule="exact"/>
        <w:rPr>
          <w:rFonts w:ascii="Times New Roman" w:cs="Times New Roman" w:eastAsia="Times New Roman" w:hAnsi="Times New Roman"/>
          <w:sz w:val="18"/>
          <w:szCs w:val="18"/>
          <w:color w:val="auto"/>
        </w:rPr>
      </w:pPr>
    </w:p>
    <w:p>
      <w:pPr>
        <w:ind w:left="424" w:right="60" w:hanging="424"/>
        <w:spacing w:after="0" w:line="257" w:lineRule="auto"/>
        <w:tabs>
          <w:tab w:leader="none" w:pos="42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exclude: (i) the Company; (ii) any Subsidiaries of the Company; (iii) any employment benefit plan of the Company or of a Subsidiary of the Company or of any company or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of the Company or of a company or corporation owned directly or indirectly by the shareholders of the Company in substantially the same proportions as their ownership of shares of the Company.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5" w:right="459" w:bottom="1440" w:gutter="0" w:footer="0" w:header="0"/>
        </w:sectPr>
      </w:pPr>
    </w:p>
    <w:bookmarkStart w:id="596" w:name="page597"/>
    <w:bookmarkEnd w:id="596"/>
    <w:p>
      <w:pPr>
        <w:ind w:left="424" w:right="60" w:hanging="424"/>
        <w:spacing w:after="0" w:line="254" w:lineRule="auto"/>
        <w:tabs>
          <w:tab w:leader="none" w:pos="424"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him or of any action (or failure to act) on his part while acting as a director or officer of the Company, or by reason of the fact that he or she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93" w:lineRule="exact"/>
        <w:rPr>
          <w:rFonts w:ascii="Times New Roman" w:cs="Times New Roman" w:eastAsia="Times New Roman" w:hAnsi="Times New Roman"/>
          <w:sz w:val="18"/>
          <w:szCs w:val="18"/>
          <w:color w:val="auto"/>
        </w:rPr>
      </w:pPr>
    </w:p>
    <w:p>
      <w:pPr>
        <w:ind w:left="424" w:hanging="424"/>
        <w:spacing w:after="0" w:line="268" w:lineRule="auto"/>
        <w:tabs>
          <w:tab w:leader="none" w:pos="424"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company or corporation, limited liability company, partnership, joint venture, trust or other entity of which a majority of the voting power of the voting equity securities or equity interest is owned, directly or indirectly, by that Person.</w:t>
      </w:r>
    </w:p>
    <w:p>
      <w:pPr>
        <w:spacing w:after="0" w:line="76" w:lineRule="exact"/>
        <w:rPr>
          <w:rFonts w:ascii="Times New Roman" w:cs="Times New Roman" w:eastAsia="Times New Roman" w:hAnsi="Times New Roman"/>
          <w:sz w:val="18"/>
          <w:szCs w:val="18"/>
          <w:color w:val="auto"/>
        </w:rPr>
      </w:pPr>
    </w:p>
    <w:p>
      <w:pPr>
        <w:ind w:left="424" w:right="240" w:hanging="424"/>
        <w:spacing w:after="0" w:line="259" w:lineRule="auto"/>
        <w:tabs>
          <w:tab w:leader="none" w:pos="424"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w:t>
      </w:r>
      <w:r>
        <w:rPr>
          <w:rFonts w:ascii="Times New Roman" w:cs="Times New Roman" w:eastAsia="Times New Roman" w:hAnsi="Times New Roman"/>
          <w:sz w:val="18"/>
          <w:szCs w:val="18"/>
          <w:b w:val="1"/>
          <w:bCs w:val="1"/>
          <w:i w:val="1"/>
          <w:iCs w:val="1"/>
          <w:color w:val="auto"/>
        </w:rPr>
        <w:t>to the fullest extent permitted by applicable law and the Articles</w:t>
      </w:r>
      <w:r>
        <w:rPr>
          <w:rFonts w:ascii="Times New Roman" w:cs="Times New Roman" w:eastAsia="Times New Roman" w:hAnsi="Times New Roman"/>
          <w:sz w:val="18"/>
          <w:szCs w:val="18"/>
          <w:color w:val="auto"/>
        </w:rPr>
        <w:t>” shall include, but not be limited to: (a) to the fullest extent authorized or permitted by the provision of applicable law of England and Wales that authorizes or contemplates additional indemnification by agreement, or the corresponding provision of any amendment to or replacement of applicable law of England and Wales, and (b) to the fullest extent authorized or permitted by any amendments to or replacements or restatements of applicable law of England and Wales adopted after the date of this Agreement that increase the extent to which a company or corporation may indemnify its officers and directors.</w:t>
      </w:r>
    </w:p>
    <w:p>
      <w:pPr>
        <w:spacing w:after="0" w:line="328" w:lineRule="exact"/>
        <w:rPr>
          <w:sz w:val="20"/>
          <w:szCs w:val="20"/>
          <w:color w:val="auto"/>
        </w:rPr>
      </w:pPr>
    </w:p>
    <w:p>
      <w:pPr>
        <w:ind w:left="424" w:hanging="424"/>
        <w:spacing w:after="0"/>
        <w:tabs>
          <w:tab w:leader="none" w:pos="424"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IN THIRD-PARTY PROCEEDINGS</w:t>
      </w:r>
    </w:p>
    <w:p>
      <w:pPr>
        <w:spacing w:after="0" w:line="121"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applicable law and the Articles,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own actual fraud or wilful default. Indemnitee shall not be found to have committed actual fraud or wilful default for any purpose of this Agreement unless or until a court of competent jurisdiction (including, without limitation, the Applicable Court) shall have made a finding to that effect.</w:t>
      </w:r>
    </w:p>
    <w:p>
      <w:pPr>
        <w:spacing w:after="0" w:line="334" w:lineRule="exact"/>
        <w:rPr>
          <w:sz w:val="20"/>
          <w:szCs w:val="20"/>
          <w:color w:val="auto"/>
        </w:rPr>
      </w:pPr>
    </w:p>
    <w:p>
      <w:pPr>
        <w:ind w:left="424" w:hanging="424"/>
        <w:spacing w:after="0"/>
        <w:tabs>
          <w:tab w:leader="none" w:pos="424" w:val="left"/>
        </w:tabs>
        <w:numPr>
          <w:ilvl w:val="0"/>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IN PROCEEDINGS BY OR IN THE RIGHT OF THE COMPANY</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applicable law and 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on his behalf in connection with such Proceeding or any claim, issue or matter therein, if Indemnitee acted in good faith and in a manner he or she reasonably believed to be in or not opposed to the best interests of the Company. No indemnification, undertaking or covenant to hold harmless or other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Applicable Court shall determine upon application that, despite the adjudication of liability but in view of all the circumstances of the case, Indemnitee is fairly and reasonably entitled to indemnification, to be held harmless or to exoneration.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5" w:right="459" w:bottom="1440" w:gutter="0" w:footer="0" w:header="0"/>
        </w:sectPr>
      </w:pPr>
    </w:p>
    <w:bookmarkStart w:id="597" w:name="page598"/>
    <w:bookmarkEnd w:id="597"/>
    <w:p>
      <w:pPr>
        <w:ind w:left="424" w:hanging="424"/>
        <w:spacing w:after="0"/>
        <w:tabs>
          <w:tab w:leader="none" w:pos="424" w:val="left"/>
        </w:tabs>
        <w:numPr>
          <w:ilvl w:val="0"/>
          <w:numId w:val="6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FOR EXPENSES OF A PARTY WHO IS WHOLLY OR PARTLY SUCCESSFUL</w:t>
      </w:r>
    </w:p>
    <w:p>
      <w:pPr>
        <w:spacing w:after="0" w:line="121"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 other provisions of this Agreement, but subject to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on his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336" w:lineRule="exact"/>
        <w:rPr>
          <w:sz w:val="20"/>
          <w:szCs w:val="20"/>
          <w:color w:val="auto"/>
        </w:rPr>
      </w:pPr>
    </w:p>
    <w:p>
      <w:pPr>
        <w:ind w:left="424" w:hanging="424"/>
        <w:spacing w:after="0"/>
        <w:tabs>
          <w:tab w:leader="none" w:pos="424" w:val="left"/>
        </w:tabs>
        <w:numPr>
          <w:ilvl w:val="0"/>
          <w:numId w:val="6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FOR EXPENSES OF A WITNESS</w:t>
      </w:r>
    </w:p>
    <w:p>
      <w:pPr>
        <w:spacing w:after="0" w:line="121"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Agreement, but subject to Section 27, to the extent that Indemnitee is, by reason of his Corporate Status, a witness or deponent in any Proceeding to which Indemnitee is not a party or threatened to be made a party, he or she shall, to the fullest extent permitted by applicable law and the Articles, be indemnified, held harmless and exonerated against all Expenses actually and reasonably incurred by him or on his behalf in connection therewith.</w:t>
      </w:r>
    </w:p>
    <w:p>
      <w:pPr>
        <w:spacing w:after="0" w:line="324" w:lineRule="exact"/>
        <w:rPr>
          <w:sz w:val="20"/>
          <w:szCs w:val="20"/>
          <w:color w:val="auto"/>
        </w:rPr>
      </w:pPr>
    </w:p>
    <w:p>
      <w:pPr>
        <w:ind w:left="424" w:hanging="424"/>
        <w:spacing w:after="0"/>
        <w:tabs>
          <w:tab w:leader="none" w:pos="424" w:val="left"/>
        </w:tabs>
        <w:numPr>
          <w:ilvl w:val="0"/>
          <w:numId w:val="6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INDEMNIFICATION, HOLD HARMLESS AND EXONERATION RIGHTS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Notwithstanding any limitation in Sections 3, 4 or 5, but subject to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336" w:lineRule="exact"/>
        <w:rPr>
          <w:sz w:val="20"/>
          <w:szCs w:val="20"/>
          <w:color w:val="auto"/>
        </w:rPr>
      </w:pPr>
    </w:p>
    <w:p>
      <w:pPr>
        <w:ind w:left="424" w:hanging="424"/>
        <w:spacing w:after="0"/>
        <w:tabs>
          <w:tab w:leader="none" w:pos="424" w:val="left"/>
        </w:tabs>
        <w:numPr>
          <w:ilvl w:val="0"/>
          <w:numId w:val="6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 IN THE EVENT OF JOINT LIABILITY</w:t>
      </w:r>
    </w:p>
    <w:p>
      <w:pPr>
        <w:spacing w:after="0" w:line="135" w:lineRule="exact"/>
        <w:rPr>
          <w:sz w:val="20"/>
          <w:szCs w:val="20"/>
          <w:color w:val="auto"/>
        </w:rPr>
      </w:pPr>
    </w:p>
    <w:p>
      <w:pPr>
        <w:ind w:left="424" w:right="160" w:hanging="424"/>
        <w:spacing w:after="0" w:line="256" w:lineRule="auto"/>
        <w:tabs>
          <w:tab w:leader="none" w:pos="424"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92"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5" w:right="459" w:bottom="1440" w:gutter="0" w:footer="0" w:header="0"/>
        </w:sectPr>
      </w:pPr>
    </w:p>
    <w:bookmarkStart w:id="598" w:name="page599"/>
    <w:bookmarkEnd w:id="598"/>
    <w:p>
      <w:pPr>
        <w:ind w:left="424" w:right="120" w:hanging="424"/>
        <w:spacing w:after="0" w:line="261" w:lineRule="auto"/>
        <w:tabs>
          <w:tab w:leader="none" w:pos="424"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agrees to fully indemnify, hold harmless and exonerate Indemnitee from any claims for contribution which may be brought by officers, directors or employees of the Company other than Indemnitee who may be jointly liable with Indemnitee. Indemnitee shall seek payments or advances from the Company only to the extent that such payments or advances are unavailable from any insurance policy of the Company covering Indemnitee.</w:t>
      </w:r>
    </w:p>
    <w:p>
      <w:pPr>
        <w:spacing w:after="0" w:line="324" w:lineRule="exact"/>
        <w:rPr>
          <w:sz w:val="20"/>
          <w:szCs w:val="20"/>
          <w:color w:val="auto"/>
        </w:rPr>
      </w:pPr>
    </w:p>
    <w:p>
      <w:pPr>
        <w:ind w:left="424" w:hanging="424"/>
        <w:spacing w:after="0"/>
        <w:tabs>
          <w:tab w:leader="none" w:pos="424" w:val="left"/>
        </w:tabs>
        <w:numPr>
          <w:ilvl w:val="0"/>
          <w:numId w:val="6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EXCLUSIONS</w:t>
      </w:r>
    </w:p>
    <w:p>
      <w:pPr>
        <w:spacing w:after="0" w:line="121"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provision in this Agreement, but subject to Section 27, the Company shall not be obligated under this Agreement to make any indemnification, advance Expenses, hold harmless or exoneration payment in connection with any claim made against Indemnitee:</w:t>
      </w:r>
    </w:p>
    <w:p>
      <w:pPr>
        <w:spacing w:after="0" w:line="67" w:lineRule="exact"/>
        <w:rPr>
          <w:sz w:val="20"/>
          <w:szCs w:val="20"/>
          <w:color w:val="auto"/>
        </w:rPr>
      </w:pPr>
    </w:p>
    <w:p>
      <w:pPr>
        <w:ind w:left="424" w:hanging="424"/>
        <w:spacing w:after="0"/>
        <w:tabs>
          <w:tab w:leader="none" w:pos="424"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obligation under such a provision of this Agreement is voidable under section 232 of the Companies Act 2006;</w:t>
      </w:r>
    </w:p>
    <w:p>
      <w:pPr>
        <w:spacing w:after="0" w:line="130"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81" w:lineRule="exact"/>
        <w:rPr>
          <w:rFonts w:ascii="Times New Roman" w:cs="Times New Roman" w:eastAsia="Times New Roman" w:hAnsi="Times New Roman"/>
          <w:sz w:val="18"/>
          <w:szCs w:val="18"/>
          <w:color w:val="auto"/>
        </w:rPr>
      </w:pPr>
    </w:p>
    <w:p>
      <w:pPr>
        <w:ind w:left="424" w:right="600" w:hanging="424"/>
        <w:spacing w:after="0" w:line="282" w:lineRule="auto"/>
        <w:tabs>
          <w:tab w:leader="none" w:pos="424"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67"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328" w:lineRule="exact"/>
        <w:rPr>
          <w:sz w:val="20"/>
          <w:szCs w:val="20"/>
          <w:color w:val="auto"/>
        </w:rPr>
      </w:pPr>
    </w:p>
    <w:p>
      <w:pPr>
        <w:ind w:left="424" w:hanging="424"/>
        <w:spacing w:after="0"/>
        <w:tabs>
          <w:tab w:leader="none" w:pos="424" w:val="left"/>
        </w:tabs>
        <w:numPr>
          <w:ilvl w:val="0"/>
          <w:numId w:val="6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ADVANCES OF EXPENSES; DEFENSE OF CLAIM</w:t>
      </w:r>
    </w:p>
    <w:p>
      <w:pPr>
        <w:spacing w:after="0" w:line="135" w:lineRule="exact"/>
        <w:rPr>
          <w:sz w:val="20"/>
          <w:szCs w:val="20"/>
          <w:color w:val="auto"/>
        </w:rPr>
      </w:pPr>
    </w:p>
    <w:p>
      <w:pPr>
        <w:ind w:left="424" w:hanging="424"/>
        <w:spacing w:after="0" w:line="252" w:lineRule="auto"/>
        <w:tabs>
          <w:tab w:leader="none" w:pos="424"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but subject to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and the Articles, be unsecured and interest free. Advances shall, to the fullest extent permitted by law and the Articles,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hold harmless or exoneration payment is excluded pursuant to Section 9, but shall apply to any Proceeding referenced in Section 9(d) prior to a final determination that Indemnitee is liable therefor.</w:t>
      </w:r>
    </w:p>
    <w:p>
      <w:pPr>
        <w:spacing w:after="0" w:line="10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9" w:right="459" w:bottom="1440" w:gutter="0" w:footer="0" w:header="0"/>
        </w:sectPr>
      </w:pPr>
    </w:p>
    <w:bookmarkStart w:id="599" w:name="page600"/>
    <w:bookmarkEnd w:id="599"/>
    <w:p>
      <w:pPr>
        <w:ind w:left="424" w:right="160" w:hanging="424"/>
        <w:spacing w:after="0" w:line="282" w:lineRule="auto"/>
        <w:tabs>
          <w:tab w:leader="none" w:pos="424"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settle any action, claim or Proceeding (in whole or in part) which would impose any Expense, judgment, fine, penalty or limitation on Indemnitee without Indemnitee’s prior written consent.</w:t>
      </w:r>
    </w:p>
    <w:p>
      <w:pPr>
        <w:spacing w:after="0" w:line="306" w:lineRule="exact"/>
        <w:rPr>
          <w:sz w:val="20"/>
          <w:szCs w:val="20"/>
          <w:color w:val="auto"/>
        </w:rPr>
      </w:pPr>
    </w:p>
    <w:p>
      <w:pPr>
        <w:ind w:left="424" w:hanging="424"/>
        <w:spacing w:after="0"/>
        <w:tabs>
          <w:tab w:leader="none" w:pos="424" w:val="left"/>
        </w:tabs>
        <w:numPr>
          <w:ilvl w:val="0"/>
          <w:numId w:val="6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 FOR NOTIFICATION AND APPLICATION FOR INDEMNIFICATION</w:t>
      </w:r>
    </w:p>
    <w:p>
      <w:pPr>
        <w:spacing w:after="0" w:line="135" w:lineRule="exact"/>
        <w:rPr>
          <w:sz w:val="20"/>
          <w:szCs w:val="20"/>
          <w:color w:val="auto"/>
        </w:rPr>
      </w:pPr>
    </w:p>
    <w:p>
      <w:pPr>
        <w:ind w:left="424" w:right="140" w:hanging="424"/>
        <w:spacing w:after="0" w:line="261" w:lineRule="auto"/>
        <w:tabs>
          <w:tab w:leader="none" w:pos="424"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85" w:lineRule="exact"/>
        <w:rPr>
          <w:rFonts w:ascii="Times New Roman" w:cs="Times New Roman" w:eastAsia="Times New Roman" w:hAnsi="Times New Roman"/>
          <w:sz w:val="18"/>
          <w:szCs w:val="18"/>
          <w:color w:val="auto"/>
        </w:rPr>
      </w:pPr>
    </w:p>
    <w:p>
      <w:pPr>
        <w:ind w:left="424" w:right="280" w:hanging="424"/>
        <w:spacing w:after="0" w:line="261" w:lineRule="auto"/>
        <w:tabs>
          <w:tab w:leader="none" w:pos="424"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324" w:lineRule="exact"/>
        <w:rPr>
          <w:sz w:val="20"/>
          <w:szCs w:val="20"/>
          <w:color w:val="auto"/>
        </w:rPr>
      </w:pPr>
    </w:p>
    <w:p>
      <w:pPr>
        <w:ind w:left="424" w:hanging="424"/>
        <w:spacing w:after="0"/>
        <w:tabs>
          <w:tab w:leader="none" w:pos="424" w:val="left"/>
        </w:tabs>
        <w:numPr>
          <w:ilvl w:val="0"/>
          <w:numId w:val="6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 UPON APPLICATION FOR INDEMNIFICATION</w:t>
      </w:r>
    </w:p>
    <w:p>
      <w:pPr>
        <w:spacing w:after="0" w:line="135" w:lineRule="exact"/>
        <w:rPr>
          <w:sz w:val="20"/>
          <w:szCs w:val="20"/>
          <w:color w:val="auto"/>
        </w:rPr>
      </w:pPr>
    </w:p>
    <w:p>
      <w:pPr>
        <w:ind w:left="424" w:right="60" w:hanging="424"/>
        <w:spacing w:after="0" w:line="253" w:lineRule="auto"/>
        <w:tabs>
          <w:tab w:leader="none" w:pos="424"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by ordinary resolution.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92"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i w:val="1"/>
          <w:i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Counsel</w:t>
      </w:r>
      <w:r>
        <w:rPr>
          <w:rFonts w:ascii="Times New Roman" w:cs="Times New Roman" w:eastAsia="Times New Roman" w:hAnsi="Times New Roman"/>
          <w:sz w:val="18"/>
          <w:szCs w:val="18"/>
          <w:color w:val="auto"/>
        </w:rPr>
        <w:t>” as defined in Section 2 of this Agreement. If the Independent Counsel is selected by the Board, the Company shall give written notice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Indemnitee advising him of the identity of the Independent Counsel so selected and certifying that the Independent Counsel so selected meets the requirements of “</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9" w:right="479" w:bottom="1440" w:gutter="0" w:footer="0" w:header="0"/>
        </w:sectPr>
      </w:pPr>
    </w:p>
    <w:bookmarkStart w:id="600" w:name="page601"/>
    <w:bookmarkEnd w:id="600"/>
    <w:p>
      <w:pPr>
        <w:ind w:left="4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Section 11(b) hereof, no Independent Counsel shall have been selected and not objected to, either the Company or Indemnitee may petition the Applicable Court for resolution of any objection which shall have been made by the Company or Indemnitee to the other’s selection of Independent Counsel and/or for the appointment as Independent Counsel of a person selected by the Applicable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93" w:lineRule="exact"/>
        <w:rPr>
          <w:sz w:val="20"/>
          <w:szCs w:val="20"/>
          <w:color w:val="auto"/>
        </w:rPr>
      </w:pPr>
    </w:p>
    <w:p>
      <w:pPr>
        <w:ind w:left="424" w:right="60" w:hanging="424"/>
        <w:spacing w:after="0" w:line="266" w:lineRule="auto"/>
        <w:tabs>
          <w:tab w:leader="none" w:pos="424"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320" w:lineRule="exact"/>
        <w:rPr>
          <w:sz w:val="20"/>
          <w:szCs w:val="20"/>
          <w:color w:val="auto"/>
        </w:rPr>
      </w:pPr>
    </w:p>
    <w:p>
      <w:pPr>
        <w:ind w:left="424" w:hanging="424"/>
        <w:spacing w:after="0"/>
        <w:tabs>
          <w:tab w:leader="none" w:pos="424" w:val="left"/>
        </w:tabs>
        <w:numPr>
          <w:ilvl w:val="0"/>
          <w:numId w:val="6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PRESUMPTIONS AND EFFECT OF CERTAIN PROCEEDINGS</w:t>
      </w:r>
    </w:p>
    <w:p>
      <w:pPr>
        <w:spacing w:after="0" w:line="135" w:lineRule="exact"/>
        <w:rPr>
          <w:sz w:val="20"/>
          <w:szCs w:val="20"/>
          <w:color w:val="auto"/>
        </w:rPr>
      </w:pPr>
    </w:p>
    <w:p>
      <w:pPr>
        <w:ind w:left="424" w:right="20" w:hanging="424"/>
        <w:spacing w:after="0" w:line="254" w:lineRule="auto"/>
        <w:tabs>
          <w:tab w:leader="none" w:pos="42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97" w:lineRule="exact"/>
        <w:rPr>
          <w:rFonts w:ascii="Times New Roman" w:cs="Times New Roman" w:eastAsia="Times New Roman" w:hAnsi="Times New Roman"/>
          <w:sz w:val="18"/>
          <w:szCs w:val="18"/>
          <w:color w:val="auto"/>
        </w:rPr>
      </w:pPr>
    </w:p>
    <w:p>
      <w:pPr>
        <w:ind w:left="424" w:right="180" w:hanging="424"/>
        <w:spacing w:after="0" w:line="256" w:lineRule="auto"/>
        <w:tabs>
          <w:tab w:leader="none" w:pos="42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and the Articles,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w:t>
      </w:r>
    </w:p>
    <w:p>
      <w:pPr>
        <w:spacing w:after="0" w:line="92"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conduct was unlawful.</w:t>
      </w:r>
    </w:p>
    <w:p>
      <w:pPr>
        <w:spacing w:after="0" w:line="88"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9" w:right="459" w:bottom="1440" w:gutter="0" w:footer="0" w:header="0"/>
        </w:sectPr>
      </w:pPr>
    </w:p>
    <w:bookmarkStart w:id="601" w:name="page602"/>
    <w:bookmarkEnd w:id="601"/>
    <w:p>
      <w:pPr>
        <w:jc w:val="both"/>
        <w:ind w:left="424" w:right="360" w:hanging="424"/>
        <w:spacing w:after="0" w:line="312" w:lineRule="auto"/>
        <w:tabs>
          <w:tab w:leader="none" w:pos="424" w:val="left"/>
        </w:tabs>
        <w:numPr>
          <w:ilvl w:val="0"/>
          <w:numId w:val="6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284" w:lineRule="exact"/>
        <w:rPr>
          <w:sz w:val="20"/>
          <w:szCs w:val="20"/>
          <w:color w:val="auto"/>
        </w:rPr>
      </w:pPr>
    </w:p>
    <w:p>
      <w:pPr>
        <w:ind w:left="424" w:hanging="424"/>
        <w:spacing w:after="0"/>
        <w:tabs>
          <w:tab w:leader="none" w:pos="424" w:val="left"/>
        </w:tabs>
        <w:numPr>
          <w:ilvl w:val="0"/>
          <w:numId w:val="6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OF INDEMNITEE</w:t>
      </w:r>
    </w:p>
    <w:p>
      <w:pPr>
        <w:spacing w:after="0" w:line="135" w:lineRule="exact"/>
        <w:rPr>
          <w:sz w:val="20"/>
          <w:szCs w:val="20"/>
          <w:color w:val="auto"/>
        </w:rPr>
      </w:pPr>
    </w:p>
    <w:p>
      <w:pPr>
        <w:ind w:left="424" w:hanging="424"/>
        <w:spacing w:after="0" w:line="252" w:lineRule="auto"/>
        <w:tabs>
          <w:tab w:leader="none" w:pos="42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Sections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within ten (10) days after receipt by the Company of a written request</w:t>
      </w:r>
    </w:p>
    <w:p>
      <w:pPr>
        <w:spacing w:after="0" w:line="6" w:lineRule="exact"/>
        <w:rPr>
          <w:rFonts w:ascii="Times New Roman" w:cs="Times New Roman" w:eastAsia="Times New Roman" w:hAnsi="Times New Roman"/>
          <w:sz w:val="18"/>
          <w:szCs w:val="18"/>
          <w:color w:val="auto"/>
        </w:rPr>
      </w:pPr>
    </w:p>
    <w:p>
      <w:pPr>
        <w:ind w:left="42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 Indemnitee shall be entitled to an adjudication by the Applicable Court to such indemnification, hold harmless, exoneration, contribution or advancement rights. Alternatively, Indemnitee, at his option, may seek an award in arbitration to be conducted by a single arbitrator pursuant to the LCIA Arbitration Rules and LCIA Mediation Rules of the London Court of International Arbitration. Except as set forth herein, the LCIA Arbitration Rules and LCIA Mediation Rules of the London Court of International Arbitration shall apply to any such arbitration. The Company shall not oppose Indemnitee’s right to seek any such adjudication or award in arbitration.</w:t>
      </w:r>
    </w:p>
    <w:p>
      <w:pPr>
        <w:spacing w:after="0" w:line="92"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81"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94"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85" w:lineRule="exact"/>
        <w:rPr>
          <w:rFonts w:ascii="Times New Roman" w:cs="Times New Roman" w:eastAsia="Times New Roman" w:hAnsi="Times New Roman"/>
          <w:sz w:val="18"/>
          <w:szCs w:val="18"/>
          <w:color w:val="auto"/>
        </w:rPr>
      </w:pPr>
    </w:p>
    <w:p>
      <w:pPr>
        <w:ind w:left="424" w:right="340" w:hanging="424"/>
        <w:spacing w:after="0" w:line="266" w:lineRule="auto"/>
        <w:tabs>
          <w:tab w:leader="none" w:pos="42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81" w:lineRule="exact"/>
        <w:rPr>
          <w:rFonts w:ascii="Times New Roman" w:cs="Times New Roman" w:eastAsia="Times New Roman" w:hAnsi="Times New Roman"/>
          <w:sz w:val="18"/>
          <w:szCs w:val="18"/>
          <w:color w:val="auto"/>
        </w:rPr>
      </w:pPr>
    </w:p>
    <w:p>
      <w:pPr>
        <w:ind w:left="424" w:right="220" w:hanging="424"/>
        <w:spacing w:after="0" w:line="261" w:lineRule="auto"/>
        <w:tabs>
          <w:tab w:leader="none" w:pos="42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and the Articles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9" w:right="459" w:bottom="1440" w:gutter="0" w:footer="0" w:header="0"/>
        </w:sectPr>
      </w:pPr>
    </w:p>
    <w:bookmarkStart w:id="602" w:name="page603"/>
    <w:bookmarkEnd w:id="602"/>
    <w:p>
      <w:pPr>
        <w:ind w:left="42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89" w:lineRule="exact"/>
        <w:rPr>
          <w:sz w:val="20"/>
          <w:szCs w:val="20"/>
          <w:color w:val="auto"/>
        </w:rPr>
      </w:pPr>
    </w:p>
    <w:p>
      <w:pPr>
        <w:ind w:left="424" w:hanging="424"/>
        <w:spacing w:after="0" w:line="261" w:lineRule="auto"/>
        <w:tabs>
          <w:tab w:leader="none" w:pos="424"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English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324" w:lineRule="exact"/>
        <w:rPr>
          <w:sz w:val="20"/>
          <w:szCs w:val="20"/>
          <w:color w:val="auto"/>
        </w:rPr>
      </w:pPr>
    </w:p>
    <w:p>
      <w:pPr>
        <w:ind w:left="424" w:hanging="424"/>
        <w:spacing w:after="0"/>
        <w:tabs>
          <w:tab w:leader="none" w:pos="424" w:val="left"/>
        </w:tabs>
        <w:numPr>
          <w:ilvl w:val="0"/>
          <w:numId w:val="6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w:t>
      </w:r>
    </w:p>
    <w:p>
      <w:pPr>
        <w:spacing w:after="0" w:line="121" w:lineRule="exact"/>
        <w:rPr>
          <w:sz w:val="20"/>
          <w:szCs w:val="20"/>
          <w:color w:val="auto"/>
        </w:rPr>
      </w:pPr>
    </w:p>
    <w:p>
      <w:pPr>
        <w:jc w:val="both"/>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but subject to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324" w:lineRule="exact"/>
        <w:rPr>
          <w:sz w:val="20"/>
          <w:szCs w:val="20"/>
          <w:color w:val="auto"/>
        </w:rPr>
      </w:pPr>
    </w:p>
    <w:p>
      <w:pPr>
        <w:ind w:left="424" w:hanging="424"/>
        <w:spacing w:after="0"/>
        <w:tabs>
          <w:tab w:leader="none" w:pos="424" w:val="left"/>
        </w:tabs>
        <w:numPr>
          <w:ilvl w:val="0"/>
          <w:numId w:val="6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p>
    <w:p>
      <w:pPr>
        <w:spacing w:after="0" w:line="135" w:lineRule="exact"/>
        <w:rPr>
          <w:sz w:val="20"/>
          <w:szCs w:val="20"/>
          <w:color w:val="auto"/>
        </w:rPr>
      </w:pPr>
    </w:p>
    <w:p>
      <w:pPr>
        <w:ind w:left="424" w:hanging="424"/>
        <w:spacing w:after="0" w:line="253" w:lineRule="auto"/>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then this Agreement (without any further action by the parties hereto) shall automatically be deemed to be amended to require that the Company indemnifies the Indemnitee to the fullest extent permitted by law and the Articles.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95"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incurred by or on behalf of him in such capacity as a director, officer, employee or agent of the Company, or arising out of his status as such, whether or not the Company would have the power to indemnify him against such liability under the provisions of this Agreement and the Articles.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97" w:lineRule="exact"/>
        <w:rPr>
          <w:rFonts w:ascii="Times New Roman" w:cs="Times New Roman" w:eastAsia="Times New Roman" w:hAnsi="Times New Roman"/>
          <w:sz w:val="18"/>
          <w:szCs w:val="18"/>
          <w:color w:val="auto"/>
        </w:rPr>
      </w:pPr>
    </w:p>
    <w:p>
      <w:pPr>
        <w:ind w:left="424" w:right="300" w:hanging="424"/>
        <w:spacing w:after="0" w:line="266" w:lineRule="auto"/>
        <w:tabs>
          <w:tab w:leader="none" w:pos="42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9" w:right="479" w:bottom="1440" w:gutter="0" w:footer="0" w:header="0"/>
        </w:sectPr>
      </w:pPr>
    </w:p>
    <w:bookmarkStart w:id="603" w:name="page604"/>
    <w:bookmarkEnd w:id="603"/>
    <w:p>
      <w:pPr>
        <w:ind w:left="424"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93" w:lineRule="exact"/>
        <w:rPr>
          <w:sz w:val="20"/>
          <w:szCs w:val="20"/>
          <w:color w:val="auto"/>
        </w:rPr>
      </w:pPr>
    </w:p>
    <w:p>
      <w:pPr>
        <w:jc w:val="both"/>
        <w:ind w:left="424" w:hanging="424"/>
        <w:spacing w:after="0" w:line="261" w:lineRule="auto"/>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and the Articles,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85" w:lineRule="exact"/>
        <w:rPr>
          <w:rFonts w:ascii="Times New Roman" w:cs="Times New Roman" w:eastAsia="Times New Roman" w:hAnsi="Times New Roman"/>
          <w:sz w:val="18"/>
          <w:szCs w:val="18"/>
          <w:color w:val="auto"/>
        </w:rPr>
      </w:pPr>
    </w:p>
    <w:p>
      <w:pPr>
        <w:ind w:left="424" w:right="120" w:hanging="424"/>
        <w:spacing w:after="0" w:line="254" w:lineRule="auto"/>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but subject to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306" w:lineRule="exact"/>
        <w:rPr>
          <w:sz w:val="20"/>
          <w:szCs w:val="20"/>
          <w:color w:val="auto"/>
        </w:rPr>
      </w:pPr>
    </w:p>
    <w:p>
      <w:pPr>
        <w:ind w:left="424" w:hanging="424"/>
        <w:spacing w:after="0"/>
        <w:tabs>
          <w:tab w:leader="none" w:pos="424" w:val="left"/>
        </w:tabs>
        <w:numPr>
          <w:ilvl w:val="0"/>
          <w:numId w:val="6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DURATION OF AGREEMENT</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All agreements and obligations of the Company contained herein shall continue during the period Indemnitee serves as a director or officer of the Company or as a director, officer, trustee, partner, manager, managing member, fiduciary, employee or agent of any other company or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or she is acting in any such capacity at the time any liability or expense is incurred for which indemnification or advancement can be provided under this Agreement.</w:t>
      </w:r>
    </w:p>
    <w:p>
      <w:pPr>
        <w:spacing w:after="0" w:line="332" w:lineRule="exact"/>
        <w:rPr>
          <w:sz w:val="20"/>
          <w:szCs w:val="20"/>
          <w:color w:val="auto"/>
        </w:rPr>
      </w:pPr>
    </w:p>
    <w:p>
      <w:pPr>
        <w:ind w:left="424" w:hanging="424"/>
        <w:spacing w:after="0"/>
        <w:tabs>
          <w:tab w:leader="none" w:pos="424" w:val="left"/>
        </w:tabs>
        <w:numPr>
          <w:ilvl w:val="0"/>
          <w:numId w:val="6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12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and the Articles;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2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4"/>
          </w:cols>
          <w:pgMar w:left="436" w:top="269" w:right="539" w:bottom="1440" w:gutter="0" w:footer="0" w:header="0"/>
        </w:sectPr>
      </w:pPr>
    </w:p>
    <w:bookmarkStart w:id="604" w:name="page605"/>
    <w:bookmarkEnd w:id="60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 ENFORCEMENT AND BINDING EFFECT</w:t>
      </w:r>
    </w:p>
    <w:p>
      <w:pPr>
        <w:spacing w:after="0" w:line="135" w:lineRule="exact"/>
        <w:rPr>
          <w:sz w:val="20"/>
          <w:szCs w:val="20"/>
          <w:color w:val="auto"/>
        </w:rPr>
      </w:pPr>
    </w:p>
    <w:p>
      <w:pPr>
        <w:ind w:left="424" w:hanging="424"/>
        <w:spacing w:after="0" w:line="266" w:lineRule="auto"/>
        <w:tabs>
          <w:tab w:leader="none" w:pos="424"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81" w:lineRule="exact"/>
        <w:rPr>
          <w:rFonts w:ascii="Times New Roman" w:cs="Times New Roman" w:eastAsia="Times New Roman" w:hAnsi="Times New Roman"/>
          <w:sz w:val="18"/>
          <w:szCs w:val="18"/>
          <w:color w:val="auto"/>
        </w:rPr>
      </w:pPr>
    </w:p>
    <w:p>
      <w:pPr>
        <w:ind w:left="424" w:right="260" w:hanging="424"/>
        <w:spacing w:after="0" w:line="266" w:lineRule="auto"/>
        <w:tabs>
          <w:tab w:leader="none" w:pos="424"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81"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spouse, assigns, heirs, devisees, executors and administrators and other legal representatives.</w:t>
      </w:r>
    </w:p>
    <w:p>
      <w:pPr>
        <w:spacing w:after="0" w:line="92" w:lineRule="exact"/>
        <w:rPr>
          <w:rFonts w:ascii="Times New Roman" w:cs="Times New Roman" w:eastAsia="Times New Roman" w:hAnsi="Times New Roman"/>
          <w:sz w:val="18"/>
          <w:szCs w:val="18"/>
          <w:color w:val="auto"/>
        </w:rPr>
      </w:pPr>
    </w:p>
    <w:p>
      <w:pPr>
        <w:ind w:left="424" w:right="340" w:hanging="424"/>
        <w:spacing w:after="0" w:line="261" w:lineRule="auto"/>
        <w:tabs>
          <w:tab w:leader="none" w:pos="424"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85" w:lineRule="exact"/>
        <w:rPr>
          <w:rFonts w:ascii="Times New Roman" w:cs="Times New Roman" w:eastAsia="Times New Roman" w:hAnsi="Times New Roman"/>
          <w:sz w:val="18"/>
          <w:szCs w:val="18"/>
          <w:color w:val="auto"/>
        </w:rPr>
      </w:pPr>
    </w:p>
    <w:p>
      <w:pPr>
        <w:ind w:left="424" w:right="60" w:hanging="424"/>
        <w:spacing w:after="0" w:line="253" w:lineRule="auto"/>
        <w:tabs>
          <w:tab w:leader="none" w:pos="424"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and the Articles,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and the Articles,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law and the Articles.</w:t>
      </w:r>
    </w:p>
    <w:p>
      <w:pPr>
        <w:spacing w:after="0" w:line="339" w:lineRule="exact"/>
        <w:rPr>
          <w:sz w:val="20"/>
          <w:szCs w:val="20"/>
          <w:color w:val="auto"/>
        </w:rPr>
      </w:pPr>
    </w:p>
    <w:p>
      <w:pPr>
        <w:ind w:left="424" w:hanging="424"/>
        <w:spacing w:after="0"/>
        <w:tabs>
          <w:tab w:leader="none" w:pos="424" w:val="left"/>
        </w:tabs>
        <w:numPr>
          <w:ilvl w:val="0"/>
          <w:numId w:val="6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320" w:lineRule="exact"/>
        <w:rPr>
          <w:sz w:val="20"/>
          <w:szCs w:val="20"/>
          <w:color w:val="auto"/>
        </w:rPr>
      </w:pPr>
    </w:p>
    <w:p>
      <w:pPr>
        <w:ind w:left="424" w:hanging="424"/>
        <w:spacing w:after="0"/>
        <w:tabs>
          <w:tab w:leader="none" w:pos="424"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All notices, requests, demands and other communications under this Agreement shall be in writing and shall be deemed to have been duly given</w:t>
      </w:r>
    </w:p>
    <w:p>
      <w:pPr>
        <w:spacing w:after="0" w:line="27" w:lineRule="exact"/>
        <w:rPr>
          <w:sz w:val="20"/>
          <w:szCs w:val="20"/>
          <w:color w:val="auto"/>
        </w:rPr>
      </w:pPr>
    </w:p>
    <w:p>
      <w:pPr>
        <w:ind w:left="4" w:right="60" w:hanging="4"/>
        <w:spacing w:after="0" w:line="260" w:lineRule="auto"/>
        <w:tabs>
          <w:tab w:leader="none" w:pos="219"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87" w:lineRule="exact"/>
        <w:rPr>
          <w:sz w:val="20"/>
          <w:szCs w:val="20"/>
          <w:color w:val="auto"/>
        </w:rPr>
      </w:pPr>
    </w:p>
    <w:p>
      <w:pPr>
        <w:ind w:left="424" w:right="140" w:hanging="424"/>
        <w:spacing w:after="0" w:line="282" w:lineRule="auto"/>
        <w:tabs>
          <w:tab w:leader="none" w:pos="424"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5" w:right="459" w:bottom="1440" w:gutter="0" w:footer="0" w:header="0"/>
        </w:sectPr>
      </w:pPr>
    </w:p>
    <w:bookmarkStart w:id="605" w:name="page606"/>
    <w:bookmarkEnd w:id="605"/>
    <w:p>
      <w:pPr>
        <w:ind w:left="424" w:hanging="424"/>
        <w:spacing w:after="0"/>
        <w:tabs>
          <w:tab w:leader="none" w:pos="424"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to:</w:t>
      </w:r>
    </w:p>
    <w:p>
      <w:pPr>
        <w:spacing w:after="0" w:line="117" w:lineRule="exact"/>
        <w:rPr>
          <w:rFonts w:ascii="Times New Roman" w:cs="Times New Roman" w:eastAsia="Times New Roman" w:hAnsi="Times New Roman"/>
          <w:sz w:val="18"/>
          <w:szCs w:val="18"/>
          <w:color w:val="auto"/>
        </w:rPr>
      </w:pPr>
    </w:p>
    <w:p>
      <w:pPr>
        <w:ind w:left="444" w:right="90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Rezolve AI Limited</w:t>
      </w:r>
    </w:p>
    <w:p>
      <w:pPr>
        <w:ind w:left="444" w:right="8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3rd Floor 80 New Bond Street, Mayfair,</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London,</w:t>
      </w:r>
    </w:p>
    <w:p>
      <w:pPr>
        <w:spacing w:after="0" w:line="9" w:lineRule="exact"/>
        <w:rPr>
          <w:rFonts w:ascii="Times New Roman" w:cs="Times New Roman" w:eastAsia="Times New Roman" w:hAnsi="Times New Roman"/>
          <w:sz w:val="18"/>
          <w:szCs w:val="18"/>
          <w:color w:val="auto"/>
        </w:rPr>
      </w:pPr>
    </w:p>
    <w:p>
      <w:pPr>
        <w:ind w:left="444" w:right="92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United Kingdom, W1S 1SB</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Robert Fenner</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Taylor Wessing LLP</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EC4A 3TW</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370" w:lineRule="exact"/>
        <w:rPr>
          <w:sz w:val="20"/>
          <w:szCs w:val="20"/>
          <w:color w:val="auto"/>
        </w:rPr>
      </w:pPr>
    </w:p>
    <w:p>
      <w:pPr>
        <w:ind w:left="424" w:hanging="424"/>
        <w:spacing w:after="0"/>
        <w:tabs>
          <w:tab w:leader="none" w:pos="424" w:val="left"/>
        </w:tabs>
        <w:numPr>
          <w:ilvl w:val="0"/>
          <w:numId w:val="6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AND CONSENT TO JURISDICTION</w:t>
      </w:r>
    </w:p>
    <w:p>
      <w:pPr>
        <w:spacing w:after="0" w:line="121" w:lineRule="exact"/>
        <w:rPr>
          <w:sz w:val="20"/>
          <w:szCs w:val="20"/>
          <w:color w:val="auto"/>
        </w:rPr>
      </w:pPr>
    </w:p>
    <w:p>
      <w:pPr>
        <w:ind w:left="4" w:right="220" w:firstLine="440"/>
        <w:spacing w:after="0" w:line="270" w:lineRule="auto"/>
        <w:rPr>
          <w:sz w:val="20"/>
          <w:szCs w:val="20"/>
          <w:color w:val="auto"/>
        </w:rPr>
      </w:pPr>
      <w:r>
        <w:rPr>
          <w:rFonts w:ascii="Times New Roman" w:cs="Times New Roman" w:eastAsia="Times New Roman" w:hAnsi="Times New Roman"/>
          <w:sz w:val="17"/>
          <w:szCs w:val="17"/>
          <w:color w:val="auto"/>
        </w:rPr>
        <w:t>This Agreement and the legal relations among the parties shall be governed by, and construed and enforced in accordance with, the laws of England and Wales, without regard to its conflict of laws rules. Except with respect to any arbitration commenced by Indemnitee pursuant to Section 14(a) of this Agreement, to the fullest extent permitted by law and the Articles, the Company and Indemnitee hereby irrevocably and unconditionally: (a) agree that any action or proceeding arising out of or in connection with this Agreement shall be brought in the Applicable Court;</w:t>
      </w:r>
    </w:p>
    <w:p>
      <w:pPr>
        <w:spacing w:after="0" w:line="3" w:lineRule="exact"/>
        <w:rPr>
          <w:sz w:val="20"/>
          <w:szCs w:val="20"/>
          <w:color w:val="auto"/>
        </w:rPr>
      </w:pPr>
    </w:p>
    <w:p>
      <w:pPr>
        <w:ind w:left="4" w:hanging="4"/>
        <w:spacing w:after="0" w:line="252" w:lineRule="auto"/>
        <w:tabs>
          <w:tab w:leader="none" w:pos="259"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submit to the jurisdiction of the Applicable Court for purposes of any action or proceeding arising out of or in connection with this Agreement; (c) waive any objection to the laying of venue of any such action or proceeding in the Applicable Court; and (d) waive, and agree not to plead or to make, any claim that any such action or proceeding brought in the Applicable Court has been brought in an improper or inconvenient forum, or is subject (in whole or in part) to a jury trial. To the fullest extent permitted by law and the Articles,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334" w:lineRule="exact"/>
        <w:rPr>
          <w:sz w:val="20"/>
          <w:szCs w:val="20"/>
          <w:color w:val="auto"/>
        </w:rPr>
      </w:pPr>
    </w:p>
    <w:p>
      <w:pPr>
        <w:ind w:left="424" w:hanging="424"/>
        <w:spacing w:after="0"/>
        <w:tabs>
          <w:tab w:leader="none" w:pos="424" w:val="left"/>
        </w:tabs>
        <w:numPr>
          <w:ilvl w:val="0"/>
          <w:numId w:val="6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IDENTICAL COUNTERPARTS</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320" w:lineRule="exact"/>
        <w:rPr>
          <w:sz w:val="20"/>
          <w:szCs w:val="20"/>
          <w:color w:val="auto"/>
        </w:rPr>
      </w:pPr>
    </w:p>
    <w:p>
      <w:pPr>
        <w:ind w:left="424" w:hanging="424"/>
        <w:spacing w:after="0"/>
        <w:tabs>
          <w:tab w:leader="none" w:pos="424" w:val="left"/>
        </w:tabs>
        <w:numPr>
          <w:ilvl w:val="0"/>
          <w:numId w:val="6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headings of the paragraphs of this Agreement are inserted for convenience only and shall not be deemed to constitute part of this Agreement or to affect the construction thereof.</w:t>
      </w:r>
    </w:p>
    <w:p>
      <w:pPr>
        <w:spacing w:after="0" w:line="306" w:lineRule="exact"/>
        <w:rPr>
          <w:sz w:val="20"/>
          <w:szCs w:val="20"/>
          <w:color w:val="auto"/>
        </w:rPr>
      </w:pPr>
    </w:p>
    <w:p>
      <w:pPr>
        <w:ind w:left="424" w:hanging="424"/>
        <w:spacing w:after="0"/>
        <w:tabs>
          <w:tab w:leader="none" w:pos="424" w:val="left"/>
        </w:tabs>
        <w:numPr>
          <w:ilvl w:val="0"/>
          <w:numId w:val="6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PERIOD OF LIMITATIONS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4"/>
          </w:cols>
          <w:pgMar w:left="436" w:top="269" w:right="519" w:bottom="1440" w:gutter="0" w:footer="0" w:header="0"/>
        </w:sectPr>
      </w:pPr>
    </w:p>
    <w:bookmarkStart w:id="606" w:name="page607"/>
    <w:bookmarkEnd w:id="606"/>
    <w:p>
      <w:pPr>
        <w:ind w:left="424" w:hanging="424"/>
        <w:spacing w:after="0"/>
        <w:tabs>
          <w:tab w:leader="none" w:pos="424" w:val="left"/>
        </w:tabs>
        <w:numPr>
          <w:ilvl w:val="0"/>
          <w:numId w:val="6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ACTS</w:t>
      </w:r>
    </w:p>
    <w:p>
      <w:pPr>
        <w:spacing w:after="0" w:line="121" w:lineRule="exact"/>
        <w:rPr>
          <w:sz w:val="20"/>
          <w:szCs w:val="20"/>
          <w:color w:val="auto"/>
        </w:rPr>
      </w:pPr>
    </w:p>
    <w:p>
      <w:pPr>
        <w:jc w:val="both"/>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If for the validation of any of the provisions in this Agreement any act, resolution, approval or other procedure is required to the fullest extent permitted by law and the Articles, the Company undertakes to cause such act, resolution, approval or other procedure to be affected or adopted in a manner that will enable the Company to fulfil its obligations under this Agreement.</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27</w:t>
        <w:tab/>
        <w:t>MAINTENANCE OF INSURANCE</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to the maximum extent permissible under the Companies Act 2006.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4"/>
          </w:cols>
          <w:pgMar w:left="436" w:top="265" w:right="51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Indemnity Agreement to be signed as of the day and year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Witness: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Indemnity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040"/>
          </w:cols>
          <w:pgMar w:left="880" w:top="269" w:right="979" w:bottom="1440" w:gutter="0" w:footer="0" w:header="0"/>
        </w:sectPr>
      </w:pPr>
    </w:p>
    <w:bookmarkStart w:id="608" w:name="page609"/>
    <w:bookmarkEnd w:id="60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156845</wp:posOffset>
            </wp:positionV>
            <wp:extent cx="279463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CEO</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Address: Flat 1, 15 Wedderburn Road, London, NW3 5QS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Witness: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3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Indemnity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820"/>
          </w:cols>
          <w:pgMar w:left="1440" w:top="267" w:right="639" w:bottom="1440" w:gutter="0" w:footer="0" w:header="0"/>
        </w:sectPr>
      </w:pPr>
    </w:p>
    <w:bookmarkStart w:id="609" w:name="page610"/>
    <w:bookmarkEnd w:id="609"/>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spacing w:after="0"/>
        <w:tabs>
          <w:tab w:leader="none" w:pos="3960" w:val="left"/>
          <w:tab w:leader="none" w:pos="106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26 JANUARY</w:t>
      </w:r>
      <w:r>
        <w:rPr>
          <w:sz w:val="20"/>
          <w:szCs w:val="20"/>
          <w:color w:val="auto"/>
        </w:rPr>
        <w:tab/>
      </w: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699516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AND RESTATEMENT DEED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in relation to a convertible loan note instrument dated 16 December 2021 and amended and restated on 21 November 2022 and 23 May 2023 and as further amended on 18 December 2023 and 29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8" w:right="439" w:bottom="1440" w:gutter="0" w:footer="0" w:header="0"/>
        </w:sectPr>
      </w:pPr>
    </w:p>
    <w:bookmarkStart w:id="610" w:name="page611"/>
    <w:bookmarkEnd w:id="610"/>
    <w:p>
      <w:pPr>
        <w:ind w:left="4"/>
        <w:spacing w:after="0"/>
        <w:tabs>
          <w:tab w:leader="none" w:pos="2644" w:val="left"/>
          <w:tab w:leader="none" w:pos="83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DEED </w:t>
      </w:r>
      <w:r>
        <w:rPr>
          <w:rFonts w:ascii="Times New Roman" w:cs="Times New Roman" w:eastAsia="Times New Roman" w:hAnsi="Times New Roman"/>
          <w:sz w:val="18"/>
          <w:szCs w:val="18"/>
          <w:color w:val="auto"/>
        </w:rPr>
        <w:t>is made on</w:t>
      </w:r>
      <w:r>
        <w:rPr>
          <w:sz w:val="20"/>
          <w:szCs w:val="20"/>
          <w:color w:val="auto"/>
        </w:rPr>
        <w:tab/>
      </w:r>
      <w:r>
        <w:rPr>
          <w:rFonts w:ascii="Times New Roman" w:cs="Times New Roman" w:eastAsia="Times New Roman" w:hAnsi="Times New Roman"/>
          <w:sz w:val="18"/>
          <w:szCs w:val="18"/>
          <w:color w:val="auto"/>
        </w:rPr>
        <w:t>26 January</w:t>
      </w:r>
      <w:r>
        <w:rPr>
          <w:sz w:val="20"/>
          <w:szCs w:val="20"/>
          <w:color w:val="auto"/>
        </w:rPr>
        <w:tab/>
      </w:r>
      <w:r>
        <w:rPr>
          <w:rFonts w:ascii="Times New Roman" w:cs="Times New Roman" w:eastAsia="Times New Roman" w:hAnsi="Times New Roman"/>
          <w:sz w:val="18"/>
          <w:szCs w:val="18"/>
          <w:color w:val="auto"/>
        </w:rPr>
        <w:t>2024</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131" w:lineRule="exact"/>
        <w:rPr>
          <w:sz w:val="20"/>
          <w:szCs w:val="20"/>
          <w:color w:val="auto"/>
        </w:rPr>
      </w:pPr>
    </w:p>
    <w:p>
      <w:pPr>
        <w:ind w:left="424" w:right="500" w:hanging="424"/>
        <w:spacing w:after="0" w:line="286" w:lineRule="auto"/>
        <w:tabs>
          <w:tab w:leader="none" w:pos="424"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(company number 09773823) whose registered office is at 3rd Floor 80 New Bond Street, Mayfair, London,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W1S 1SB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5" w:lineRule="exact"/>
        <w:rPr>
          <w:sz w:val="20"/>
          <w:szCs w:val="20"/>
          <w:color w:val="auto"/>
        </w:rPr>
      </w:pPr>
    </w:p>
    <w:p>
      <w:pPr>
        <w:jc w:val="both"/>
        <w:ind w:left="964" w:right="240" w:hanging="532"/>
        <w:spacing w:after="0" w:line="266" w:lineRule="auto"/>
        <w:tabs>
          <w:tab w:leader="none" w:pos="964"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amend and restate the terms of a loan note instrument dated 16 December 2021 as amended and restated on 21 November 2022 and 23 May 2023 and as further amended on 18 December 2023 and 29 December 2023 (the “</w:t>
      </w:r>
      <w:r>
        <w:rPr>
          <w:rFonts w:ascii="Times New Roman" w:cs="Times New Roman" w:eastAsia="Times New Roman" w:hAnsi="Times New Roman"/>
          <w:sz w:val="18"/>
          <w:szCs w:val="18"/>
          <w:b w:val="1"/>
          <w:bCs w:val="1"/>
          <w:color w:val="auto"/>
        </w:rPr>
        <w:t>Original Loan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on the terms and conditions set out in this Deed.</w:t>
      </w:r>
    </w:p>
    <w:p>
      <w:pPr>
        <w:spacing w:after="0" w:line="81"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to the Original Loan Note Instrument pursuant to this Deed are to accommodate, among other things, the initial issuance by the Company of an additional (i) $8,000,000 Notes to Igor Lychagov, (ii) $246,087 Notes to Susan Briggs, (iii) $2,012,877 Notes to Apeiron Investment Group Ltd. and (iv) $8,116 Notes to Dr. Stephen Perry (in addition to the notes to be issued to Igor Lychagov concurrently with the Demerger (as defined below)) (the “</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64" w:right="100" w:hanging="532"/>
        <w:spacing w:after="0" w:line="258" w:lineRule="auto"/>
        <w:tabs>
          <w:tab w:leader="none" w:pos="964"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the subscription price for the New Notes to be issued to Igor Lychagov and Susan Briggs consists of the cancellation and release of certain existing loans advanced by each of Igor Lychagov and Susan Briggs to the Company plus certain transaction fees in exchange for the New Notes. The Company acknowledges that waiver of such amounts by Igor Lychagov and Susan Briggs will satisfy the payment of the subscription price for the New Notes and that no further amounts are payable by Igor Lychagov or Susan Briggs in respect of the subscription price for the New Notes.</w:t>
      </w:r>
    </w:p>
    <w:p>
      <w:pPr>
        <w:spacing w:after="0" w:line="88" w:lineRule="exact"/>
        <w:rPr>
          <w:rFonts w:ascii="Times New Roman" w:cs="Times New Roman" w:eastAsia="Times New Roman" w:hAnsi="Times New Roman"/>
          <w:sz w:val="18"/>
          <w:szCs w:val="18"/>
          <w:color w:val="auto"/>
        </w:rPr>
      </w:pPr>
    </w:p>
    <w:p>
      <w:pPr>
        <w:ind w:left="964" w:right="60" w:hanging="532"/>
        <w:spacing w:after="0" w:line="258" w:lineRule="auto"/>
        <w:tabs>
          <w:tab w:leader="none" w:pos="964"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the subscription price for the New Notes to be issued to Apeiron Investment Group Ltd. consists of $2,012,877 accrued and unpaid interest on the existing $31,000,000 secured convertible loan notes owing by the Company to Apeiron Investment Group Ltd. The Company acknowledges that waiver of such amounts by Apeiron Investment Group Ltd. will satisfy the payment of the subscription price for the New Notes and that no further amounts are payable by Apeiron Investment Group Ltd. in respect of the subscription price for the New Notes.</w:t>
      </w:r>
    </w:p>
    <w:p>
      <w:pPr>
        <w:spacing w:after="0" w:line="88"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the subscription price for the New Notes to be issued to Dr. Stephen Perry consists of $8,116 accrued and unpaid interest on the existing $125,000 secured convertible loan notes owing by the Company to Dr. Stephen Perry. The Company acknowledges that waiver of such amounts by Dr. Stephen Perry will satisfy the payment of the subscription price for the New Notes and that no further amounts are payable by Dr. Stephen Perry in respect of the subscription price for the New Notes.</w:t>
      </w:r>
    </w:p>
    <w:p>
      <w:pPr>
        <w:spacing w:after="0" w:line="85"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upon the occurrence of a Demerger an additional $8,500,000 Notes shall be issued by the Company to Apeiron Investment Group Ltd. (or its designee) and no additional consideration shall be payable by Apeiron Investment Group Ltd. (or its designee) in respect of such Notes.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7" w:right="459" w:bottom="1440" w:gutter="0" w:footer="0" w:header="0"/>
        </w:sectPr>
      </w:pPr>
    </w:p>
    <w:bookmarkStart w:id="611" w:name="page612"/>
    <w:bookmarkEnd w:id="61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TERMS</w:t>
      </w:r>
    </w:p>
    <w:p>
      <w:pPr>
        <w:spacing w:after="0" w:line="131" w:lineRule="exact"/>
        <w:rPr>
          <w:sz w:val="20"/>
          <w:szCs w:val="20"/>
          <w:color w:val="auto"/>
        </w:rPr>
      </w:pPr>
    </w:p>
    <w:p>
      <w:pPr>
        <w:ind w:left="424" w:hanging="424"/>
        <w:spacing w:after="0"/>
        <w:tabs>
          <w:tab w:leader="none" w:pos="424" w:val="left"/>
        </w:tabs>
        <w:numPr>
          <w:ilvl w:val="0"/>
          <w:numId w:val="6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Unless otherwise indicated, terms defined in the Original Loan Note Instrument have the same meaning in this Deed and in addition:</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Loan Note Instrument”</w:t>
      </w:r>
      <w:r>
        <w:rPr>
          <w:rFonts w:ascii="Times New Roman" w:cs="Times New Roman" w:eastAsia="Times New Roman" w:hAnsi="Times New Roman"/>
          <w:sz w:val="18"/>
          <w:szCs w:val="18"/>
          <w:color w:val="auto"/>
        </w:rPr>
        <w:t xml:space="preserve"> means the Original Loan Note Instrument as amended and restated by this Deed.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Demerger</w:t>
      </w:r>
      <w:r>
        <w:rPr>
          <w:rFonts w:ascii="Times New Roman" w:cs="Times New Roman" w:eastAsia="Times New Roman" w:hAnsi="Times New Roman"/>
          <w:sz w:val="18"/>
          <w:szCs w:val="18"/>
          <w:color w:val="auto"/>
        </w:rPr>
        <w:t>” has the meaning given to it in the Amended and Restated Loan Note Instrument.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Debentures</w:t>
      </w:r>
      <w:r>
        <w:rPr>
          <w:rFonts w:ascii="Times New Roman" w:cs="Times New Roman" w:eastAsia="Times New Roman" w:hAnsi="Times New Roman"/>
          <w:sz w:val="18"/>
          <w:szCs w:val="18"/>
          <w:color w:val="auto"/>
        </w:rPr>
        <w:t>” means the First Debenture, the Second Debenture and the Third Debenture.</w:t>
      </w:r>
    </w:p>
    <w:p>
      <w:pPr>
        <w:spacing w:after="0" w:line="225" w:lineRule="exact"/>
        <w:rPr>
          <w:sz w:val="20"/>
          <w:szCs w:val="20"/>
          <w:color w:val="auto"/>
        </w:rPr>
      </w:pPr>
    </w:p>
    <w:p>
      <w:pPr>
        <w:ind w:left="44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Debenture</w:t>
      </w:r>
      <w:r>
        <w:rPr>
          <w:rFonts w:ascii="Times New Roman" w:cs="Times New Roman" w:eastAsia="Times New Roman" w:hAnsi="Times New Roman"/>
          <w:sz w:val="18"/>
          <w:szCs w:val="18"/>
          <w:color w:val="auto"/>
        </w:rPr>
        <w:t>” means the debenture dated 16 December 2021 creating a fixed and floating charge over the Company’s assets entered into by the Company in favour of Apeiron Investment Group Ltd, as the same may be amended or replaced from time to time.</w:t>
      </w:r>
    </w:p>
    <w:p>
      <w:pPr>
        <w:spacing w:after="0" w:line="155" w:lineRule="exact"/>
        <w:rPr>
          <w:sz w:val="20"/>
          <w:szCs w:val="20"/>
          <w:color w:val="auto"/>
        </w:rPr>
      </w:pPr>
    </w:p>
    <w:p>
      <w:pPr>
        <w:ind w:left="44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Note Documents</w:t>
      </w:r>
      <w:r>
        <w:rPr>
          <w:rFonts w:ascii="Times New Roman" w:cs="Times New Roman" w:eastAsia="Times New Roman" w:hAnsi="Times New Roman"/>
          <w:sz w:val="18"/>
          <w:szCs w:val="18"/>
          <w:color w:val="auto"/>
        </w:rPr>
        <w:t>” means the Original Loan Note Instrument, the Amended and Restated Loan Note Instrument, the Notes and the Existing Debentures.</w:t>
      </w:r>
    </w:p>
    <w:p>
      <w:pPr>
        <w:spacing w:after="0" w:line="155" w:lineRule="exact"/>
        <w:rPr>
          <w:sz w:val="20"/>
          <w:szCs w:val="20"/>
          <w:color w:val="auto"/>
        </w:rPr>
      </w:pPr>
    </w:p>
    <w:p>
      <w:pPr>
        <w:ind w:left="44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Debenture</w:t>
      </w:r>
      <w:r>
        <w:rPr>
          <w:rFonts w:ascii="Times New Roman" w:cs="Times New Roman" w:eastAsia="Times New Roman" w:hAnsi="Times New Roman"/>
          <w:sz w:val="18"/>
          <w:szCs w:val="18"/>
          <w:color w:val="auto"/>
        </w:rPr>
        <w:t>” means the debenture dated 21 November 2022 creating a fixed and floating charge over the Company’s assets entered into by the Company in favour of Apeiron Investment Group Ltd, as the same may be amended or replaced from time to time.</w:t>
      </w:r>
    </w:p>
    <w:p>
      <w:pPr>
        <w:spacing w:after="0" w:line="155" w:lineRule="exact"/>
        <w:rPr>
          <w:sz w:val="20"/>
          <w:szCs w:val="20"/>
          <w:color w:val="auto"/>
        </w:rPr>
      </w:pPr>
    </w:p>
    <w:p>
      <w:pPr>
        <w:ind w:left="444"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Debenture</w:t>
      </w:r>
      <w:r>
        <w:rPr>
          <w:rFonts w:ascii="Times New Roman" w:cs="Times New Roman" w:eastAsia="Times New Roman" w:hAnsi="Times New Roman"/>
          <w:sz w:val="18"/>
          <w:szCs w:val="18"/>
          <w:color w:val="auto"/>
        </w:rPr>
        <w:t>” means the debenture dated 23 May 2023 creating a fixed and floating charge over the Company’s assets to be entered into by the Company in favour of GLAS Trust Corporation Limited, as the same may be amended or replaced from time to time.</w:t>
      </w:r>
    </w:p>
    <w:p>
      <w:pPr>
        <w:spacing w:after="0" w:line="64" w:lineRule="exact"/>
        <w:rPr>
          <w:sz w:val="20"/>
          <w:szCs w:val="20"/>
          <w:color w:val="auto"/>
        </w:rPr>
      </w:pPr>
    </w:p>
    <w:p>
      <w:pPr>
        <w:ind w:left="424" w:right="2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1.2</w:t>
        <w:tab/>
        <w:t>The interpretation provisions in clause 1 of the Original Loan Note Instrument apply to this Deed as though they were set out in full except that references to “this Instrument” are to be construed as references to this Deed.</w:t>
      </w:r>
    </w:p>
    <w:p>
      <w:pPr>
        <w:spacing w:after="0" w:line="306" w:lineRule="exact"/>
        <w:rPr>
          <w:sz w:val="20"/>
          <w:szCs w:val="20"/>
          <w:color w:val="auto"/>
        </w:rPr>
      </w:pPr>
    </w:p>
    <w:p>
      <w:pPr>
        <w:ind w:left="424" w:hanging="424"/>
        <w:spacing w:after="0"/>
        <w:tabs>
          <w:tab w:leader="none" w:pos="424" w:val="left"/>
        </w:tabs>
        <w:numPr>
          <w:ilvl w:val="0"/>
          <w:numId w:val="6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Restatement</w:t>
      </w:r>
    </w:p>
    <w:p>
      <w:pPr>
        <w:spacing w:after="0" w:line="133" w:lineRule="exact"/>
        <w:rPr>
          <w:sz w:val="20"/>
          <w:szCs w:val="20"/>
          <w:color w:val="auto"/>
        </w:rPr>
      </w:pPr>
    </w:p>
    <w:p>
      <w:pPr>
        <w:ind w:left="424" w:hanging="431"/>
        <w:spacing w:after="0" w:line="267" w:lineRule="auto"/>
        <w:tabs>
          <w:tab w:leader="none" w:pos="404" w:val="left"/>
        </w:tabs>
        <w:rPr>
          <w:sz w:val="20"/>
          <w:szCs w:val="20"/>
          <w:color w:val="auto"/>
        </w:rPr>
      </w:pPr>
      <w:r>
        <w:rPr>
          <w:rFonts w:ascii="Times New Roman" w:cs="Times New Roman" w:eastAsia="Times New Roman" w:hAnsi="Times New Roman"/>
          <w:sz w:val="18"/>
          <w:szCs w:val="18"/>
          <w:color w:val="auto"/>
        </w:rPr>
        <w:t>2.1</w:t>
        <w:tab/>
        <w:t>With effect from the Effective Date, the Original Loan Note Instrument shall be amended and restated in the form set out in schedule 1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Amended and Restated Loan Note Instrument) </w:t>
      </w:r>
      <w:r>
        <w:rPr>
          <w:rFonts w:ascii="Times New Roman" w:cs="Times New Roman" w:eastAsia="Times New Roman" w:hAnsi="Times New Roman"/>
          <w:sz w:val="18"/>
          <w:szCs w:val="18"/>
          <w:color w:val="auto"/>
        </w:rPr>
        <w:t>so that the rights and obligations of the Company and the Noteholders (as defined therein)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Loan Note Instrument shall be governed by the terms set out in schedule 1 (</w:t>
      </w:r>
      <w:r>
        <w:rPr>
          <w:rFonts w:ascii="Times New Roman" w:cs="Times New Roman" w:eastAsia="Times New Roman" w:hAnsi="Times New Roman"/>
          <w:sz w:val="18"/>
          <w:szCs w:val="18"/>
          <w:i w:val="1"/>
          <w:iCs w:val="1"/>
          <w:color w:val="auto"/>
        </w:rPr>
        <w:t>The Amended and Restated Loan Note Instrument)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the date that this Deed is executed by all parties thereto.</w:t>
      </w:r>
    </w:p>
    <w:p>
      <w:pPr>
        <w:spacing w:after="0" w:line="162"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612" w:name="page613"/>
    <w:bookmarkEnd w:id="612"/>
    <w:p>
      <w:pPr>
        <w:ind w:left="424" w:hanging="424"/>
        <w:spacing w:after="0"/>
        <w:tabs>
          <w:tab w:leader="none" w:pos="424" w:val="left"/>
        </w:tabs>
        <w:numPr>
          <w:ilvl w:val="0"/>
          <w:numId w:val="6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w:t>
      </w:r>
    </w:p>
    <w:p>
      <w:pPr>
        <w:spacing w:after="0" w:line="135" w:lineRule="exact"/>
        <w:rPr>
          <w:sz w:val="20"/>
          <w:szCs w:val="20"/>
          <w:color w:val="auto"/>
        </w:rPr>
      </w:pPr>
    </w:p>
    <w:p>
      <w:pPr>
        <w:ind w:left="424" w:right="2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3.1</w:t>
        <w:tab/>
        <w:t>Subject to the terms of this Deed, the Original Loan Note Instrument will remain in full force and effect and the Original Loan Note Instrument and this Deed will, from the Effective Date, be read and construed as one document.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Except as otherwise provided in this Deed, the Loan Note Documents and the Existing Debentures remain in full force and effect.</w:t>
      </w:r>
    </w:p>
    <w:p>
      <w:pPr>
        <w:spacing w:after="0" w:line="370" w:lineRule="exact"/>
        <w:rPr>
          <w:sz w:val="20"/>
          <w:szCs w:val="20"/>
          <w:color w:val="auto"/>
        </w:rPr>
      </w:pPr>
    </w:p>
    <w:p>
      <w:pPr>
        <w:ind w:left="424" w:hanging="424"/>
        <w:spacing w:after="0"/>
        <w:tabs>
          <w:tab w:leader="none" w:pos="424" w:val="left"/>
        </w:tabs>
        <w:numPr>
          <w:ilvl w:val="0"/>
          <w:numId w:val="6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Existing Debentures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tab/>
        <w:t>On the Effective Date, the Company confirms that:</w:t>
      </w:r>
    </w:p>
    <w:p>
      <w:pPr>
        <w:spacing w:after="0" w:line="131" w:lineRule="exact"/>
        <w:rPr>
          <w:sz w:val="20"/>
          <w:szCs w:val="20"/>
          <w:color w:val="auto"/>
        </w:rPr>
      </w:pPr>
    </w:p>
    <w:p>
      <w:pPr>
        <w:ind w:left="964" w:right="160" w:hanging="532"/>
        <w:spacing w:after="0" w:line="266" w:lineRule="auto"/>
        <w:tabs>
          <w:tab w:leader="none" w:pos="964"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set out in the Existing Debentures, any Security Right (as defined therein) created by it under the Existing Debentures extends to the obligations of the Company under the Loan Note Documents (including the Amended and Restated Loan Note Instrument);</w:t>
      </w:r>
    </w:p>
    <w:p>
      <w:pPr>
        <w:spacing w:after="0" w:line="81"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set out in the Existing Debentures, the obligations of the Company arising under the Amended and Restated Loan Note Instrument are included in the Secured Liabilities (as defined in the Existing Debentures);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Rights (as defined in and created under the Existing Debentures) continue in full force and effect.</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 and Jurisdiction</w:t>
      </w:r>
    </w:p>
    <w:p>
      <w:pPr>
        <w:spacing w:after="0" w:line="134" w:lineRule="exact"/>
        <w:rPr>
          <w:rFonts w:ascii="Times New Roman" w:cs="Times New Roman" w:eastAsia="Times New Roman" w:hAnsi="Times New Roman"/>
          <w:sz w:val="18"/>
          <w:szCs w:val="18"/>
          <w:b w:val="1"/>
          <w:bCs w:val="1"/>
          <w:color w:val="auto"/>
        </w:rPr>
      </w:pPr>
    </w:p>
    <w:p>
      <w:pPr>
        <w:ind w:left="964" w:right="48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 This Deed (and any dispute or claim relating to it or its subject matter, its enforceability or its termination (including non-contractual claims)) is to be governed by and construed in accordance with English law.</w:t>
      </w:r>
    </w:p>
    <w:p>
      <w:pPr>
        <w:spacing w:after="0" w:line="67" w:lineRule="exact"/>
        <w:rPr>
          <w:rFonts w:ascii="Times New Roman" w:cs="Times New Roman" w:eastAsia="Times New Roman" w:hAnsi="Times New Roman"/>
          <w:sz w:val="18"/>
          <w:szCs w:val="18"/>
          <w:b w:val="1"/>
          <w:bCs w:val="1"/>
          <w:color w:val="auto"/>
        </w:rPr>
      </w:pPr>
    </w:p>
    <w:p>
      <w:pPr>
        <w:ind w:left="964" w:right="12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 The courts of England and Wales shall have exclusive jurisdiction to settle any claim, dispute or issue between the parties whether arising out of or in connection with this Deed or otherwise (including non-contractual claims).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7" w:right="459" w:bottom="1440" w:gutter="0" w:footer="0" w:header="0"/>
        </w:sectPr>
      </w:pPr>
    </w:p>
    <w:bookmarkStart w:id="613" w:name="page614"/>
    <w:bookmarkEnd w:id="613"/>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Deed has been executed and delivered on the date shown on the first page.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as a deed by</w:t>
            </w:r>
          </w:p>
        </w:tc>
        <w:tc>
          <w:tcPr>
            <w:tcW w:w="19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REZOLVE LIMITED</w:t>
            </w:r>
          </w:p>
        </w:tc>
        <w:tc>
          <w:tcPr>
            <w:tcW w:w="19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acting by a director</w:t>
            </w:r>
          </w:p>
        </w:tc>
        <w:tc>
          <w:tcPr>
            <w:tcW w:w="19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19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2760" w:type="dxa"/>
            <w:vAlign w:val="bottom"/>
          </w:tcPr>
          <w:p>
            <w:pPr>
              <w:spacing w:after="0"/>
              <w:rPr>
                <w:sz w:val="24"/>
                <w:szCs w:val="24"/>
                <w:color w:val="auto"/>
              </w:rPr>
            </w:pPr>
          </w:p>
        </w:tc>
        <w:tc>
          <w:tcPr>
            <w:tcW w:w="51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Director  /s/ Dan Wagner</w:t>
            </w:r>
          </w:p>
        </w:tc>
      </w:tr>
      <w:tr>
        <w:trPr>
          <w:trHeight w:val="34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 Tony Caplin</w:t>
            </w:r>
          </w:p>
        </w:tc>
        <w:tc>
          <w:tcPr>
            <w:tcW w:w="3200" w:type="dxa"/>
            <w:vAlign w:val="bottom"/>
            <w:tcBorders>
              <w:top w:val="single" w:sz="8" w:color="auto"/>
            </w:tcBorders>
            <w:gridSpan w:val="2"/>
          </w:tcPr>
          <w:p>
            <w:pPr>
              <w:spacing w:after="0"/>
              <w:rPr>
                <w:sz w:val="24"/>
                <w:szCs w:val="24"/>
                <w:color w:val="auto"/>
              </w:rPr>
            </w:pPr>
          </w:p>
        </w:tc>
      </w:tr>
      <w:tr>
        <w:trPr>
          <w:trHeight w:val="205"/>
        </w:trPr>
        <w:tc>
          <w:tcPr>
            <w:tcW w:w="2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of Witness:</w:t>
            </w:r>
          </w:p>
        </w:tc>
        <w:tc>
          <w:tcPr>
            <w:tcW w:w="408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Tony Caplin</w:t>
            </w:r>
          </w:p>
        </w:tc>
        <w:tc>
          <w:tcPr>
            <w:tcW w:w="1100" w:type="dxa"/>
            <w:vAlign w:val="bottom"/>
          </w:tcPr>
          <w:p>
            <w:pPr>
              <w:spacing w:after="0"/>
              <w:rPr>
                <w:sz w:val="17"/>
                <w:szCs w:val="17"/>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Address of Witness:</w:t>
            </w: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 Whitelands House Cheltenham Terrace London SW3 4QX</w:t>
            </w:r>
          </w:p>
        </w:tc>
      </w:tr>
      <w:tr>
        <w:trPr>
          <w:trHeight w:val="216"/>
        </w:trPr>
        <w:tc>
          <w:tcPr>
            <w:tcW w:w="2760" w:type="dxa"/>
            <w:vAlign w:val="bottom"/>
          </w:tcPr>
          <w:p>
            <w:pPr>
              <w:spacing w:after="0"/>
              <w:rPr>
                <w:sz w:val="18"/>
                <w:szCs w:val="18"/>
                <w:color w:val="auto"/>
              </w:rPr>
            </w:pPr>
          </w:p>
        </w:tc>
        <w:tc>
          <w:tcPr>
            <w:tcW w:w="4080" w:type="dxa"/>
            <w:vAlign w:val="bottom"/>
            <w:tcBorders>
              <w:bottom w:val="single" w:sz="8" w:color="auto"/>
            </w:tcBorders>
            <w:gridSpan w:val="2"/>
          </w:tcPr>
          <w:p>
            <w:pPr>
              <w:spacing w:after="0"/>
              <w:rPr>
                <w:sz w:val="18"/>
                <w:szCs w:val="18"/>
                <w:color w:val="auto"/>
              </w:rPr>
            </w:pPr>
          </w:p>
        </w:tc>
        <w:tc>
          <w:tcPr>
            <w:tcW w:w="1100" w:type="dxa"/>
            <w:vAlign w:val="bottom"/>
          </w:tcPr>
          <w:p>
            <w:pPr>
              <w:spacing w:after="0"/>
              <w:rPr>
                <w:sz w:val="18"/>
                <w:szCs w:val="18"/>
                <w:color w:val="auto"/>
              </w:rPr>
            </w:pPr>
          </w:p>
        </w:tc>
      </w:tr>
      <w:tr>
        <w:trPr>
          <w:trHeight w:val="439"/>
        </w:trPr>
        <w:tc>
          <w:tcPr>
            <w:tcW w:w="2760" w:type="dxa"/>
            <w:vAlign w:val="bottom"/>
          </w:tcPr>
          <w:p>
            <w:pPr>
              <w:spacing w:after="0"/>
              <w:rPr>
                <w:sz w:val="24"/>
                <w:szCs w:val="24"/>
                <w:color w:val="auto"/>
              </w:rPr>
            </w:pPr>
          </w:p>
        </w:tc>
        <w:tc>
          <w:tcPr>
            <w:tcW w:w="5180" w:type="dxa"/>
            <w:vAlign w:val="bottom"/>
            <w:gridSpan w:val="3"/>
          </w:tcPr>
          <w:p>
            <w:pPr>
              <w:ind w:left="1060"/>
              <w:spacing w:after="0"/>
              <w:rPr>
                <w:sz w:val="20"/>
                <w:szCs w:val="20"/>
                <w:color w:val="auto"/>
              </w:rPr>
            </w:pPr>
            <w:r>
              <w:rPr>
                <w:rFonts w:ascii="Times New Roman" w:cs="Times New Roman" w:eastAsia="Times New Roman" w:hAnsi="Times New Roman"/>
                <w:sz w:val="18"/>
                <w:szCs w:val="18"/>
                <w:i w:val="1"/>
                <w:iCs w:val="1"/>
                <w:color w:val="auto"/>
              </w:rPr>
              <w:t>Rezolve – Signature Page to Amendment Deed</w:t>
            </w:r>
          </w:p>
        </w:tc>
      </w:tr>
    </w:tbl>
    <w:p>
      <w:pPr>
        <w:sectPr>
          <w:pgSz w:w="11900" w:h="16838" w:orient="portrait"/>
          <w:cols w:equalWidth="0" w:num="1">
            <w:col w:w="10019"/>
          </w:cols>
          <w:pgMar w:left="440" w:top="270" w:right="1440" w:bottom="1440" w:gutter="0" w:footer="0" w:header="0"/>
        </w:sectPr>
      </w:pPr>
    </w:p>
    <w:bookmarkStart w:id="614" w:name="page615"/>
    <w:bookmarkEnd w:id="6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Acknowledged and agreed for and on behalf of</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APEIRON INVESTMENT GROUP LTD.</w:t>
            </w:r>
            <w:r>
              <w:rPr>
                <w:rFonts w:ascii="Times New Roman" w:cs="Times New Roman" w:eastAsia="Times New Roman" w:hAnsi="Times New Roman"/>
                <w:sz w:val="18"/>
                <w:szCs w:val="18"/>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94"/>
        </w:trPr>
        <w:tc>
          <w:tcPr>
            <w:tcW w:w="3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representing a Noteholder Majority</w:t>
            </w:r>
          </w:p>
        </w:tc>
        <w:tc>
          <w:tcPr>
            <w:tcW w:w="3580" w:type="dxa"/>
            <w:vAlign w:val="bottom"/>
            <w:gridSpan w:val="3"/>
          </w:tcPr>
          <w:p>
            <w:pPr>
              <w:ind w:left="600"/>
              <w:spacing w:after="0" w:line="194" w:lineRule="exact"/>
              <w:rPr>
                <w:sz w:val="20"/>
                <w:szCs w:val="20"/>
                <w:color w:val="auto"/>
              </w:rPr>
            </w:pPr>
            <w:r>
              <w:rPr>
                <w:rFonts w:ascii="Times New Roman" w:cs="Times New Roman" w:eastAsia="Times New Roman" w:hAnsi="Times New Roman"/>
                <w:sz w:val="18"/>
                <w:szCs w:val="18"/>
                <w:color w:val="auto"/>
              </w:rPr>
              <w:t xml:space="preserve">) /s/ Julien Hoefer                   </w:t>
            </w:r>
          </w:p>
        </w:tc>
      </w:tr>
      <w:tr>
        <w:trPr>
          <w:trHeight w:val="20"/>
        </w:trPr>
        <w:tc>
          <w:tcPr>
            <w:tcW w:w="3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600" w:type="dxa"/>
            <w:vAlign w:val="bottom"/>
          </w:tcPr>
          <w:p>
            <w:pPr>
              <w:spacing w:after="0"/>
              <w:rPr>
                <w:sz w:val="20"/>
                <w:szCs w:val="20"/>
                <w:color w:val="auto"/>
              </w:rPr>
            </w:pPr>
          </w:p>
        </w:tc>
        <w:tc>
          <w:tcPr>
            <w:tcW w:w="35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Julien Hoefer</w:t>
            </w:r>
          </w:p>
        </w:tc>
      </w:tr>
      <w:tr>
        <w:trPr>
          <w:trHeight w:val="432"/>
        </w:trPr>
        <w:tc>
          <w:tcPr>
            <w:tcW w:w="3600" w:type="dxa"/>
            <w:vAlign w:val="bottom"/>
          </w:tcPr>
          <w:p>
            <w:pPr>
              <w:spacing w:after="0"/>
              <w:rPr>
                <w:sz w:val="24"/>
                <w:szCs w:val="24"/>
                <w:color w:val="auto"/>
              </w:rPr>
            </w:pPr>
          </w:p>
        </w:tc>
        <w:tc>
          <w:tcPr>
            <w:tcW w:w="358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w w:val="99"/>
              </w:rPr>
              <w:t>Rezolve – Signature Page to Amendment Deed</w:t>
            </w:r>
          </w:p>
        </w:tc>
      </w:tr>
    </w:tbl>
    <w:p>
      <w:pPr>
        <w:sectPr>
          <w:pgSz w:w="11900" w:h="16838" w:orient="portrait"/>
          <w:cols w:equalWidth="0" w:num="1">
            <w:col w:w="10019"/>
          </w:cols>
          <w:pgMar w:left="440" w:top="271" w:right="1440" w:bottom="1440" w:gutter="0" w:footer="0" w:header="0"/>
        </w:sectPr>
      </w:pPr>
    </w:p>
    <w:bookmarkStart w:id="615" w:name="page616"/>
    <w:bookmarkEnd w:id="6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Amended and Restated Loan Note Instrument</w:t>
      </w:r>
    </w:p>
    <w:p>
      <w:pPr>
        <w:sectPr>
          <w:pgSz w:w="11900" w:h="16838" w:orient="portrait"/>
          <w:cols w:equalWidth="0" w:num="1">
            <w:col w:w="9019"/>
          </w:cols>
          <w:pgMar w:left="1440" w:top="266" w:right="1440" w:bottom="1440" w:gutter="0" w:footer="0" w:header="0"/>
        </w:sectPr>
      </w:pPr>
    </w:p>
    <w:bookmarkStart w:id="616" w:name="page617"/>
    <w:bookmarkEnd w:id="61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26 JANUARY</w:t>
            </w:r>
          </w:p>
        </w:tc>
        <w:tc>
          <w:tcPr>
            <w:tcW w:w="4700" w:type="dxa"/>
            <w:vAlign w:val="bottom"/>
            <w:tcBorders>
              <w:bottom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699516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LOAN NOTE INSTRUMENT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constituting</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 to $49,892,080 7.50% Senior Secured Convertible Loan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1" w:right="439" w:bottom="1440" w:gutter="0" w:footer="0" w:header="0"/>
        </w:sectPr>
      </w:pPr>
    </w:p>
    <w:bookmarkStart w:id="617" w:name="page618"/>
    <w:bookmarkEnd w:id="617"/>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4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r>
      <w:tr>
        <w:trPr>
          <w:trHeight w:val="459"/>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 upon Demerger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Ranking and Status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Certificates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Conditions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10.</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Register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11. No Set-Off</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12.</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Enforcement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13.</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Party Rights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14.</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15.</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16.</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A-1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A-2</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B</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Principal Amount and Accrued and Unpaid Interest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Redemption upon an Event of Default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Redemption at the Option of the Noteholders for Failure of IPO and Business Combination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Early Redemption at the Option of the Company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Redemption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Conversion at the Option of the Noteholders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10.</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Events of Default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11.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12.</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Rights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13.</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of Control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14.</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15.</w:t>
            </w: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6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4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-i-</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18" w:name="page619"/>
    <w:bookmarkEnd w:id="618"/>
    <w:p>
      <w:pPr>
        <w:jc w:val="both"/>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LOAN NOTE INSTRUMENT </w:t>
      </w:r>
      <w:r>
        <w:rPr>
          <w:rFonts w:ascii="Times New Roman" w:cs="Times New Roman" w:eastAsia="Times New Roman" w:hAnsi="Times New Roman"/>
          <w:sz w:val="18"/>
          <w:szCs w:val="18"/>
          <w:color w:val="auto"/>
        </w:rPr>
        <w:t>was originally made by way of a deed on 16 December 2021, was amended and restated on 21 November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 May 2023 and further amended on 18 December 2023 and 29 December 2023 and is further amended and restated on 26 January 2024 by the Deed of Amendment and Restatement (as defined below)</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25"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(company number 09773823) whose registered office is at 3rd Floor 80 New Bond Street, Mayfair London W1S 1SB,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4" w:hanging="304"/>
        <w:spacing w:after="0"/>
        <w:tabs>
          <w:tab w:leader="none" w:pos="304"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in exercise of the powers conferred on them by the articles of association of the Company passed board resolutions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w:t>
      </w:r>
    </w:p>
    <w:p>
      <w:pPr>
        <w:spacing w:after="0" w:line="112"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March 2022 to approve and ratify the creation of 20,000,000 $1 secured convertible loan notes constituted by the loan note instrument dated 16 December 2021, which were secured pursuant to the terms of the First Debenture (as defined below);</w:t>
      </w:r>
    </w:p>
    <w:p>
      <w:pPr>
        <w:spacing w:after="0" w:line="67" w:lineRule="exact"/>
        <w:rPr>
          <w:rFonts w:ascii="Times New Roman" w:cs="Times New Roman" w:eastAsia="Times New Roman" w:hAnsi="Times New Roman"/>
          <w:sz w:val="18"/>
          <w:szCs w:val="18"/>
          <w:color w:val="auto"/>
        </w:rPr>
      </w:pPr>
    </w:p>
    <w:p>
      <w:pPr>
        <w:ind w:left="964" w:right="320" w:hanging="532"/>
        <w:spacing w:after="0" w:line="266" w:lineRule="auto"/>
        <w:tabs>
          <w:tab w:leader="none" w:pos="964"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November 2022 to approve and ratify the creation of 4,000,000 $1 secured convertible loan notes constituted by the loan note instrument dated 16 December 2021 (as amended and restated on 21 November 2022), which were secured pursuant to the terms of the Second Debenture (as defined below);</w:t>
      </w:r>
    </w:p>
    <w:p>
      <w:pPr>
        <w:spacing w:after="0" w:line="81"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May 2023 to approve and ratify (as applicable) the creation of an additional 15,625,000 $1 secured convertible loan notes (in addition to the existing 24,000,000 loan notes) issued on 2 March 2023, which were secured pursuant to the terms of the Third Debenture (as defined below);</w:t>
      </w:r>
    </w:p>
    <w:p>
      <w:pPr>
        <w:spacing w:after="0" w:line="81" w:lineRule="exact"/>
        <w:rPr>
          <w:rFonts w:ascii="Times New Roman" w:cs="Times New Roman" w:eastAsia="Times New Roman" w:hAnsi="Times New Roman"/>
          <w:sz w:val="18"/>
          <w:szCs w:val="18"/>
          <w:color w:val="auto"/>
        </w:rPr>
      </w:pPr>
    </w:p>
    <w:p>
      <w:pPr>
        <w:ind w:left="964" w:right="300" w:hanging="532"/>
        <w:spacing w:after="0" w:line="266" w:lineRule="auto"/>
        <w:tabs>
          <w:tab w:leader="none" w:pos="964"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January 2024 to approve and ratify the creation of an additional 10,267,080 $1 secured convertible loan notes (in addition to the existing 39,625,000 loan notes) issued on 11 January 2024, (collectively, the “</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to establish the terms and conditions of the New Notes and to confirm the corporate benefit received by the Company in relation to the issue of the New Notes; and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secured pursuant to the terms of the Security Documents (as defined below).</w:t>
      </w:r>
    </w:p>
    <w:p>
      <w:pPr>
        <w:spacing w:after="0" w:line="117" w:lineRule="exact"/>
        <w:rPr>
          <w:rFonts w:ascii="Times New Roman" w:cs="Times New Roman" w:eastAsia="Times New Roman" w:hAnsi="Times New Roman"/>
          <w:sz w:val="18"/>
          <w:szCs w:val="18"/>
          <w:color w:val="auto"/>
        </w:rPr>
      </w:pPr>
    </w:p>
    <w:p>
      <w:pPr>
        <w:ind w:left="4" w:right="460" w:hanging="4"/>
        <w:spacing w:after="0" w:line="282" w:lineRule="auto"/>
        <w:tabs>
          <w:tab w:leader="none" w:pos="289"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confirm that the issue of the New Notes and the grant of any security in connection therewith do not constitute a transaction at an undervalue or a preference for the purposes of the UK Insolvency Act 1986.</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By this Instrument, the Company </w:t>
      </w:r>
      <w:r>
        <w:rPr>
          <w:rFonts w:ascii="Times New Roman" w:cs="Times New Roman" w:eastAsia="Times New Roman" w:hAnsi="Times New Roman"/>
          <w:sz w:val="18"/>
          <w:szCs w:val="18"/>
          <w:b w:val="1"/>
          <w:bCs w:val="1"/>
          <w:color w:val="auto"/>
        </w:rPr>
        <w:t>UNDERTAKES AND DECLARES</w:t>
      </w:r>
      <w:r>
        <w:rPr>
          <w:rFonts w:ascii="Times New Roman" w:cs="Times New Roman" w:eastAsia="Times New Roman" w:hAnsi="Times New Roman"/>
          <w:sz w:val="18"/>
          <w:szCs w:val="18"/>
          <w:color w:val="auto"/>
        </w:rPr>
        <w:t xml:space="preserve"> as follows.</w:t>
      </w:r>
    </w:p>
    <w:p>
      <w:pPr>
        <w:spacing w:after="0" w:line="131" w:lineRule="exact"/>
        <w:rPr>
          <w:sz w:val="20"/>
          <w:szCs w:val="20"/>
          <w:color w:val="auto"/>
        </w:rPr>
      </w:pPr>
    </w:p>
    <w:p>
      <w:pPr>
        <w:ind w:left="424" w:hanging="424"/>
        <w:spacing w:after="0"/>
        <w:tabs>
          <w:tab w:leader="none" w:pos="424" w:val="left"/>
        </w:tabs>
        <w:numPr>
          <w:ilvl w:val="0"/>
          <w:numId w:val="6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tab/>
        <w:t>Unless the contrary intention appears, the following definitions apply:</w:t>
      </w:r>
    </w:p>
    <w:p>
      <w:pPr>
        <w:spacing w:after="0" w:line="221" w:lineRule="exact"/>
        <w:rPr>
          <w:sz w:val="20"/>
          <w:szCs w:val="20"/>
          <w:color w:val="auto"/>
        </w:rPr>
      </w:pPr>
    </w:p>
    <w:p>
      <w:pPr>
        <w:ind w:left="444"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90-Day Average Market Cap</w:t>
      </w:r>
      <w:r>
        <w:rPr>
          <w:rFonts w:ascii="Times New Roman" w:cs="Times New Roman" w:eastAsia="Times New Roman" w:hAnsi="Times New Roman"/>
          <w:sz w:val="18"/>
          <w:szCs w:val="18"/>
          <w:color w:val="auto"/>
        </w:rPr>
        <w:t>” means the 90-Day VWAP multiplied by the number of issued and outstanding Shares on the M&amp;A Transaction Date;</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7" w:right="439" w:bottom="1440" w:gutter="0" w:footer="0" w:header="0"/>
        </w:sectPr>
      </w:pPr>
    </w:p>
    <w:bookmarkStart w:id="619" w:name="page620"/>
    <w:bookmarkEnd w:id="619"/>
    <w:p>
      <w:pPr>
        <w:ind w:left="20" w:right="28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90-Day VWAP</w:t>
      </w:r>
      <w:r>
        <w:rPr>
          <w:rFonts w:ascii="Times New Roman" w:cs="Times New Roman" w:eastAsia="Times New Roman" w:hAnsi="Times New Roman"/>
          <w:sz w:val="18"/>
          <w:szCs w:val="18"/>
          <w:color w:val="auto"/>
        </w:rPr>
        <w:t>” means, with respect to any M&amp;A Transaction Date, the average of the Daily VWAPs for each VWAP Trading Day in the 90 calendar days prior to such M&amp;A Transaction Date;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Event</w:t>
      </w:r>
      <w:r>
        <w:rPr>
          <w:rFonts w:ascii="Times New Roman" w:cs="Times New Roman" w:eastAsia="Times New Roman" w:hAnsi="Times New Roman"/>
          <w:sz w:val="18"/>
          <w:szCs w:val="18"/>
          <w:color w:val="auto"/>
        </w:rPr>
        <w:t>” means any or all of the following, at any time, or by reference to any record date, while the Notes remain in issue:</w:t>
      </w:r>
    </w:p>
    <w:p>
      <w:pPr>
        <w:spacing w:after="0" w:line="135" w:lineRule="exact"/>
        <w:rPr>
          <w:sz w:val="20"/>
          <w:szCs w:val="20"/>
          <w:color w:val="auto"/>
        </w:rPr>
      </w:pPr>
    </w:p>
    <w:p>
      <w:pPr>
        <w:ind w:left="540" w:hanging="532"/>
        <w:spacing w:after="0"/>
        <w:tabs>
          <w:tab w:leader="none" w:pos="54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allotment or issue of Equity Securities by the Company by way of capitalisation of profits or reserves;</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cancellation, purchase or redemption of Equity Securities or any reduction or repayment of Equity Securities by the Company; or</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sub-division or consolidation of Equity Securities by the Company;</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each case including in connection with a Qualifying IPO or Qualifying Business Combination;</w:t>
      </w:r>
    </w:p>
    <w:p>
      <w:pPr>
        <w:spacing w:after="0" w:line="221"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is controlled by or is under common control with the person specified;</w:t>
      </w:r>
    </w:p>
    <w:p>
      <w:pPr>
        <w:spacing w:after="0" w:line="155" w:lineRule="exact"/>
        <w:rPr>
          <w:sz w:val="20"/>
          <w:szCs w:val="20"/>
          <w:color w:val="auto"/>
        </w:rPr>
      </w:pPr>
    </w:p>
    <w:p>
      <w:pPr>
        <w:ind w:left="20"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Reset Date</w:t>
      </w:r>
      <w:r>
        <w:rPr>
          <w:rFonts w:ascii="Times New Roman" w:cs="Times New Roman" w:eastAsia="Times New Roman" w:hAnsi="Times New Roman"/>
          <w:sz w:val="18"/>
          <w:szCs w:val="18"/>
          <w:color w:val="auto"/>
        </w:rPr>
        <w:t>” means the last calendar day of each calendar year ending after the date of a Qualifying IPO or Qualifying Business Combination and prior to the Maturity Date;</w:t>
      </w:r>
    </w:p>
    <w:p>
      <w:pPr>
        <w:spacing w:after="0" w:line="155" w:lineRule="exact"/>
        <w:rPr>
          <w:sz w:val="20"/>
          <w:szCs w:val="20"/>
          <w:color w:val="auto"/>
        </w:rPr>
      </w:pPr>
    </w:p>
    <w:p>
      <w:pPr>
        <w:ind w:left="20"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VWAP</w:t>
      </w:r>
      <w:r>
        <w:rPr>
          <w:rFonts w:ascii="Times New Roman" w:cs="Times New Roman" w:eastAsia="Times New Roman" w:hAnsi="Times New Roman"/>
          <w:sz w:val="18"/>
          <w:szCs w:val="18"/>
          <w:color w:val="auto"/>
        </w:rPr>
        <w:t>” means, with respect to any Annual Reset Date, the average of the Daily VWAPs for each VWAP Trading Day in the calendar year of such Annual Reset Date;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Apeiron</w:t>
      </w:r>
      <w:r>
        <w:rPr>
          <w:rFonts w:ascii="Times New Roman" w:cs="Times New Roman" w:eastAsia="Times New Roman" w:hAnsi="Times New Roman"/>
          <w:sz w:val="18"/>
          <w:szCs w:val="18"/>
          <w:color w:val="auto"/>
        </w:rPr>
        <w:t>” means Apeiron Investment Group Ltd;</w:t>
      </w:r>
    </w:p>
    <w:p>
      <w:pPr>
        <w:spacing w:after="0" w:line="225" w:lineRule="exact"/>
        <w:rPr>
          <w:sz w:val="20"/>
          <w:szCs w:val="20"/>
          <w:color w:val="auto"/>
        </w:rPr>
      </w:pPr>
    </w:p>
    <w:p>
      <w:pPr>
        <w:ind w:left="2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each day (other than a Saturday or Sunday) on which (a)(i) the Trans-European Automated Real-time Gross-settlement Express Transfer System (TARGET2) or any successor system and (ii) the Clearing System settle payments, and (b) commercial banks and foreign exchange markets in London are open for business;</w:t>
      </w:r>
    </w:p>
    <w:p>
      <w:pPr>
        <w:spacing w:after="0" w:line="171" w:lineRule="exact"/>
        <w:rPr>
          <w:sz w:val="20"/>
          <w:szCs w:val="20"/>
          <w:color w:val="auto"/>
        </w:rPr>
      </w:pPr>
    </w:p>
    <w:p>
      <w:pPr>
        <w:ind w:left="2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means a certificate for Notes in the form or substantially in the form set out in Schedule A-1 or Schedule A-2 to this Instrument, as applicable;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Clearing System</w:t>
      </w:r>
      <w:r>
        <w:rPr>
          <w:rFonts w:ascii="Times New Roman" w:cs="Times New Roman" w:eastAsia="Times New Roman" w:hAnsi="Times New Roman"/>
          <w:sz w:val="18"/>
          <w:szCs w:val="18"/>
          <w:color w:val="auto"/>
        </w:rPr>
        <w:t>” means CREST for which the provider is Euroclear UK &amp; International Limited or any successor in such capacity;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means Computershare Investor Services PLC;</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means any condition of the Notes set out in Schedule B;</w:t>
      </w:r>
    </w:p>
    <w:p>
      <w:pPr>
        <w:spacing w:after="0" w:line="225" w:lineRule="exact"/>
        <w:rPr>
          <w:sz w:val="20"/>
          <w:szCs w:val="20"/>
          <w:color w:val="auto"/>
        </w:rPr>
      </w:pPr>
    </w:p>
    <w:p>
      <w:pPr>
        <w:ind w:left="20"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means, in the case of any conversion of Notes into Conversion Shares in accordance with the Conditions, the date of the notice or event resulting in such conversion;</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60" w:top="266" w:right="499" w:bottom="1440" w:gutter="0" w:footer="0" w:header="0"/>
        </w:sectPr>
      </w:pPr>
    </w:p>
    <w:bookmarkStart w:id="620" w:name="page621"/>
    <w:bookmarkEnd w:id="620"/>
    <w:p>
      <w:pPr>
        <w:ind w:left="532" w:hanging="532"/>
        <w:spacing w:after="0"/>
        <w:tabs>
          <w:tab w:leader="none" w:pos="532"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occurrence of a Noteholder Further Investment Event: a price per Share equal to seventy per cent. (70.00%) of the lesser of</w:t>
      </w:r>
    </w:p>
    <w:p>
      <w:pPr>
        <w:spacing w:after="0" w:line="27" w:lineRule="exact"/>
        <w:rPr>
          <w:rFonts w:ascii="Times New Roman" w:cs="Times New Roman" w:eastAsia="Times New Roman" w:hAnsi="Times New Roman"/>
          <w:sz w:val="18"/>
          <w:szCs w:val="18"/>
          <w:color w:val="auto"/>
        </w:rPr>
      </w:pPr>
    </w:p>
    <w:p>
      <w:pPr>
        <w:ind w:left="532" w:righ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price per Share implied in connection with a Qualifying IPO or Qualifying Business Combination (if any) and (ii) the Annual VWAP on the previous Annual Reset Date (if any); or</w:t>
      </w:r>
    </w:p>
    <w:p>
      <w:pPr>
        <w:spacing w:after="0" w:line="86"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of a Noteholder Further Investment Event: a price per Share equal to the lesser of (i) seventy per cent.</w:t>
      </w:r>
    </w:p>
    <w:p>
      <w:pPr>
        <w:spacing w:after="0" w:line="27" w:lineRule="exact"/>
        <w:rPr>
          <w:rFonts w:ascii="Times New Roman" w:cs="Times New Roman" w:eastAsia="Times New Roman" w:hAnsi="Times New Roman"/>
          <w:sz w:val="18"/>
          <w:szCs w:val="18"/>
          <w:color w:val="auto"/>
        </w:rPr>
      </w:pPr>
    </w:p>
    <w:p>
      <w:pPr>
        <w:ind w:left="532"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 of the price per Share implied in connection with a Qualifying IPO or Qualifying Business Combination (if any) and (ii) any of the Quarterly VWAPs for the four immediately preceding Quarterly Reset Dates (if any) (as selected by the relevant Noteholder);</w:t>
      </w:r>
    </w:p>
    <w:p>
      <w:pPr>
        <w:spacing w:after="0" w:line="17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any Shares issuable upon conversion of the Notes;</w:t>
      </w:r>
    </w:p>
    <w:p>
      <w:pPr>
        <w:spacing w:after="0" w:line="225" w:lineRule="exact"/>
        <w:rPr>
          <w:sz w:val="20"/>
          <w:szCs w:val="20"/>
          <w:color w:val="auto"/>
        </w:rPr>
      </w:pPr>
    </w:p>
    <w:p>
      <w:pPr>
        <w:ind w:left="1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volume-weighted average share price of the Shares as displayed under the heading “Bloomberg VWAP” on Bloomberg in respect of the period from the scheduled open of trading on the principal trading market for the Shares to the scheduled close of trading of the primary trading session on such VWAP Trading Day. The Daily VWAP will be determined without regard to after-hours trading or any other trading outside of the regular trading session trading hours;</w:t>
      </w:r>
    </w:p>
    <w:p>
      <w:pPr>
        <w:spacing w:after="0" w:line="17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Debentures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532" w:hanging="532"/>
        <w:spacing w:after="0"/>
        <w:tabs>
          <w:tab w:leader="none" w:pos="532"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Debenture;</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Debenture; and</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Debenture;</w:t>
      </w:r>
    </w:p>
    <w:p>
      <w:pPr>
        <w:spacing w:after="0" w:line="221" w:lineRule="exact"/>
        <w:rPr>
          <w:sz w:val="20"/>
          <w:szCs w:val="20"/>
          <w:color w:val="auto"/>
        </w:rPr>
      </w:pPr>
    </w:p>
    <w:p>
      <w:pPr>
        <w:ind w:left="12"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Amendment and Restatement</w:t>
      </w:r>
      <w:r>
        <w:rPr>
          <w:rFonts w:ascii="Times New Roman" w:cs="Times New Roman" w:eastAsia="Times New Roman" w:hAnsi="Times New Roman"/>
          <w:sz w:val="18"/>
          <w:szCs w:val="18"/>
          <w:color w:val="auto"/>
        </w:rPr>
        <w:t>” means the deed of amendment and restatement entered into by the Company on 26 January 2024 in relation to this Instrument;</w:t>
      </w:r>
    </w:p>
    <w:p>
      <w:pPr>
        <w:spacing w:after="0" w:line="15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Delegate</w:t>
      </w:r>
      <w:r>
        <w:rPr>
          <w:rFonts w:ascii="Times New Roman" w:cs="Times New Roman" w:eastAsia="Times New Roman" w:hAnsi="Times New Roman"/>
          <w:sz w:val="18"/>
          <w:szCs w:val="18"/>
          <w:color w:val="auto"/>
        </w:rPr>
        <w:t>” has the meaning given to that term in the Security Trust Deed;</w:t>
      </w:r>
    </w:p>
    <w:p>
      <w:pPr>
        <w:spacing w:after="0" w:line="225" w:lineRule="exact"/>
        <w:rPr>
          <w:sz w:val="20"/>
          <w:szCs w:val="20"/>
          <w:color w:val="auto"/>
        </w:rPr>
      </w:pPr>
    </w:p>
    <w:p>
      <w:pPr>
        <w:ind w:left="12"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Demerger</w:t>
      </w:r>
      <w:r>
        <w:rPr>
          <w:rFonts w:ascii="Times New Roman" w:cs="Times New Roman" w:eastAsia="Times New Roman" w:hAnsi="Times New Roman"/>
          <w:sz w:val="18"/>
          <w:szCs w:val="18"/>
          <w:color w:val="auto"/>
        </w:rPr>
        <w:t>” means a demerger, including the Proposed Demerger, pursuant to section 110 of the UK Insolvency Act 1986, as a result of which certain assets and liabilities of the Company (including equity interests in certain subsidiaries) will be transferred to another entity (“</w:t>
      </w:r>
      <w:r>
        <w:rPr>
          <w:rFonts w:ascii="Times New Roman" w:cs="Times New Roman" w:eastAsia="Times New Roman" w:hAnsi="Times New Roman"/>
          <w:sz w:val="18"/>
          <w:szCs w:val="18"/>
          <w:b w:val="1"/>
          <w:bCs w:val="1"/>
          <w:color w:val="auto"/>
        </w:rPr>
        <w:t>NewCo</w:t>
      </w:r>
      <w:r>
        <w:rPr>
          <w:rFonts w:ascii="Times New Roman" w:cs="Times New Roman" w:eastAsia="Times New Roman" w:hAnsi="Times New Roman"/>
          <w:sz w:val="18"/>
          <w:szCs w:val="18"/>
          <w:color w:val="auto"/>
        </w:rPr>
        <w:t>”) in exchange for shares of NewCo;</w:t>
      </w:r>
    </w:p>
    <w:p>
      <w:pPr>
        <w:spacing w:after="0" w:line="17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means the board of directors for the time being of the Company;</w:t>
      </w:r>
    </w:p>
    <w:p>
      <w:pPr>
        <w:spacing w:after="0" w:line="225" w:lineRule="exact"/>
        <w:rPr>
          <w:sz w:val="20"/>
          <w:szCs w:val="20"/>
          <w:color w:val="auto"/>
        </w:rPr>
      </w:pPr>
    </w:p>
    <w:p>
      <w:pPr>
        <w:ind w:left="12"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Investors</w:t>
      </w:r>
      <w:r>
        <w:rPr>
          <w:rFonts w:ascii="Times New Roman" w:cs="Times New Roman" w:eastAsia="Times New Roman" w:hAnsi="Times New Roman"/>
          <w:sz w:val="18"/>
          <w:szCs w:val="18"/>
          <w:color w:val="auto"/>
        </w:rPr>
        <w:t>” means Apeiron and Bradley Wickens and (i) any of their respective Affiliates or any related or controlled fund or sub-fund, partnership or investment vehicle or any general partner, managing limited partner or management company who holds or manages any business of, or whose business is held or managed by, that Eligible Investor or any of its Affiliates or (ii) any other person at the request of an Eligible Investor with the prior written consent of the Company (not to be unreasonably withheld, delayed or conditioned);</w:t>
      </w:r>
    </w:p>
    <w:p>
      <w:pPr>
        <w:spacing w:after="0" w:line="17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has the meaning given in section 560(1) of the Companies Act 2006;</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Extraordinary Transaction</w:t>
      </w:r>
      <w:r>
        <w:rPr>
          <w:rFonts w:ascii="Times New Roman" w:cs="Times New Roman" w:eastAsia="Times New Roman" w:hAnsi="Times New Roman"/>
          <w:sz w:val="18"/>
          <w:szCs w:val="18"/>
          <w:color w:val="auto"/>
        </w:rPr>
        <w:t>” means the occurrence of any of the following;</w:t>
      </w:r>
    </w:p>
    <w:p>
      <w:pPr>
        <w:spacing w:after="0" w:line="162"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92"/>
          </w:cols>
          <w:pgMar w:left="868" w:top="271" w:right="539" w:bottom="1440" w:gutter="0" w:footer="0" w:header="0"/>
        </w:sectPr>
      </w:pPr>
    </w:p>
    <w:bookmarkStart w:id="621" w:name="page622"/>
    <w:bookmarkEnd w:id="621"/>
    <w:p>
      <w:pPr>
        <w:ind w:left="540" w:right="100" w:hanging="532"/>
        <w:spacing w:after="0" w:line="266" w:lineRule="auto"/>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making, or permitting any subsidiary to make, any loan or advance to any person unless such person is wholly owned by the Company or, in the case of a natural person, is an employee or director of the Company and such loan or advance is made in the ordinary course of business under the terms of an employee stock or option plan that has been notified to the Noteholders prior to the date of this Instrument;</w:t>
      </w:r>
    </w:p>
    <w:p>
      <w:pPr>
        <w:spacing w:after="0" w:line="81" w:lineRule="exact"/>
        <w:rPr>
          <w:rFonts w:ascii="Times New Roman" w:cs="Times New Roman" w:eastAsia="Times New Roman" w:hAnsi="Times New Roman"/>
          <w:sz w:val="18"/>
          <w:szCs w:val="18"/>
          <w:color w:val="auto"/>
        </w:rPr>
      </w:pPr>
    </w:p>
    <w:p>
      <w:pPr>
        <w:ind w:left="540" w:right="440" w:hanging="532"/>
        <w:spacing w:after="0" w:line="282" w:lineRule="auto"/>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guaranteeing, directly or indirectly, or permitting any subsidiary to guarantee, directly or indirectly, any indebtedness except for trade accounts of the Company or any subsidiary arising in the ordinary course of business;</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principal business of the Company, entering new lines of business, or exiting the current line of business;</w:t>
      </w:r>
    </w:p>
    <w:p>
      <w:pPr>
        <w:spacing w:after="0" w:line="130" w:lineRule="exact"/>
        <w:rPr>
          <w:rFonts w:ascii="Times New Roman" w:cs="Times New Roman" w:eastAsia="Times New Roman" w:hAnsi="Times New Roman"/>
          <w:sz w:val="18"/>
          <w:szCs w:val="18"/>
          <w:color w:val="auto"/>
        </w:rPr>
      </w:pPr>
    </w:p>
    <w:p>
      <w:pPr>
        <w:ind w:left="540" w:right="20" w:hanging="532"/>
        <w:spacing w:after="0" w:line="282" w:lineRule="auto"/>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assigning, licensing, charging, pledging, or encumbering material technology or intellectual property, other than licenses granted in the ordinary course of business;</w:t>
      </w:r>
    </w:p>
    <w:p>
      <w:pPr>
        <w:spacing w:after="0" w:line="67" w:lineRule="exact"/>
        <w:rPr>
          <w:rFonts w:ascii="Times New Roman" w:cs="Times New Roman" w:eastAsia="Times New Roman" w:hAnsi="Times New Roman"/>
          <w:sz w:val="18"/>
          <w:szCs w:val="18"/>
          <w:color w:val="auto"/>
        </w:rPr>
      </w:pPr>
    </w:p>
    <w:p>
      <w:pPr>
        <w:ind w:left="540" w:right="20" w:hanging="532"/>
        <w:spacing w:after="0" w:line="282" w:lineRule="auto"/>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corporate strategic relationship, joint venture, cooperation or other similar agreement, other than in the ordinary course of business;</w:t>
      </w:r>
    </w:p>
    <w:p>
      <w:pPr>
        <w:spacing w:after="0" w:line="67" w:lineRule="exact"/>
        <w:rPr>
          <w:rFonts w:ascii="Times New Roman" w:cs="Times New Roman" w:eastAsia="Times New Roman" w:hAnsi="Times New Roman"/>
          <w:sz w:val="18"/>
          <w:szCs w:val="18"/>
          <w:color w:val="auto"/>
        </w:rPr>
      </w:pPr>
    </w:p>
    <w:p>
      <w:pPr>
        <w:ind w:left="540" w:right="60" w:hanging="532"/>
        <w:spacing w:after="0" w:line="258" w:lineRule="auto"/>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date of a Qualifying IPO or Qualifying Business Combination, acquiring or disposing of assets (including shares) where the consideration paid or received exceeds $1,000,000 or (ii) following the date of a Qualifying IPO or Qualifying Business Combination, acquiring or disposing of assets (including shares) (x) where the consideration paid or received exceeds twenty per cent. (20.00%) of the 90-Day Average Market Cap or (y) other than (A) on arm’s length terms, and (B) for the purpose of promoting the success of the Company;</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articles of association of the Company in a manner that is adverse to the Noteholders;</w:t>
      </w:r>
    </w:p>
    <w:p>
      <w:pPr>
        <w:spacing w:after="0" w:line="130" w:lineRule="exact"/>
        <w:rPr>
          <w:rFonts w:ascii="Times New Roman" w:cs="Times New Roman" w:eastAsia="Times New Roman" w:hAnsi="Times New Roman"/>
          <w:sz w:val="18"/>
          <w:szCs w:val="18"/>
          <w:color w:val="auto"/>
        </w:rPr>
      </w:pPr>
    </w:p>
    <w:p>
      <w:pPr>
        <w:jc w:val="both"/>
        <w:ind w:left="540" w:right="480" w:hanging="532"/>
        <w:spacing w:after="0" w:line="266" w:lineRule="auto"/>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any merger, combination, reorganisation, Demerger, scheme of arrangement, restructuring plan or other similar transaction, except for any merger, combination or scheme of arrangement undertaken solely for the purposes of implementing the acquisition or disposition of assets which would not constitute an Extraordinary Transaction under limb (f) of this definition; and</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dissolving or winding up the affairs of the Company.</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any fee letter entered into between the Security Agent and the Company in connection with Loan Note Documents;</w:t>
      </w:r>
    </w:p>
    <w:p>
      <w:pPr>
        <w:spacing w:after="0" w:line="225" w:lineRule="exact"/>
        <w:rPr>
          <w:sz w:val="20"/>
          <w:szCs w:val="20"/>
          <w:color w:val="auto"/>
        </w:rPr>
      </w:pPr>
    </w:p>
    <w:p>
      <w:pPr>
        <w:ind w:left="2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Debenture</w:t>
      </w:r>
      <w:r>
        <w:rPr>
          <w:rFonts w:ascii="Times New Roman" w:cs="Times New Roman" w:eastAsia="Times New Roman" w:hAnsi="Times New Roman"/>
          <w:sz w:val="18"/>
          <w:szCs w:val="18"/>
          <w:color w:val="auto"/>
        </w:rPr>
        <w:t>” means the debenture creating a fixed and floating charge over the Company’s assets entered into by the Company in favour of Apeiron on 16 December 2021;</w:t>
      </w:r>
    </w:p>
    <w:p>
      <w:pPr>
        <w:spacing w:after="0" w:line="155"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Further Investment</w:t>
      </w:r>
      <w:r>
        <w:rPr>
          <w:rFonts w:ascii="Times New Roman" w:cs="Times New Roman" w:eastAsia="Times New Roman" w:hAnsi="Times New Roman"/>
          <w:sz w:val="18"/>
          <w:szCs w:val="18"/>
          <w:color w:val="auto"/>
        </w:rPr>
        <w:t>” means an investment in the Company or Rezolve AI Limited, whether by debt or equity, of at least $500,000 in aggregate from one or more Third Party Lenders (which, for the avoidance of doubt, may include Yorkville Advisors Global, LP and its affiliates) on or after the date of the Deed of Amendment and Restatement.</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70" w:right="459" w:bottom="1440" w:gutter="0" w:footer="0" w:header="0"/>
        </w:sectPr>
      </w:pPr>
    </w:p>
    <w:bookmarkStart w:id="622" w:name="page623"/>
    <w:bookmarkEnd w:id="622"/>
    <w:p>
      <w:pPr>
        <w:ind w:left="12" w:right="4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Company (or after the Proposed Demerger Rezolve AI Limited (company number 14573691)) and each and any of its subsidiaries and any holding company (as defined in section 1159 Companies Act 2006) from time to time and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shall be construed accordingly;</w:t>
      </w:r>
    </w:p>
    <w:p>
      <w:pPr>
        <w:spacing w:after="0" w:line="17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 of Default</w:t>
      </w:r>
      <w:r>
        <w:rPr>
          <w:rFonts w:ascii="Times New Roman" w:cs="Times New Roman" w:eastAsia="Times New Roman" w:hAnsi="Times New Roman"/>
          <w:sz w:val="18"/>
          <w:szCs w:val="18"/>
          <w:color w:val="auto"/>
        </w:rPr>
        <w:t>” means any Event of Default specified in Conditions 10.1(a) to 10.1(d);</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means this instrument constituting the Notes, and the schedule and appendices to it, as modified from time to time;</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xml:space="preserve"> means:</w:t>
      </w:r>
    </w:p>
    <w:p>
      <w:pPr>
        <w:spacing w:after="0" w:line="135" w:lineRule="exact"/>
        <w:rPr>
          <w:sz w:val="20"/>
          <w:szCs w:val="20"/>
          <w:color w:val="auto"/>
        </w:rPr>
      </w:pPr>
    </w:p>
    <w:p>
      <w:pPr>
        <w:ind w:left="532" w:hanging="532"/>
        <w:spacing w:after="0"/>
        <w:tabs>
          <w:tab w:leader="none" w:pos="532"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a Qualifying IPO or Qualifying Business Combination, seven and a half per cent. (7.5%) per annum; and</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of a Qualifying IPO or Qualifying Business Combination, zero per cent. (0.00%) per annum;</w:t>
      </w:r>
    </w:p>
    <w:p>
      <w:pPr>
        <w:spacing w:after="0" w:line="221" w:lineRule="exact"/>
        <w:rPr>
          <w:sz w:val="20"/>
          <w:szCs w:val="20"/>
          <w:color w:val="auto"/>
        </w:rPr>
      </w:pPr>
    </w:p>
    <w:p>
      <w:pPr>
        <w:ind w:left="1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Note Documents</w:t>
      </w:r>
      <w:r>
        <w:rPr>
          <w:rFonts w:ascii="Times New Roman" w:cs="Times New Roman" w:eastAsia="Times New Roman" w:hAnsi="Times New Roman"/>
          <w:sz w:val="18"/>
          <w:szCs w:val="18"/>
          <w:color w:val="auto"/>
        </w:rPr>
        <w:t>” means this Instrument, the Deed of Amendment and Restatement, the Notes, each Security Document the Security Trust Deed any Fee Letter and any other document designated as a “Loan Note Document” by the Company and the Security Agent;</w:t>
      </w:r>
    </w:p>
    <w:p>
      <w:pPr>
        <w:spacing w:after="0" w:line="155" w:lineRule="exact"/>
        <w:rPr>
          <w:sz w:val="20"/>
          <w:szCs w:val="20"/>
          <w:color w:val="auto"/>
        </w:rPr>
      </w:pPr>
    </w:p>
    <w:p>
      <w:pPr>
        <w:jc w:val="both"/>
        <w:ind w:left="12" w:right="3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Listed Entity</w:t>
      </w:r>
      <w:r>
        <w:rPr>
          <w:rFonts w:ascii="Times New Roman" w:cs="Times New Roman" w:eastAsia="Times New Roman" w:hAnsi="Times New Roman"/>
          <w:sz w:val="18"/>
          <w:szCs w:val="18"/>
          <w:color w:val="auto"/>
        </w:rPr>
        <w:t>” means the entity which is to be Rezolve Limited or a holding company of Rezolve Limited (including a NewCo, including in connection with a Demerger), or the surviving entity following any merger of Rezolve Limited with another entity, and whose shares are to be listed or traded on a Qualifying Exchange;</w:t>
      </w:r>
    </w:p>
    <w:p>
      <w:pPr>
        <w:spacing w:after="0" w:line="17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Listed Shares</w:t>
      </w:r>
      <w:r>
        <w:rPr>
          <w:rFonts w:ascii="Times New Roman" w:cs="Times New Roman" w:eastAsia="Times New Roman" w:hAnsi="Times New Roman"/>
          <w:sz w:val="18"/>
          <w:szCs w:val="18"/>
          <w:color w:val="auto"/>
        </w:rPr>
        <w:t>” means the Shares of the Listed Entity which are listed or traded on a Qualifying Exchange;</w:t>
      </w:r>
    </w:p>
    <w:p>
      <w:pPr>
        <w:spacing w:after="0" w:line="225" w:lineRule="exact"/>
        <w:rPr>
          <w:sz w:val="20"/>
          <w:szCs w:val="20"/>
          <w:color w:val="auto"/>
        </w:rPr>
      </w:pPr>
    </w:p>
    <w:p>
      <w:pPr>
        <w:ind w:left="1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M&amp;A Transaction Date</w:t>
      </w:r>
      <w:r>
        <w:rPr>
          <w:rFonts w:ascii="Times New Roman" w:cs="Times New Roman" w:eastAsia="Times New Roman" w:hAnsi="Times New Roman"/>
          <w:sz w:val="18"/>
          <w:szCs w:val="18"/>
          <w:color w:val="auto"/>
        </w:rPr>
        <w:t>” means the date the definitive documentation is signed by all relevant parties with respect to any acquisition or disposal of assets (including shares) by any member of the Group;</w:t>
      </w:r>
    </w:p>
    <w:p>
      <w:pPr>
        <w:spacing w:after="0" w:line="155" w:lineRule="exact"/>
        <w:rPr>
          <w:sz w:val="20"/>
          <w:szCs w:val="20"/>
          <w:color w:val="auto"/>
        </w:rPr>
      </w:pPr>
    </w:p>
    <w:p>
      <w:pPr>
        <w:ind w:left="12" w:right="2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Maturity Date</w:t>
      </w:r>
      <w:r>
        <w:rPr>
          <w:rFonts w:ascii="Times New Roman" w:cs="Times New Roman" w:eastAsia="Times New Roman" w:hAnsi="Times New Roman"/>
          <w:sz w:val="17"/>
          <w:szCs w:val="17"/>
          <w:color w:val="auto"/>
        </w:rPr>
        <w:t>” means the date which is three (3) years from date of a Qualifying IPO or Qualifying Business Combination; provided that the Maturity Date shall be 31 December 2024 if a Qualifying IPO or Qualifying Business Combination has not occurred on or prior to that date;</w:t>
      </w:r>
    </w:p>
    <w:p>
      <w:pPr>
        <w:spacing w:after="0" w:line="132" w:lineRule="exact"/>
        <w:rPr>
          <w:sz w:val="20"/>
          <w:szCs w:val="20"/>
          <w:color w:val="auto"/>
        </w:rPr>
      </w:pPr>
    </w:p>
    <w:p>
      <w:pPr>
        <w:ind w:left="12"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Noteholder Further Investment Event</w:t>
      </w:r>
      <w:r>
        <w:rPr>
          <w:rFonts w:ascii="Times New Roman" w:cs="Times New Roman" w:eastAsia="Times New Roman" w:hAnsi="Times New Roman"/>
          <w:sz w:val="18"/>
          <w:szCs w:val="18"/>
          <w:color w:val="auto"/>
        </w:rPr>
        <w:t>” means an investment of at least $500,000 in aggregate by either of Apeiron and/or Brad Wickens or any of their respective affiliates in connection with a Further Investment;</w:t>
      </w:r>
    </w:p>
    <w:p>
      <w:pPr>
        <w:spacing w:after="0" w:line="155" w:lineRule="exact"/>
        <w:rPr>
          <w:sz w:val="20"/>
          <w:szCs w:val="20"/>
          <w:color w:val="auto"/>
        </w:rPr>
      </w:pPr>
    </w:p>
    <w:p>
      <w:pPr>
        <w:ind w:left="12"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Noteholder Majority</w:t>
      </w:r>
      <w:r>
        <w:rPr>
          <w:rFonts w:ascii="Times New Roman" w:cs="Times New Roman" w:eastAsia="Times New Roman" w:hAnsi="Times New Roman"/>
          <w:sz w:val="18"/>
          <w:szCs w:val="18"/>
          <w:color w:val="auto"/>
        </w:rPr>
        <w:t>” means the holders of more than two thirds (66 2/3%) of the aggregate principal amount of the Notes outstanding from time to time;</w:t>
      </w:r>
    </w:p>
    <w:p>
      <w:pPr>
        <w:spacing w:after="0" w:line="155" w:lineRule="exact"/>
        <w:rPr>
          <w:sz w:val="20"/>
          <w:szCs w:val="20"/>
          <w:color w:val="auto"/>
        </w:rPr>
      </w:pPr>
    </w:p>
    <w:p>
      <w:pPr>
        <w:ind w:left="12"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Noteholder Supermajority</w:t>
      </w:r>
      <w:r>
        <w:rPr>
          <w:rFonts w:ascii="Times New Roman" w:cs="Times New Roman" w:eastAsia="Times New Roman" w:hAnsi="Times New Roman"/>
          <w:sz w:val="18"/>
          <w:szCs w:val="18"/>
          <w:color w:val="auto"/>
        </w:rPr>
        <w:t>” means the holders of more than seventy five per cent. (75%) of the aggregate principal amount of the Notes outstanding from time to time;</w:t>
      </w:r>
    </w:p>
    <w:p>
      <w:pPr>
        <w:spacing w:after="0" w:line="15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Noteholders</w:t>
      </w:r>
      <w:r>
        <w:rPr>
          <w:rFonts w:ascii="Times New Roman" w:cs="Times New Roman" w:eastAsia="Times New Roman" w:hAnsi="Times New Roman"/>
          <w:sz w:val="18"/>
          <w:szCs w:val="18"/>
          <w:color w:val="auto"/>
        </w:rPr>
        <w:t>” means the several persons for the time being entered in the register as holders or joint holders of the Notes;</w:t>
      </w:r>
    </w:p>
    <w:p>
      <w:pPr>
        <w:spacing w:after="0" w:line="162"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72"/>
          </w:cols>
          <w:pgMar w:left="868" w:top="267" w:right="459" w:bottom="1440" w:gutter="0" w:footer="0" w:header="0"/>
        </w:sectPr>
      </w:pPr>
    </w:p>
    <w:bookmarkStart w:id="623" w:name="page624"/>
    <w:bookmarkEnd w:id="623"/>
    <w:p>
      <w:pPr>
        <w:ind w:right="1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up to $49,892,080 7.50% Senior Secured Convertible Loan Notes constituted by this Instrument (which, for the avoidance of doubt, includes the Apeiron Demerger Additional Notes) or, as the case may be, the principal amount from time to time issued and paid up and outstanding, and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shall be construed accordingly;</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general partnership, limited partnership, limited liability company, proprietorship, other business organisation, trust, union or association;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Computershare;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Demerger</w:t>
      </w:r>
      <w:r>
        <w:rPr>
          <w:rFonts w:ascii="Times New Roman" w:cs="Times New Roman" w:eastAsia="Times New Roman" w:hAnsi="Times New Roman"/>
          <w:sz w:val="18"/>
          <w:szCs w:val="18"/>
          <w:color w:val="auto"/>
        </w:rPr>
        <w:t>” means a Demerger where the “NewCo” is Rezolve AI Limited (company number 14573691);</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Business Combination</w:t>
      </w:r>
      <w:r>
        <w:rPr>
          <w:rFonts w:ascii="Times New Roman" w:cs="Times New Roman" w:eastAsia="Times New Roman" w:hAnsi="Times New Roman"/>
          <w:sz w:val="18"/>
          <w:szCs w:val="18"/>
          <w:color w:val="auto"/>
        </w:rPr>
        <w:t>” means the consummation of any transaction (whether effected by way of merger, share exchange, asset sale, share sale, reorganisation, contribution, consolidation or similar business combination) with a SPAC or other listed entity which results in a Group Company (or a new company formed for the purpose) (including any direct or indirect parent company or corporate successor (including a subsidiary) of a Group Company) becoming listed on a Qualifying Exchange and/or any shareholder in a Group Company prior to such transaction holding, following completion of the relevant transaction, any of the publicly listed securities (or securities convertible or exchangeable into, or exercisable for, any such publicly listed securities) in the surviving entity (including any direct or indirect parent entity or corporate successor (including any subsidiary) of the surviving entity) which becomes listed or remains listed on a Qualifying Exchange in respect of such transaction;</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Exchange</w:t>
      </w:r>
      <w:r>
        <w:rPr>
          <w:rFonts w:ascii="Times New Roman" w:cs="Times New Roman" w:eastAsia="Times New Roman" w:hAnsi="Times New Roman"/>
          <w:sz w:val="18"/>
          <w:szCs w:val="18"/>
          <w:color w:val="auto"/>
        </w:rPr>
        <w:t>” means the Nasdaq Stock Market, the New York Stock Exchange or the main exchanges in London, Amsterdam, Paris, Germany, Hong Kong, Canada or Singapore;</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IPO</w:t>
      </w:r>
      <w:r>
        <w:rPr>
          <w:rFonts w:ascii="Times New Roman" w:cs="Times New Roman" w:eastAsia="Times New Roman" w:hAnsi="Times New Roman"/>
          <w:sz w:val="18"/>
          <w:szCs w:val="18"/>
          <w:color w:val="auto"/>
        </w:rPr>
        <w:t>” means the consummation of any transaction which results in the admission of the Shares to trading on a Qualifying Exchange, including by way of a direct listing;</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Reset Date</w:t>
      </w:r>
      <w:r>
        <w:rPr>
          <w:rFonts w:ascii="Times New Roman" w:cs="Times New Roman" w:eastAsia="Times New Roman" w:hAnsi="Times New Roman"/>
          <w:sz w:val="18"/>
          <w:szCs w:val="18"/>
          <w:color w:val="auto"/>
        </w:rPr>
        <w:t>” means each of 31 March, 30 June, 30 September and 31 December, beginning on the first such date to occur following a Qualifying IPO or Qualifying Business Combination and prior to the Maturity Date;</w:t>
      </w:r>
    </w:p>
    <w:p>
      <w:pPr>
        <w:spacing w:after="0" w:line="15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VWAP</w:t>
      </w:r>
      <w:r>
        <w:rPr>
          <w:rFonts w:ascii="Times New Roman" w:cs="Times New Roman" w:eastAsia="Times New Roman" w:hAnsi="Times New Roman"/>
          <w:sz w:val="18"/>
          <w:szCs w:val="18"/>
          <w:color w:val="auto"/>
        </w:rPr>
        <w:t>” means, with respect to any Quarterly Reset Date, the averages of the Daily VWAPs for each VWAP Trading Day in each three calendar month period from (i) January to March; (ii) April to June; (iii) July to September; and (iv) October to December in the calendar year of such Quarterly Reset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Receiver</w:t>
      </w:r>
      <w:r>
        <w:rPr>
          <w:rFonts w:ascii="Times New Roman" w:cs="Times New Roman" w:eastAsia="Times New Roman" w:hAnsi="Times New Roman"/>
          <w:sz w:val="18"/>
          <w:szCs w:val="18"/>
          <w:color w:val="auto"/>
        </w:rPr>
        <w:t>” has the meaning given to that term in the Security Trust Deed;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means Computershare;</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Debenture</w:t>
      </w:r>
      <w:r>
        <w:rPr>
          <w:rFonts w:ascii="Times New Roman" w:cs="Times New Roman" w:eastAsia="Times New Roman" w:hAnsi="Times New Roman"/>
          <w:sz w:val="18"/>
          <w:szCs w:val="18"/>
          <w:color w:val="auto"/>
        </w:rPr>
        <w:t>” means the debenture creating a fixed and floating charge over the Company’s assets entered into by the Company in favour of Apeiron on 21 November 2022;</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6" w:right="459" w:bottom="1440" w:gutter="0" w:footer="0" w:header="0"/>
        </w:sectPr>
      </w:pPr>
    </w:p>
    <w:bookmarkStart w:id="624" w:name="page625"/>
    <w:bookmarkEnd w:id="624"/>
    <w:p>
      <w:pPr>
        <w:ind w:left="440" w:right="1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Secured Liabilities</w:t>
      </w:r>
      <w:r>
        <w:rPr>
          <w:rFonts w:ascii="Times New Roman" w:cs="Times New Roman" w:eastAsia="Times New Roman" w:hAnsi="Times New Roman"/>
          <w:sz w:val="18"/>
          <w:szCs w:val="18"/>
          <w:color w:val="auto"/>
        </w:rPr>
        <w:t>” means all present and future monies, obligations and liabilities which are from time to time due, owing or incurred in whatever manner by the Company to the Secured Parties under the terms of the Loan Note Documents, whether actual or contingent and whether owed jointly or severally, as principal or surety or in any other capacity whatsoever;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the Security Agent, any Receiver or Delegate and each Noteholder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960" w:hanging="532"/>
        <w:spacing w:after="0"/>
        <w:tabs>
          <w:tab w:leader="none" w:pos="96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Debentures;</w:t>
      </w:r>
    </w:p>
    <w:p>
      <w:pPr>
        <w:spacing w:after="0" w:line="130"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entered into at any time by the Company creating any guarantee, indemnity, Security Interest or other assurance against financial loss in favour of any of the Secured Parties as security for any of the Secured Liabilities;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Interest granted under any covenant for further assurance in any of the documents set out in paragraphs (a) to (b) above.</w:t>
      </w:r>
    </w:p>
    <w:p>
      <w:pPr>
        <w:spacing w:after="0" w:line="221" w:lineRule="exact"/>
        <w:rPr>
          <w:sz w:val="20"/>
          <w:szCs w:val="20"/>
          <w:color w:val="auto"/>
        </w:rPr>
      </w:pPr>
    </w:p>
    <w:p>
      <w:pPr>
        <w:ind w:left="440"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means any mortgage, charge, pledge, hypothecation, lien or other form of security interest securing any obligation of any person or any other agreement or arrangement having a similar effect;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Trust Deed</w:t>
      </w:r>
      <w:r>
        <w:rPr>
          <w:rFonts w:ascii="Times New Roman" w:cs="Times New Roman" w:eastAsia="Times New Roman" w:hAnsi="Times New Roman"/>
          <w:sz w:val="18"/>
          <w:szCs w:val="18"/>
          <w:color w:val="auto"/>
        </w:rPr>
        <w:t>” means the security trust deed between the Company and the Security Agent and dated 23 May 2023;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Agent</w:t>
      </w:r>
      <w:r>
        <w:rPr>
          <w:rFonts w:ascii="Times New Roman" w:cs="Times New Roman" w:eastAsia="Times New Roman" w:hAnsi="Times New Roman"/>
          <w:sz w:val="18"/>
          <w:szCs w:val="18"/>
          <w:color w:val="auto"/>
        </w:rPr>
        <w:t>” means GLAS Trust Corporation Limited or any successor security agent;</w:t>
      </w:r>
    </w:p>
    <w:p>
      <w:pPr>
        <w:spacing w:after="0" w:line="225" w:lineRule="exact"/>
        <w:rPr>
          <w:sz w:val="20"/>
          <w:szCs w:val="20"/>
          <w:color w:val="auto"/>
        </w:rPr>
      </w:pPr>
    </w:p>
    <w:p>
      <w:pPr>
        <w:ind w:left="440" w:right="6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means the ordinary shares or other equivalent Equity Securities (including in the form of American Depositary Receipts or other depository instruments) of the Company or the ultimate parent company of the Group (including any Listed Entity) from time to time;</w:t>
      </w:r>
    </w:p>
    <w:p>
      <w:pPr>
        <w:spacing w:after="0" w:line="132" w:lineRule="exact"/>
        <w:rPr>
          <w:sz w:val="20"/>
          <w:szCs w:val="20"/>
          <w:color w:val="auto"/>
        </w:rPr>
      </w:pPr>
    </w:p>
    <w:p>
      <w:pPr>
        <w:ind w:left="44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SPAC</w:t>
      </w:r>
      <w:r>
        <w:rPr>
          <w:rFonts w:ascii="Times New Roman" w:cs="Times New Roman" w:eastAsia="Times New Roman" w:hAnsi="Times New Roman"/>
          <w:sz w:val="18"/>
          <w:szCs w:val="18"/>
          <w:color w:val="auto"/>
        </w:rPr>
        <w:t>” means a special purpose acquisition company, blank check company or similar entity incorporated, formed or otherwise organised for the purpose of effecting a merger, share exchange, asset acquisition, share purchase, reorganisation, contribution, consolidation or similar business combination with one or more businesses or entities, including Armada Acquisition Corp I;</w:t>
      </w:r>
    </w:p>
    <w:p>
      <w:pPr>
        <w:spacing w:after="0" w:line="171"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Debenture</w:t>
      </w:r>
      <w:r>
        <w:rPr>
          <w:rFonts w:ascii="Times New Roman" w:cs="Times New Roman" w:eastAsia="Times New Roman" w:hAnsi="Times New Roman"/>
          <w:sz w:val="18"/>
          <w:szCs w:val="18"/>
          <w:color w:val="auto"/>
        </w:rPr>
        <w:t>” means the debenture creating a fixed and floating charge over the Company’s assets entered into by the Company in favour of the Security Agent on 23 May 2023;</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Lender</w:t>
      </w:r>
      <w:r>
        <w:rPr>
          <w:rFonts w:ascii="Times New Roman" w:cs="Times New Roman" w:eastAsia="Times New Roman" w:hAnsi="Times New Roman"/>
          <w:sz w:val="18"/>
          <w:szCs w:val="18"/>
          <w:color w:val="auto"/>
        </w:rPr>
        <w:t>” means a person or entity who is not a Noteholder;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during which trading in the Shares occurs on a Qualifying Exchange;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Yorkville</w:t>
      </w:r>
      <w:r>
        <w:rPr>
          <w:rFonts w:ascii="Times New Roman" w:cs="Times New Roman" w:eastAsia="Times New Roman" w:hAnsi="Times New Roman"/>
          <w:sz w:val="18"/>
          <w:szCs w:val="18"/>
          <w:color w:val="auto"/>
        </w:rPr>
        <w:t>” means Yorkville Advisors Global, LP and its affiliates.</w:t>
      </w:r>
    </w:p>
    <w:p>
      <w:pPr>
        <w:spacing w:after="0" w:line="252" w:lineRule="exact"/>
        <w:rPr>
          <w:sz w:val="20"/>
          <w:szCs w:val="20"/>
          <w:color w:val="auto"/>
        </w:rPr>
      </w:pPr>
    </w:p>
    <w:p>
      <w:pPr>
        <w:jc w:val="both"/>
        <w:ind w:left="420" w:right="500" w:hanging="431"/>
        <w:spacing w:after="0" w:line="268" w:lineRule="auto"/>
        <w:tabs>
          <w:tab w:leader="none" w:pos="400" w:val="left"/>
        </w:tabs>
        <w:rPr>
          <w:sz w:val="20"/>
          <w:szCs w:val="20"/>
          <w:color w:val="auto"/>
        </w:rPr>
      </w:pPr>
      <w:r>
        <w:rPr>
          <w:rFonts w:ascii="Times New Roman" w:cs="Times New Roman" w:eastAsia="Times New Roman" w:hAnsi="Times New Roman"/>
          <w:sz w:val="18"/>
          <w:szCs w:val="18"/>
          <w:color w:val="auto"/>
        </w:rPr>
        <w:t>1.2</w:t>
        <w:tab/>
        <w:t>References to the word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(or any similar term) are not to be construed as implying any limitation and general words introduced by the word “other” (or any similar term) shall not be given a restrictive meaning by reason of the fact that they are preceded or followed by words indicating a particular class of acts, matters or things.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7" w:right="459" w:bottom="1440" w:gutter="0" w:footer="0" w:header="0"/>
        </w:sectPr>
      </w:pPr>
    </w:p>
    <w:bookmarkStart w:id="625" w:name="page626"/>
    <w:bookmarkEnd w:id="625"/>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w:t>
        <w:tab/>
        <w:t>The schedules and the appendices to this Instrument form part of (and are incorporated into) this Instrument.</w:t>
      </w:r>
    </w:p>
    <w:p>
      <w:pPr>
        <w:spacing w:after="0" w:line="1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includes a corporate or unincorporated body.</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Words in the singular include the plural and in the plural include the singular.</w:t>
      </w:r>
    </w:p>
    <w:p>
      <w:pPr>
        <w:spacing w:after="0" w:line="131"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1.6</w:t>
        <w:tab/>
        <w:t>A reference to a paragraph, a schedule or an annex is (unless expressly stated otherwise) a reference to a paragraph of, or schedule to, or annex to this Instrument.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1.7</w:t>
        <w:tab/>
        <w:t>Paragraph, schedule and annex headings do not affect the interpretation of this Instrument.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1.8</w:t>
        <w:tab/>
        <w:t>A reference to one gender includes a reference to the other gender.</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1.9</w:t>
        <w:tab/>
        <w:t>Except as otherwise provided, expressions defined in the Companies Act 2006 shall be read as if defined in that way in this Instrument.</w:t>
      </w:r>
    </w:p>
    <w:p>
      <w:pPr>
        <w:spacing w:after="0" w:line="131"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1.10 A reference to a party shall include that party’s successors and assigns and permitted transferees and this instrument shall be binding on, and enure to the benefit of, the parties to this Instrument and their respective successors, permitted assigns and permitted transferees.</w:t>
      </w:r>
    </w:p>
    <w:p>
      <w:pPr>
        <w:spacing w:after="0" w:line="67" w:lineRule="exact"/>
        <w:rPr>
          <w:sz w:val="20"/>
          <w:szCs w:val="20"/>
          <w:color w:val="auto"/>
        </w:rPr>
      </w:pPr>
    </w:p>
    <w:p>
      <w:pPr>
        <w:jc w:val="both"/>
        <w:ind w:left="424" w:right="240" w:hanging="431"/>
        <w:spacing w:after="0" w:line="266" w:lineRule="auto"/>
        <w:rPr>
          <w:sz w:val="20"/>
          <w:szCs w:val="20"/>
          <w:color w:val="auto"/>
        </w:rPr>
      </w:pPr>
      <w:r>
        <w:rPr>
          <w:rFonts w:ascii="Times New Roman" w:cs="Times New Roman" w:eastAsia="Times New Roman" w:hAnsi="Times New Roman"/>
          <w:sz w:val="18"/>
          <w:szCs w:val="18"/>
          <w:color w:val="auto"/>
        </w:rPr>
        <w:t>1.11 Where, for any purpose under this Instrument, an amount is required to be converted from one currency into any other currency or an exchange rate is otherwise to be applied for any purpose, the Directors (acting reasonably) may determine which exchange rate is used and the date on or date range over which such exchange rate is taken and/or applied.</w:t>
      </w:r>
    </w:p>
    <w:p>
      <w:pPr>
        <w:spacing w:after="0" w:line="81"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1.12 Reference to this Instrument or any other agreement or instrument is (unless expressed to be a reference to such document, agreement or instrument in its original form or form as at a particular date) a reference to this Instrument or other agreement or instrument as amended, novated, supplemented, extended or restated (howsoever fundamentally) and includes any increase in, addition to or extension of any amount made available under, or other change to any Loan Note Document.</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1.13  Reference to a provision of law is a reference to that provision as amended or re-enacted.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1.14  A reference to “the date of this Instrument” means 26 January 2024.</w:t>
      </w:r>
    </w:p>
    <w:p>
      <w:pPr>
        <w:spacing w:after="0" w:line="370" w:lineRule="exact"/>
        <w:rPr>
          <w:sz w:val="20"/>
          <w:szCs w:val="20"/>
          <w:color w:val="auto"/>
        </w:rPr>
      </w:pPr>
    </w:p>
    <w:p>
      <w:pPr>
        <w:ind w:left="424" w:hanging="424"/>
        <w:spacing w:after="0"/>
        <w:tabs>
          <w:tab w:leader="none" w:pos="424" w:val="left"/>
        </w:tabs>
        <w:numPr>
          <w:ilvl w:val="0"/>
          <w:numId w:val="6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Amount</w:t>
      </w:r>
    </w:p>
    <w:p>
      <w:pPr>
        <w:spacing w:after="0" w:line="121" w:lineRule="exact"/>
        <w:rPr>
          <w:rFonts w:ascii="Times New Roman" w:cs="Times New Roman" w:eastAsia="Times New Roman" w:hAnsi="Times New Roman"/>
          <w:sz w:val="18"/>
          <w:szCs w:val="18"/>
          <w:b w:val="1"/>
          <w:bCs w:val="1"/>
          <w:color w:val="auto"/>
        </w:rPr>
      </w:pPr>
    </w:p>
    <w:p>
      <w:pPr>
        <w:ind w:left="444" w:righ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amount of each Note is $1.00 and the maximum aggregate principal amount of all the Notes issued under this Instrument is $49,892,080. The Notes shall be known as the 7.50% Senior Secured Convertible Loan Notes.</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upon Demerger</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Concurrent with the occurrence of a Demerger:</w:t>
      </w:r>
    </w:p>
    <w:p>
      <w:pPr>
        <w:spacing w:after="0" w:line="1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3.1</w:t>
        <w:tab/>
        <w:t>the Company shall issue $8,500,000 additional Notes (the “</w:t>
      </w:r>
      <w:r>
        <w:rPr>
          <w:rFonts w:ascii="Times New Roman" w:cs="Times New Roman" w:eastAsia="Times New Roman" w:hAnsi="Times New Roman"/>
          <w:sz w:val="18"/>
          <w:szCs w:val="18"/>
          <w:b w:val="1"/>
          <w:bCs w:val="1"/>
          <w:color w:val="auto"/>
        </w:rPr>
        <w:t>Apeiron Demerger</w:t>
      </w:r>
    </w:p>
    <w:p>
      <w:pPr>
        <w:spacing w:after="0" w:line="162"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626" w:name="page627"/>
    <w:bookmarkEnd w:id="626"/>
    <w:p>
      <w:pPr>
        <w:ind w:left="444" w:right="30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Notes</w:t>
      </w:r>
      <w:r>
        <w:rPr>
          <w:rFonts w:ascii="Times New Roman" w:cs="Times New Roman" w:eastAsia="Times New Roman" w:hAnsi="Times New Roman"/>
          <w:sz w:val="18"/>
          <w:szCs w:val="18"/>
          <w:color w:val="auto"/>
        </w:rPr>
        <w:t>”) to Apeiron (or its designee) and no consideration shall be payable by Apeiron (or its designee) in respect of such Apeiron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Demerger Additional Notes. The Apeiron Demerger Additional Notes shall be identical to, and fungible with, all other Notes issued under this Instrument including, for the avoidance of doubt, that interest shall be deemed to accrue on the Apeiron Demerger Additional Notes from 11 January 2024;</w:t>
      </w:r>
    </w:p>
    <w:p>
      <w:pPr>
        <w:spacing w:after="0" w:line="86"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3.2</w:t>
        <w:tab/>
        <w:t>it is acknowledged and agreed that the obligations under the Notes (including for the avoidance of doubt, the Apeiron Demerger Additional Notes) and this Instrument will be assigned to and assumed by NewCo on consummation of the Demerger. For the avoidance of doubt, following a Demerger the assigned and assumed Notes will continue to benefit from Security Interests with respect to NewCo and its assets at least as favorable as the Security Interests with respect to the Company and its assets; and</w:t>
      </w:r>
    </w:p>
    <w:p>
      <w:pPr>
        <w:spacing w:after="0" w:line="85" w:lineRule="exact"/>
        <w:rPr>
          <w:sz w:val="20"/>
          <w:szCs w:val="20"/>
          <w:color w:val="auto"/>
        </w:rPr>
      </w:pPr>
    </w:p>
    <w:p>
      <w:pPr>
        <w:ind w:left="424" w:right="24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3.3</w:t>
        <w:tab/>
        <w:t>the Company and NewCo shall take any and all actions (at their own expense) as may be required by Apeiron to give effect to the provisions in paragraphs 3.1 and</w:t>
      </w: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3.2</w:t>
        <w:tab/>
        <w:t>above.</w:t>
      </w:r>
    </w:p>
    <w:p>
      <w:pPr>
        <w:spacing w:after="0" w:line="351" w:lineRule="exact"/>
        <w:rPr>
          <w:sz w:val="20"/>
          <w:szCs w:val="20"/>
          <w:color w:val="auto"/>
        </w:rPr>
      </w:pPr>
    </w:p>
    <w:p>
      <w:pPr>
        <w:ind w:left="424" w:hanging="424"/>
        <w:spacing w:after="0"/>
        <w:tabs>
          <w:tab w:leader="none" w:pos="424" w:val="left"/>
        </w:tabs>
        <w:numPr>
          <w:ilvl w:val="0"/>
          <w:numId w:val="6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Ranking and Status</w:t>
      </w:r>
    </w:p>
    <w:p>
      <w:pPr>
        <w:spacing w:after="0" w:line="133" w:lineRule="exact"/>
        <w:rPr>
          <w:sz w:val="20"/>
          <w:szCs w:val="20"/>
          <w:color w:val="auto"/>
        </w:rPr>
      </w:pPr>
    </w:p>
    <w:p>
      <w:pPr>
        <w:ind w:left="424" w:right="460" w:hanging="431"/>
        <w:spacing w:after="0" w:line="284" w:lineRule="auto"/>
        <w:tabs>
          <w:tab w:leader="none" w:pos="404" w:val="left"/>
        </w:tabs>
        <w:rPr>
          <w:sz w:val="20"/>
          <w:szCs w:val="20"/>
          <w:color w:val="auto"/>
        </w:rPr>
      </w:pPr>
      <w:r>
        <w:rPr>
          <w:rFonts w:ascii="Times New Roman" w:cs="Times New Roman" w:eastAsia="Times New Roman" w:hAnsi="Times New Roman"/>
          <w:sz w:val="18"/>
          <w:szCs w:val="18"/>
          <w:color w:val="auto"/>
        </w:rPr>
        <w:t>4.1</w:t>
        <w:tab/>
        <w:t xml:space="preserve">All the Notes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equally and rateably, without discrimination or preference and as secured obligations of the Company in accordance with this Instrument.</w:t>
      </w:r>
    </w:p>
    <w:p>
      <w:pPr>
        <w:spacing w:after="0" w:line="66" w:lineRule="exact"/>
        <w:rPr>
          <w:sz w:val="20"/>
          <w:szCs w:val="20"/>
          <w:color w:val="auto"/>
        </w:rPr>
      </w:pPr>
    </w:p>
    <w:p>
      <w:pPr>
        <w:ind w:left="424" w:right="6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4.2</w:t>
        <w:tab/>
        <w:t>The Notes shall be issued and held subject to and with the benefit of the provisions of this Instrument (including the Conditions set out in Schedule B). All such provisions shall be binding on the Company and the Noteholders and all persons claiming through or under them respectively and shall enure for the benefit of all Noteholders.</w:t>
      </w:r>
    </w:p>
    <w:p>
      <w:pPr>
        <w:spacing w:after="0" w:line="79" w:lineRule="exact"/>
        <w:rPr>
          <w:sz w:val="20"/>
          <w:szCs w:val="20"/>
          <w:color w:val="auto"/>
        </w:rPr>
      </w:pPr>
    </w:p>
    <w:p>
      <w:pPr>
        <w:ind w:left="424" w:right="140" w:hanging="431"/>
        <w:spacing w:after="0" w:line="284" w:lineRule="auto"/>
        <w:tabs>
          <w:tab w:leader="none" w:pos="404" w:val="left"/>
        </w:tabs>
        <w:rPr>
          <w:sz w:val="20"/>
          <w:szCs w:val="20"/>
          <w:color w:val="auto"/>
        </w:rPr>
      </w:pPr>
      <w:r>
        <w:rPr>
          <w:rFonts w:ascii="Times New Roman" w:cs="Times New Roman" w:eastAsia="Times New Roman" w:hAnsi="Times New Roman"/>
          <w:sz w:val="18"/>
          <w:szCs w:val="18"/>
          <w:color w:val="auto"/>
        </w:rPr>
        <w:t>4.3</w:t>
        <w:tab/>
        <w:t xml:space="preserve">The Notes will be senior indebtedness of the Company,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present and future senior debt and senior in right of payment to any present and future subordinated debt and/or equity of the Company.</w:t>
      </w:r>
    </w:p>
    <w:p>
      <w:pPr>
        <w:spacing w:after="0" w:line="64" w:lineRule="exact"/>
        <w:rPr>
          <w:sz w:val="20"/>
          <w:szCs w:val="20"/>
          <w:color w:val="auto"/>
        </w:rPr>
      </w:pPr>
    </w:p>
    <w:p>
      <w:pPr>
        <w:ind w:left="424" w:right="3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4.4</w:t>
        <w:tab/>
        <w:t xml:space="preserve">The Notes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up to a further $50,000,000 of unsecured senior convertible loan(s) that the Company is entitled to put in place with the consent of the Noteholder Majority (not to be unreasonably withheld or delayed) with a Third Party Lender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provided that the Company, the Third Party Lender and the Noteholders first enter into an intercreditor agreement in relation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Loan on terms satisfactory to the Noteholder Majority.</w:t>
      </w:r>
    </w:p>
    <w:p>
      <w:pPr>
        <w:spacing w:after="0" w:line="326" w:lineRule="exact"/>
        <w:rPr>
          <w:sz w:val="20"/>
          <w:szCs w:val="20"/>
          <w:color w:val="auto"/>
        </w:rPr>
      </w:pPr>
    </w:p>
    <w:p>
      <w:pPr>
        <w:ind w:left="424" w:hanging="424"/>
        <w:spacing w:after="0"/>
        <w:tabs>
          <w:tab w:leader="none" w:pos="424" w:val="left"/>
        </w:tabs>
        <w:numPr>
          <w:ilvl w:val="0"/>
          <w:numId w:val="6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w:t>
      </w:r>
    </w:p>
    <w:p>
      <w:pPr>
        <w:spacing w:after="0" w:line="135" w:lineRule="exact"/>
        <w:rPr>
          <w:sz w:val="20"/>
          <w:szCs w:val="20"/>
          <w:color w:val="auto"/>
        </w:rPr>
      </w:pPr>
    </w:p>
    <w:p>
      <w:pPr>
        <w:ind w:left="424" w:right="1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5.1</w:t>
        <w:tab/>
        <w:t>Subject to paragraph 5.2, the Company’s obligations in respect of the Notes shall be secured by the Security Interests established pursuant to the Security Documents.</w:t>
      </w:r>
    </w:p>
    <w:p>
      <w:pPr>
        <w:spacing w:after="0" w:line="67" w:lineRule="exact"/>
        <w:rPr>
          <w:sz w:val="20"/>
          <w:szCs w:val="20"/>
          <w:color w:val="auto"/>
        </w:rPr>
      </w:pPr>
    </w:p>
    <w:p>
      <w:pPr>
        <w:ind w:left="424" w:right="10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5.2</w:t>
        <w:tab/>
        <w:t>Effective upon and concurrent with the consummation of a Qualifying IPO or a Qualifying Business Combination, the Notes shall become unsecured and the Noteholders shall irrevocably waive, release and relinquish (or instruct the Security Agent to do so) all rights any of them may have under the Security Documents, and the Company’s obligations under the Security Documents shall be deemed to be satisfied in full and the Company shall stand released and discharged from all obligations arising under or resulting from the Security Documents and the Security Documents shall be of no further force or effect.</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7" w:right="479" w:bottom="1440" w:gutter="0" w:footer="0" w:header="0"/>
        </w:sectPr>
      </w:pPr>
    </w:p>
    <w:bookmarkStart w:id="627" w:name="page628"/>
    <w:bookmarkEnd w:id="627"/>
    <w:p>
      <w:pPr>
        <w:ind w:left="424" w:right="12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5.3</w:t>
        <w:tab/>
        <w:t>Copies of each Security Document and of the Security Trust Deed shall be available for inspection by the Noteholders during normal business hours at the specified office of the Security Agent (being, at the date of this Instrument, 55 Ludgate Hill, Level 1 West, EC4M 7JW, London, the United Kingdom). The Noteholders are entitled to the benefit of, are bound by, and are deemed to have notice of all the provisions of the Security Trust Deed.</w:t>
      </w:r>
    </w:p>
    <w:p>
      <w:pPr>
        <w:spacing w:after="0" w:line="324" w:lineRule="exact"/>
        <w:rPr>
          <w:sz w:val="20"/>
          <w:szCs w:val="20"/>
          <w:color w:val="auto"/>
        </w:rPr>
      </w:pPr>
    </w:p>
    <w:p>
      <w:pPr>
        <w:ind w:left="424" w:hanging="424"/>
        <w:spacing w:after="0"/>
        <w:tabs>
          <w:tab w:leader="none" w:pos="424" w:val="left"/>
        </w:tabs>
        <w:numPr>
          <w:ilvl w:val="0"/>
          <w:numId w:val="6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w:t>
      </w:r>
    </w:p>
    <w:p>
      <w:pPr>
        <w:spacing w:after="0" w:line="135" w:lineRule="exact"/>
        <w:rPr>
          <w:sz w:val="20"/>
          <w:szCs w:val="20"/>
          <w:color w:val="auto"/>
        </w:rPr>
      </w:pPr>
    </w:p>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6.1</w:t>
        <w:tab/>
        <w:t>The Notes are freely transferable in integral multiples of $1.00. Except where the Notes are deposited with the Clearing System in accordance with paragraph 8.3, the Notes are transferable by instrument in writing in the usual common form (or in such other form as the Directors may approve) and such instrument need not be under seal. Each instrument of transfer shall be signed by the transferor, and the transferor shall be deemed to remain the owner of the Notes to be transferred until the name of the transferee is entered in the Notes register in respect of such Notes. Where the Notes are deposited with the Clearing System in accordance with paragraph 8.3, any transfer must be made in accordance with the rules and procedures of the Clearing System.</w:t>
      </w:r>
    </w:p>
    <w:p>
      <w:pPr>
        <w:spacing w:after="0" w:line="93" w:lineRule="exact"/>
        <w:rPr>
          <w:sz w:val="20"/>
          <w:szCs w:val="20"/>
          <w:color w:val="auto"/>
        </w:rPr>
      </w:pPr>
    </w:p>
    <w:p>
      <w:pPr>
        <w:ind w:left="424" w:right="2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6.2</w:t>
        <w:tab/>
        <w:t>The Company shall recognise the registered holder of any Note as the absolute owner of it and shall not (except as provided by statute or as ordered by a court of competent jurisdiction) be bound to take notice or see to the execution of any trust (whether express, implied or constructive) to which any Note may be subject. The Company shall not (except as provided by statute or as ordered by a court of competent jurisdiction) be bound to enter any notice of any trust (whether express, implied or constructive) on the register in respect of any of the Notes.</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6.3</w:t>
        <w:tab/>
        <w:t>No transfer of Notes shall be registered in respect of which a notice of conversion or redemption has been given by the applicable Noteholder.</w:t>
      </w:r>
    </w:p>
    <w:p>
      <w:pPr>
        <w:spacing w:after="0" w:line="370" w:lineRule="exact"/>
        <w:rPr>
          <w:sz w:val="20"/>
          <w:szCs w:val="20"/>
          <w:color w:val="auto"/>
        </w:rPr>
      </w:pPr>
    </w:p>
    <w:p>
      <w:pPr>
        <w:ind w:left="424" w:hanging="424"/>
        <w:spacing w:after="0"/>
        <w:tabs>
          <w:tab w:leader="none" w:pos="424"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121" w:lineRule="exact"/>
        <w:rPr>
          <w:rFonts w:ascii="Times New Roman" w:cs="Times New Roman" w:eastAsia="Times New Roman" w:hAnsi="Times New Roman"/>
          <w:sz w:val="18"/>
          <w:szCs w:val="18"/>
          <w:b w:val="1"/>
          <w:bCs w:val="1"/>
          <w:color w:val="auto"/>
        </w:rPr>
      </w:pPr>
    </w:p>
    <w:p>
      <w:pPr>
        <w:ind w:left="444"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proceeds of all subscriptions for the Notes shall be used for the purpose of funding the Company’s working capital, capital expenditure requirements and any such other matters as may be approved by the Directors from time to time.</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Certificates</w:t>
      </w:r>
    </w:p>
    <w:p>
      <w:pPr>
        <w:spacing w:after="0" w:line="135" w:lineRule="exact"/>
        <w:rPr>
          <w:sz w:val="20"/>
          <w:szCs w:val="20"/>
          <w:color w:val="auto"/>
        </w:rPr>
      </w:pPr>
    </w:p>
    <w:p>
      <w:pPr>
        <w:jc w:val="both"/>
        <w:ind w:left="424" w:right="8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8.1</w:t>
        <w:tab/>
        <w:t>Each Noteholder or the joint holders of Notes shall be entitled to receive (without charge) a Certificate in substantially the form attached hereto as Schedule A-1 executed as a deed by the Company for the amount of Notes held by him or them, provided that joint holders of Notes will only be entitled to receive one Certificate in respect of their joint holding and delivery of a Certificate to the first-named joint holder set out in the register shall be sufficient delivery to all.</w:t>
      </w:r>
    </w:p>
    <w:p>
      <w:pPr>
        <w:spacing w:after="0" w:line="85" w:lineRule="exact"/>
        <w:rPr>
          <w:sz w:val="20"/>
          <w:szCs w:val="20"/>
          <w:color w:val="auto"/>
        </w:rPr>
      </w:pPr>
    </w:p>
    <w:p>
      <w:pPr>
        <w:ind w:left="424" w:right="1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8.2</w:t>
        <w:tab/>
        <w:t>Where a Noteholder transfers part only of the Notes comprised in a Certificate the old Certificate shall be cancelled and a new Certificate for the balance of such Notes shall be issued without charge.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628" w:name="page629"/>
    <w:bookmarkEnd w:id="628"/>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w:t>
        <w:tab/>
        <w:t>Where any Notes are deposited with the Clearing System for the purpose of being held in safe custody by or for the account of the Clearing System, such Notes shall be represented by a Global Note Certificate in substantially the form attached hereto as Schedule A-2 executed as a deed by the Company for the amount of Notes then deposited with the Clearing System. The Noteholders whose note are deposited with the Clearing System (the “</w:t>
      </w:r>
      <w:r>
        <w:rPr>
          <w:rFonts w:ascii="Times New Roman" w:cs="Times New Roman" w:eastAsia="Times New Roman" w:hAnsi="Times New Roman"/>
          <w:sz w:val="18"/>
          <w:szCs w:val="18"/>
          <w:b w:val="1"/>
          <w:bCs w:val="1"/>
          <w:color w:val="auto"/>
        </w:rPr>
        <w:t>Global Note Noteholders</w:t>
      </w:r>
      <w:r>
        <w:rPr>
          <w:rFonts w:ascii="Times New Roman" w:cs="Times New Roman" w:eastAsia="Times New Roman" w:hAnsi="Times New Roman"/>
          <w:sz w:val="18"/>
          <w:szCs w:val="18"/>
          <w:color w:val="auto"/>
        </w:rPr>
        <w:t>”) will receive proportional co-ownership interests or rights in such Global Note Certificate, which are transferable in accordance with applicable law and the rules and regulations of the Clearing System. Any instructions of Global Note Noteholders must be made in accordance with the rules and procedures of the Clearing System.</w:t>
      </w:r>
    </w:p>
    <w:p>
      <w:pPr>
        <w:spacing w:after="0" w:line="93" w:lineRule="exact"/>
        <w:rPr>
          <w:sz w:val="20"/>
          <w:szCs w:val="20"/>
          <w:color w:val="auto"/>
        </w:rPr>
      </w:pPr>
    </w:p>
    <w:p>
      <w:pPr>
        <w:ind w:left="424" w:right="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8.4</w:t>
        <w:tab/>
        <w:t>If any Certificate is worn out or defaced then on production of it to the Directors they may cancel it and may issue a fresh Certificate in lieu and if any Certificate is lost or destroyed it may be replaced on such terms (if any) as to evidence and indemnity as the Company may reasonably require. An entry as to the issue of the new Certificate and indemnity (if any) shall be made in the register. No fee will be charged for the registration of any transfer or for the registration of any probate, letters of administration, certificate of marriage or death, power of attorney or other documents relating to or effecting title to any Notes.</w:t>
      </w:r>
    </w:p>
    <w:p>
      <w:pPr>
        <w:spacing w:after="0" w:line="328" w:lineRule="exact"/>
        <w:rPr>
          <w:sz w:val="20"/>
          <w:szCs w:val="20"/>
          <w:color w:val="auto"/>
        </w:rPr>
      </w:pPr>
    </w:p>
    <w:p>
      <w:pPr>
        <w:ind w:left="424" w:hanging="424"/>
        <w:spacing w:after="0"/>
        <w:tabs>
          <w:tab w:leader="none" w:pos="424" w:val="left"/>
        </w:tabs>
        <w:numPr>
          <w:ilvl w:val="0"/>
          <w:numId w:val="6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135" w:lineRule="exact"/>
        <w:rPr>
          <w:sz w:val="20"/>
          <w:szCs w:val="20"/>
          <w:color w:val="auto"/>
        </w:rPr>
      </w:pPr>
    </w:p>
    <w:p>
      <w:pPr>
        <w:ind w:left="424" w:right="2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9.1</w:t>
        <w:tab/>
        <w:t>The Notes shall be issued subject to, and with the benefit of, the Conditions set out in Schedule B and such Conditions shall form a part of this Instrument and shall be binding on the Company and the Noteholders and all persons claiming through or under them.</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9.2</w:t>
        <w:tab/>
        <w:t>Interest shall accrue on the Notes at the rate and in the manner set forth in the Conditions.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9.3</w:t>
        <w:tab/>
        <w:t>All Notes redeemed or converted in accordance with the Conditions shall be automatically and immediately cancelled and shall not be reissued.</w:t>
      </w:r>
    </w:p>
    <w:p>
      <w:pPr>
        <w:spacing w:after="0" w:line="370" w:lineRule="exact"/>
        <w:rPr>
          <w:sz w:val="20"/>
          <w:szCs w:val="20"/>
          <w:color w:val="auto"/>
        </w:rPr>
      </w:pPr>
    </w:p>
    <w:p>
      <w:pPr>
        <w:ind w:left="424" w:hanging="424"/>
        <w:spacing w:after="0"/>
        <w:tabs>
          <w:tab w:leader="none" w:pos="424"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Register</w:t>
      </w:r>
    </w:p>
    <w:p>
      <w:pPr>
        <w:spacing w:after="0" w:line="135"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10.1 The Company or, where the Notes are deposited with the Clearing System, the Registrar shall keep or cause to be kept a register of the Notes at its registered office showing:</w:t>
      </w:r>
    </w:p>
    <w:p>
      <w:pPr>
        <w:spacing w:after="0" w:line="67" w:lineRule="exact"/>
        <w:rPr>
          <w:sz w:val="20"/>
          <w:szCs w:val="20"/>
          <w:color w:val="auto"/>
        </w:rPr>
      </w:pPr>
    </w:p>
    <w:p>
      <w:pPr>
        <w:ind w:left="964" w:hanging="532"/>
        <w:spacing w:after="0"/>
        <w:tabs>
          <w:tab w:leader="none" w:pos="964"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Noteholders for the time being of the Notes;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Notes held by every Noteholder;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name of such Noteholder is entered in respect of such Notes standing in his name;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person ceased to hold the Notes.</w:t>
      </w:r>
    </w:p>
    <w:p>
      <w:pPr>
        <w:spacing w:after="0" w:line="131" w:lineRule="exact"/>
        <w:rPr>
          <w:sz w:val="20"/>
          <w:szCs w:val="20"/>
          <w:color w:val="auto"/>
        </w:rPr>
      </w:pPr>
    </w:p>
    <w:p>
      <w:pPr>
        <w:ind w:left="424" w:right="380" w:hanging="431"/>
        <w:spacing w:after="0" w:line="282" w:lineRule="auto"/>
        <w:rPr>
          <w:sz w:val="20"/>
          <w:szCs w:val="20"/>
          <w:color w:val="auto"/>
        </w:rPr>
      </w:pPr>
      <w:r>
        <w:rPr>
          <w:rFonts w:ascii="Times New Roman" w:cs="Times New Roman" w:eastAsia="Times New Roman" w:hAnsi="Times New Roman"/>
          <w:sz w:val="18"/>
          <w:szCs w:val="18"/>
          <w:color w:val="auto"/>
        </w:rPr>
        <w:t>10.2 Any change of name or address on the part of any Noteholder shall promptly be notified to the Company and, on receipt, the register shall be altered accordingly.</w:t>
      </w:r>
    </w:p>
    <w:p>
      <w:pPr>
        <w:spacing w:after="0" w:line="67" w:lineRule="exact"/>
        <w:rPr>
          <w:sz w:val="20"/>
          <w:szCs w:val="20"/>
          <w:color w:val="auto"/>
        </w:rPr>
      </w:pPr>
    </w:p>
    <w:p>
      <w:pPr>
        <w:ind w:left="424" w:right="60" w:hanging="431"/>
        <w:spacing w:after="0" w:line="282" w:lineRule="auto"/>
        <w:rPr>
          <w:sz w:val="20"/>
          <w:szCs w:val="20"/>
          <w:color w:val="auto"/>
        </w:rPr>
      </w:pPr>
      <w:r>
        <w:rPr>
          <w:rFonts w:ascii="Times New Roman" w:cs="Times New Roman" w:eastAsia="Times New Roman" w:hAnsi="Times New Roman"/>
          <w:sz w:val="18"/>
          <w:szCs w:val="18"/>
          <w:color w:val="auto"/>
        </w:rPr>
        <w:t>10.3 The Noteholders or any of them and any person authorised in writing by any of them shall be at liberty at all reasonable times during office hours to inspect the register and to take copies of it or extracts from it.</w:t>
      </w:r>
    </w:p>
    <w:p>
      <w:pPr>
        <w:spacing w:after="0" w:line="306" w:lineRule="exact"/>
        <w:rPr>
          <w:sz w:val="20"/>
          <w:szCs w:val="20"/>
          <w:color w:val="auto"/>
        </w:rPr>
      </w:pPr>
    </w:p>
    <w:p>
      <w:pPr>
        <w:ind w:left="424" w:hanging="424"/>
        <w:spacing w:after="0"/>
        <w:tabs>
          <w:tab w:leader="none" w:pos="424" w:val="left"/>
        </w:tabs>
        <w:numPr>
          <w:ilvl w:val="0"/>
          <w:numId w:val="6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Set-Off</w:t>
      </w:r>
    </w:p>
    <w:p>
      <w:pPr>
        <w:spacing w:after="0" w:line="135" w:lineRule="exact"/>
        <w:rPr>
          <w:sz w:val="20"/>
          <w:szCs w:val="20"/>
          <w:color w:val="auto"/>
        </w:rPr>
      </w:pPr>
    </w:p>
    <w:p>
      <w:pPr>
        <w:ind w:left="424" w:right="60" w:hanging="431"/>
        <w:spacing w:after="0" w:line="282" w:lineRule="auto"/>
        <w:rPr>
          <w:sz w:val="20"/>
          <w:szCs w:val="20"/>
          <w:color w:val="auto"/>
        </w:rPr>
      </w:pPr>
      <w:r>
        <w:rPr>
          <w:rFonts w:ascii="Times New Roman" w:cs="Times New Roman" w:eastAsia="Times New Roman" w:hAnsi="Times New Roman"/>
          <w:sz w:val="18"/>
          <w:szCs w:val="18"/>
          <w:color w:val="auto"/>
        </w:rPr>
        <w:t>11.1 Every Noteholder shall be recognised by the Company as entitled to their Notes free from any equity, set-off, counterclaim or cross-claim against the original or an intermediate holder of such Notes.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1" w:right="499" w:bottom="1440" w:gutter="0" w:footer="0" w:header="0"/>
        </w:sectPr>
      </w:pPr>
    </w:p>
    <w:bookmarkStart w:id="629" w:name="page630"/>
    <w:bookmarkEnd w:id="629"/>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 Payments of principal and interest in respect of the Notes shall be paid by the Company to the Noteholders in accordance with the Conditions without any deduction or withholding (whether in respect of any set-off, counterclaim, cross- claim or otherwise whatsoever) unless the deduction or withholding is required by applicable law.</w:t>
      </w:r>
    </w:p>
    <w:p>
      <w:pPr>
        <w:spacing w:after="0" w:line="320" w:lineRule="exact"/>
        <w:rPr>
          <w:sz w:val="20"/>
          <w:szCs w:val="20"/>
          <w:color w:val="auto"/>
        </w:rPr>
      </w:pPr>
    </w:p>
    <w:p>
      <w:pPr>
        <w:ind w:left="424" w:hanging="424"/>
        <w:spacing w:after="0"/>
        <w:tabs>
          <w:tab w:leader="none" w:pos="424"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121" w:lineRule="exact"/>
        <w:rPr>
          <w:rFonts w:ascii="Times New Roman" w:cs="Times New Roman" w:eastAsia="Times New Roman" w:hAnsi="Times New Roman"/>
          <w:sz w:val="18"/>
          <w:szCs w:val="18"/>
          <w:b w:val="1"/>
          <w:bCs w:val="1"/>
          <w:color w:val="auto"/>
        </w:rPr>
      </w:pPr>
    </w:p>
    <w:p>
      <w:pPr>
        <w:ind w:left="444"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with each of the Noteholders to perform and observe the obligations in this Instrument to the intent that this Instrument shall enure for the benefit of all persons for the time being registered as holders of any Notes, each of whom may, subject to the prior written consent of a Noteholder Majority, sue for the performance and observance of the provisions of this Instrument so far as his or her holding is concerned.</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Rights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Instrument is enforceable under the Contracts (Rights of Third Parties) Act 1999 by the Company, the Security Agent, the Paying Agent, the Registrar and any Noteholder, but not by any other person.</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Notices to be made to or by any Noteholder for the purposes of this Instrument shall be given in accordance with Condition 14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w:t>
      </w:r>
    </w:p>
    <w:p>
      <w:pPr>
        <w:spacing w:after="0" w:line="37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Variations</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Variations to this Instrument or the Notes shall be made in accordance with Condition 15 (</w:t>
      </w:r>
      <w:r>
        <w:rPr>
          <w:rFonts w:ascii="Times New Roman" w:cs="Times New Roman" w:eastAsia="Times New Roman" w:hAnsi="Times New Roman"/>
          <w:sz w:val="18"/>
          <w:szCs w:val="18"/>
          <w:i w:val="1"/>
          <w:iCs w:val="1"/>
          <w:color w:val="auto"/>
        </w:rPr>
        <w:t>Variations</w:t>
      </w:r>
      <w:r>
        <w:rPr>
          <w:rFonts w:ascii="Times New Roman" w:cs="Times New Roman" w:eastAsia="Times New Roman" w:hAnsi="Times New Roman"/>
          <w:sz w:val="18"/>
          <w:szCs w:val="18"/>
          <w:color w:val="auto"/>
        </w:rPr>
        <w:t>).</w:t>
      </w:r>
    </w:p>
    <w:p>
      <w:pPr>
        <w:spacing w:after="0" w:line="37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135" w:lineRule="exact"/>
        <w:rPr>
          <w:sz w:val="20"/>
          <w:szCs w:val="20"/>
          <w:color w:val="auto"/>
        </w:rPr>
      </w:pPr>
    </w:p>
    <w:p>
      <w:pPr>
        <w:ind w:left="424" w:right="300" w:hanging="431"/>
        <w:spacing w:after="0" w:line="282" w:lineRule="auto"/>
        <w:rPr>
          <w:sz w:val="20"/>
          <w:szCs w:val="20"/>
          <w:color w:val="auto"/>
        </w:rPr>
      </w:pPr>
      <w:r>
        <w:rPr>
          <w:rFonts w:ascii="Times New Roman" w:cs="Times New Roman" w:eastAsia="Times New Roman" w:hAnsi="Times New Roman"/>
          <w:sz w:val="18"/>
          <w:szCs w:val="18"/>
          <w:color w:val="auto"/>
        </w:rPr>
        <w:t>16.1 This Instrument and the Notes, and any claim, dispute or issue arising out of or in connection with this instrument or the Notes or their subject matter (including non- contractual claims), will be governed by, and construed in accordance with, the laws of England.</w:t>
      </w:r>
    </w:p>
    <w:p>
      <w:pPr>
        <w:spacing w:after="0" w:line="67" w:lineRule="exact"/>
        <w:rPr>
          <w:sz w:val="20"/>
          <w:szCs w:val="20"/>
          <w:color w:val="auto"/>
        </w:rPr>
      </w:pPr>
    </w:p>
    <w:p>
      <w:pPr>
        <w:jc w:val="both"/>
        <w:ind w:left="424" w:right="180" w:hanging="431"/>
        <w:spacing w:after="0" w:line="266" w:lineRule="auto"/>
        <w:rPr>
          <w:sz w:val="20"/>
          <w:szCs w:val="20"/>
          <w:color w:val="auto"/>
        </w:rPr>
      </w:pPr>
      <w:r>
        <w:rPr>
          <w:rFonts w:ascii="Times New Roman" w:cs="Times New Roman" w:eastAsia="Times New Roman" w:hAnsi="Times New Roman"/>
          <w:sz w:val="18"/>
          <w:szCs w:val="18"/>
          <w:color w:val="auto"/>
        </w:rPr>
        <w:t>16.2 The courts of England shall have exclusive jurisdiction to settle any dispute which may arise out of, or in connection with, this Instrument or its subject matter (including non-contractual claims). Accordingly, any proceedings relating to, or in connection with, this Instrument or the Notes may be brought in such courts.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70" w:right="499" w:bottom="1440" w:gutter="0" w:footer="0" w:header="0"/>
        </w:sectPr>
      </w:pPr>
    </w:p>
    <w:bookmarkStart w:id="630" w:name="page631"/>
    <w:bookmarkEnd w:id="63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Note Certificate</w:t>
      </w:r>
    </w:p>
    <w:p>
      <w:pPr>
        <w:spacing w:after="0" w:line="225"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b w:val="1"/>
          <w:bCs w:val="1"/>
          <w:color w:val="auto"/>
        </w:rPr>
        <w:t>THIS NOTE AND THE SHARES TO BE DELIVERED UPON THE CONVERSION OF THIS NOTE HAVE NOT BEEN AND WILL NOT BE REGISTERED UNDER THE UNITED STATES SECURITIES ACT OF 1933, AS AMENDED (THE “SECURITIES ACT”). NEITHER THIS NOTE NOR ANY PORTION HEREOF MAY BE OFFERED OR SOLD WITHIN THE UNITED STATES OF AMERICA UNLESS AN EXEMPTION FROM THE REGISTRATION REQUIREMENTS OF THE SECURITIES ACT IS AVAILABLE. THE NOTE MAY NOT BE CONVERTED INTO SHARES BY OR ON BEHALF OF A PERSON LOCATED WITHIN THE UNITED STATES UNLESS REGISTERED UNDER THE SECURITIES ACT OR AN EXEMPTION FROM SUCH REGISTRATION IS AVAILABLE.</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Incorporated in England and Wales (registered number 09773823) (“Company”)</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 NO.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-7620</wp:posOffset>
            </wp:positionV>
            <wp:extent cx="34290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 OF NOTES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-19050</wp:posOffset>
            </wp:positionV>
            <wp:extent cx="34290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DATE OF ISSUE: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-19050</wp:posOffset>
            </wp:positionV>
            <wp:extent cx="3429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7.50% Senior Secured Convertible Loan Notes (“Notes”)</w:t>
      </w:r>
    </w:p>
    <w:p>
      <w:pPr>
        <w:spacing w:after="0" w:line="229"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Created and issued pursuant to the articles of association of the Company and created by resolutions of the Directors passed on 31 March 2022, 21 November 2022, 23 May 2023 and [•] 2024.</w:t>
      </w:r>
    </w:p>
    <w:p>
      <w:pPr>
        <w:spacing w:after="0" w:line="158" w:lineRule="exact"/>
        <w:rPr>
          <w:sz w:val="20"/>
          <w:szCs w:val="20"/>
          <w:color w:val="auto"/>
        </w:rPr>
      </w:pPr>
    </w:p>
    <w:p>
      <w:pPr>
        <w:ind w:left="4"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is to certify that </w:t>
      </w:r>
      <w:r>
        <w:rPr>
          <w:rFonts w:ascii="Times New Roman" w:cs="Times New Roman" w:eastAsia="Times New Roman" w:hAnsi="Times New Roman"/>
          <w:sz w:val="18"/>
          <w:szCs w:val="18"/>
          <w:color w:val="auto"/>
        </w:rPr>
        <w:t>[NAME OF NOTEHOLDER] is/are the registered holder(s) of the nominal amount stated above of the Notes constituted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Note Instrument originally dated 16 December 2021, as amended and restated on 21 November 2022 and 23 May 2023 and as further amended on 18 December 2023 and 29 December 2023 and as further amended and restated on [•] 2024 (the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and made by the Company. The Notes are issued subject to, and with the benefit of, the provisions contained in the Instrument and the conditions set forth in Schedule B to the Instrument (the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The Instrument and the Conditions may be varied in accordance with Condition 15 (</w:t>
      </w:r>
      <w:r>
        <w:rPr>
          <w:rFonts w:ascii="Times New Roman" w:cs="Times New Roman" w:eastAsia="Times New Roman" w:hAnsi="Times New Roman"/>
          <w:sz w:val="18"/>
          <w:szCs w:val="18"/>
          <w:i w:val="1"/>
          <w:iCs w:val="1"/>
          <w:color w:val="auto"/>
        </w:rPr>
        <w:t>Variations</w:t>
      </w:r>
      <w:r>
        <w:rPr>
          <w:rFonts w:ascii="Times New Roman" w:cs="Times New Roman" w:eastAsia="Times New Roman" w:hAnsi="Times New Roman"/>
          <w:sz w:val="18"/>
          <w:szCs w:val="18"/>
          <w:color w:val="auto"/>
        </w:rPr>
        <w:t>) of the Notes.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35" w:lineRule="exact"/>
        <w:rPr>
          <w:sz w:val="20"/>
          <w:szCs w:val="20"/>
          <w:color w:val="auto"/>
        </w:rPr>
      </w:pPr>
    </w:p>
    <w:p>
      <w:pPr>
        <w:ind w:left="424" w:hanging="424"/>
        <w:spacing w:after="0"/>
        <w:tabs>
          <w:tab w:leader="none" w:pos="424"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repayable upon maturity and shall bear interest only in accordance with the Conditions.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any part of the Notes represented by this Certificate can be registered without production of this Certificate.</w:t>
      </w:r>
    </w:p>
    <w:p>
      <w:pPr>
        <w:spacing w:after="0" w:line="130"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freely transferable in integral multiples of $1.00 upon notice of transfer to the Company in the form attached to this Certificate as Annex I.</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convertible at the option of the Noteholder in accordance with the Conditions upon notice of conversion to the Company in the form attached to this Certificate as Annex II.</w:t>
      </w:r>
    </w:p>
    <w:p>
      <w:pPr>
        <w:spacing w:after="0" w:line="67"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redeemable at the option of the Noteholder in accordance with the Conditions upon notice of redemption to the Company in the form attached to this Certificate as Annex III.</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24"/>
          </w:cols>
          <w:pgMar w:left="436" w:top="267" w:right="439" w:bottom="1440" w:gutter="0" w:footer="0" w:header="0"/>
        </w:sectPr>
      </w:pPr>
    </w:p>
    <w:bookmarkStart w:id="631" w:name="page632"/>
    <w:bookmarkEnd w:id="631"/>
    <w:p>
      <w:pPr>
        <w:ind w:left="424" w:hanging="424"/>
        <w:spacing w:after="0"/>
        <w:tabs>
          <w:tab w:leader="none" w:pos="42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are governed by, and construed in accordance with, the laws of England.</w:t>
      </w:r>
    </w:p>
    <w:p>
      <w:pPr>
        <w:spacing w:after="0" w:line="130" w:lineRule="exact"/>
        <w:rPr>
          <w:rFonts w:ascii="Times New Roman" w:cs="Times New Roman" w:eastAsia="Times New Roman" w:hAnsi="Times New Roman"/>
          <w:sz w:val="18"/>
          <w:szCs w:val="18"/>
          <w:color w:val="auto"/>
        </w:rPr>
      </w:pPr>
    </w:p>
    <w:p>
      <w:pPr>
        <w:ind w:left="5284" w:right="2999" w:hanging="5284"/>
        <w:spacing w:after="0" w:line="454" w:lineRule="auto"/>
        <w:tabs>
          <w:tab w:leader="none" w:pos="423"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Instrument is available for inspection at the registered office of the Company. A-1-2</w:t>
      </w:r>
    </w:p>
    <w:p>
      <w:pPr>
        <w:sectPr>
          <w:pgSz w:w="11900" w:h="16838" w:orient="portrait"/>
          <w:cols w:equalWidth="0" w:num="1">
            <w:col w:w="10023"/>
          </w:cols>
          <w:pgMar w:left="436" w:top="270" w:right="1440"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has been executed and delivered as a deed on the date first set forth above.</w:t>
      </w:r>
    </w:p>
    <w:p>
      <w:pPr>
        <w:sectPr>
          <w:pgSz w:w="11900" w:h="16838" w:orient="portrait"/>
          <w:cols w:equalWidth="0" w:num="1">
            <w:col w:w="10019"/>
          </w:cols>
          <w:pgMar w:left="440" w:top="271" w:right="1440"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as a deed by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by a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witness: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87" w:lineRule="exact"/>
        <w:rPr>
          <w:sz w:val="20"/>
          <w:szCs w:val="20"/>
          <w:color w:val="auto"/>
        </w:rPr>
      </w:pPr>
    </w:p>
    <w:p>
      <w:pPr>
        <w:sectPr>
          <w:pgSz w:w="11900" w:h="16838" w:orient="portrait"/>
          <w:cols w:equalWidth="0" w:num="2">
            <w:col w:w="3480" w:space="720"/>
            <w:col w:w="5819"/>
          </w:cols>
          <w:pgMar w:left="440" w:top="271" w:right="1440" w:bottom="1440" w:gutter="0" w:footer="0" w:header="0"/>
          <w:type w:val="continuous"/>
        </w:sectPr>
      </w:pPr>
    </w:p>
    <w:p>
      <w:pPr>
        <w:ind w:left="528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019"/>
          </w:cols>
          <w:pgMar w:left="440" w:top="271" w:right="1440" w:bottom="1440" w:gutter="0" w:footer="0" w:header="0"/>
          <w:type w:val="continuous"/>
        </w:sectPr>
      </w:pPr>
    </w:p>
    <w:bookmarkStart w:id="633" w:name="page634"/>
    <w:bookmarkEnd w:id="633"/>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31"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to Schedule A-1</w:t>
      </w:r>
    </w:p>
    <w:p>
      <w:pPr>
        <w:spacing w:after="0" w:line="203"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Form of Notice of Transfer1</w:t>
      </w:r>
    </w:p>
    <w:p>
      <w:pPr>
        <w:spacing w:after="0" w:line="25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The Directors</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Rezolve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Mayfair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center"/>
        <w:ind w:left="600"/>
        <w:spacing w:after="0" w:line="268" w:lineRule="auto"/>
        <w:rPr>
          <w:sz w:val="20"/>
          <w:szCs w:val="20"/>
          <w:color w:val="auto"/>
        </w:rPr>
      </w:pPr>
      <w:r>
        <w:rPr>
          <w:rFonts w:ascii="Times New Roman" w:cs="Times New Roman" w:eastAsia="Times New Roman" w:hAnsi="Times New Roman"/>
          <w:sz w:val="18"/>
          <w:szCs w:val="18"/>
          <w:b w:val="1"/>
          <w:bCs w:val="1"/>
          <w:color w:val="auto"/>
        </w:rPr>
        <w:t>7.50% Senior Secured Convertible Loan Notes, issued by the Company pursuant to an instrument originally dated 16 December 2021, as amended and restated on 21 November 2022 and 23 May 2023 and as further amended on 18 December 2023 and 29 December 2023 and as further amended and restated on [•] 2024 (the “Instrument)</w:t>
      </w:r>
    </w:p>
    <w:p>
      <w:pPr>
        <w:spacing w:after="0" w:line="17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Noteholder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hereby gives notice that it is transferring $[ ] Notes issued pursuant to the Instrument to [</w:t>
      </w:r>
      <w:r>
        <w:rPr>
          <w:rFonts w:ascii="Times New Roman" w:cs="Times New Roman" w:eastAsia="Times New Roman" w:hAnsi="Times New Roman"/>
          <w:sz w:val="18"/>
          <w:szCs w:val="18"/>
          <w:i w:val="1"/>
          <w:iCs w:val="1"/>
          <w:color w:val="auto"/>
        </w:rPr>
        <w:t>name of transferee</w:t>
      </w:r>
      <w:r>
        <w:rPr>
          <w:rFonts w:ascii="Times New Roman" w:cs="Times New Roman" w:eastAsia="Times New Roman" w:hAnsi="Times New Roman"/>
          <w:sz w:val="18"/>
          <w:szCs w:val="18"/>
          <w:color w:val="auto"/>
        </w:rPr>
        <w:t>] of [</w:t>
      </w:r>
      <w:r>
        <w:rPr>
          <w:rFonts w:ascii="Times New Roman" w:cs="Times New Roman" w:eastAsia="Times New Roman" w:hAnsi="Times New Roman"/>
          <w:sz w:val="18"/>
          <w:szCs w:val="18"/>
          <w:i w:val="1"/>
          <w:iCs w:val="1"/>
          <w:color w:val="auto"/>
        </w:rPr>
        <w:t>address of transferee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Transferor encloses its Certificate for cancellation by you. Please would you issue a new Certificate to the Transferee in respect of the Notes so transferred [</w:t>
      </w:r>
      <w:r>
        <w:rPr>
          <w:rFonts w:ascii="Times New Roman" w:cs="Times New Roman" w:eastAsia="Times New Roman" w:hAnsi="Times New Roman"/>
          <w:sz w:val="18"/>
          <w:szCs w:val="18"/>
          <w:i w:val="1"/>
          <w:iCs w:val="1"/>
          <w:color w:val="auto"/>
        </w:rPr>
        <w:t>and a new Certificate to us in respect of the balance of the Notes retained by 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TRANSFEROR</w:t>
      </w: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51396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90">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NOTEHOLDER]</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TRANSFEREE</w:t>
      </w: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7152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1">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251396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2">
                      <a:extLst>
                        <a:ext uri="{28A0092B-C50C-407E-A947-70E740481C1C}"/>
                      </a:extLst>
                    </a:blip>
                    <a:srcRect/>
                    <a:stretch>
                      <a:fillRect/>
                    </a:stretch>
                  </pic:blipFill>
                  <pic:spPr bwMode="auto">
                    <a:xfrm>
                      <a:off x="0" y="0"/>
                      <a:ext cx="25139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24" w:right="220" w:hanging="424"/>
        <w:spacing w:after="0" w:line="210" w:lineRule="auto"/>
        <w:tabs>
          <w:tab w:leader="none" w:pos="424" w:val="left"/>
        </w:tabs>
        <w:numPr>
          <w:ilvl w:val="0"/>
          <w:numId w:val="6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Where the Notes are deposited with the Clearing System, any transfer must be made in accordance with the rules and procedures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Clearing System</w:t>
      </w:r>
    </w:p>
    <w:p>
      <w:pPr>
        <w:spacing w:after="0" w:line="132"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844"/>
          </w:cols>
          <w:pgMar w:left="436" w:top="266" w:right="619" w:bottom="1440" w:gutter="0" w:footer="0" w:header="0"/>
        </w:sectPr>
      </w:pPr>
    </w:p>
    <w:bookmarkStart w:id="634" w:name="page635"/>
    <w:bookmarkEnd w:id="63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Schedule A-1</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Notice of Conversion</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The Directors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Rezolve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Mayfair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center"/>
        <w:ind w:left="560" w:right="40"/>
        <w:spacing w:after="0" w:line="268" w:lineRule="auto"/>
        <w:rPr>
          <w:sz w:val="20"/>
          <w:szCs w:val="20"/>
          <w:color w:val="auto"/>
        </w:rPr>
      </w:pPr>
      <w:r>
        <w:rPr>
          <w:rFonts w:ascii="Times New Roman" w:cs="Times New Roman" w:eastAsia="Times New Roman" w:hAnsi="Times New Roman"/>
          <w:sz w:val="18"/>
          <w:szCs w:val="18"/>
          <w:b w:val="1"/>
          <w:bCs w:val="1"/>
          <w:color w:val="auto"/>
        </w:rPr>
        <w:t>7.50% Senior Secured Convertible Loan Notes, issued by the Company pursuant to an instrument originally dated 16 December 2021, as amended and restated on 21 November 2022 and 23 May 2023 and as further amended on 18 December 2023 and 29 December 2023 and as further amended and restated on [•] 2024 (the “Instrument)</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Noteholder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Exercising Noteholder</w:t>
      </w:r>
      <w:r>
        <w:rPr>
          <w:rFonts w:ascii="Times New Roman" w:cs="Times New Roman" w:eastAsia="Times New Roman" w:hAnsi="Times New Roman"/>
          <w:sz w:val="18"/>
          <w:szCs w:val="18"/>
          <w:color w:val="auto"/>
        </w:rPr>
        <w:t>”) hereby gives notice to the Company that it is exercising its right to convert $[    ] Notes issued pursuant to the Instrument into Shares in accordance with [</w:t>
      </w:r>
      <w:r>
        <w:rPr>
          <w:rFonts w:ascii="Times New Roman" w:cs="Times New Roman" w:eastAsia="Times New Roman" w:hAnsi="Times New Roman"/>
          <w:sz w:val="18"/>
          <w:szCs w:val="18"/>
          <w:i w:val="1"/>
          <w:iCs w:val="1"/>
          <w:color w:val="auto"/>
        </w:rPr>
        <w:t>specify conversion right under the Conditions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We enclose our Certificate in respect of the Notes. Please would you cancel this Certificate in respect of the Notes so converted [</w:t>
      </w:r>
      <w:r>
        <w:rPr>
          <w:rFonts w:ascii="Times New Roman" w:cs="Times New Roman" w:eastAsia="Times New Roman" w:hAnsi="Times New Roman"/>
          <w:sz w:val="18"/>
          <w:szCs w:val="18"/>
          <w:i w:val="1"/>
          <w:iCs w:val="1"/>
          <w:color w:val="auto"/>
        </w:rPr>
        <w:t>and issue a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 to us in respect of the balance of the Notes retained by us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hereby direct the Company to allot and issue the Shares to us in accordance with the Conditions. The share certificates representing the Shares should be sent by registered mail to [</w:t>
      </w:r>
      <w:r>
        <w:rPr>
          <w:rFonts w:ascii="Times New Roman" w:cs="Times New Roman" w:eastAsia="Times New Roman" w:hAnsi="Times New Roman"/>
          <w:sz w:val="18"/>
          <w:szCs w:val="18"/>
          <w:i w:val="1"/>
          <w:iCs w:val="1"/>
          <w:color w:val="auto"/>
        </w:rPr>
        <w:t>insert delivery address</w:t>
      </w:r>
      <w:r>
        <w:rPr>
          <w:rFonts w:ascii="Times New Roman" w:cs="Times New Roman" w:eastAsia="Times New Roman" w:hAnsi="Times New Roman"/>
          <w:sz w:val="18"/>
          <w:szCs w:val="18"/>
          <w:color w:val="auto"/>
        </w:rPr>
        <w:t>], to the attention of [</w:t>
      </w:r>
      <w:r>
        <w:rPr>
          <w:rFonts w:ascii="Times New Roman" w:cs="Times New Roman" w:eastAsia="Times New Roman" w:hAnsi="Times New Roman"/>
          <w:sz w:val="18"/>
          <w:szCs w:val="18"/>
          <w:i w:val="1"/>
          <w:iCs w:val="1"/>
          <w:color w:val="auto"/>
        </w:rPr>
        <w:t>insert name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acknowledge and agree that the Shares are issued subject to the memorandum of association and articles of association and shareholders agreement of the Company and agree to become a member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EXERCISING NOTEHOLDER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51396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4">
                      <a:extLst>
                        <a:ext uri="{28A0092B-C50C-407E-A947-70E740481C1C}"/>
                      </a:extLst>
                    </a:blip>
                    <a:srcRect/>
                    <a:stretch>
                      <a:fillRect/>
                    </a:stretch>
                  </pic:blipFill>
                  <pic:spPr bwMode="auto">
                    <a:xfrm>
                      <a:off x="0" y="0"/>
                      <a:ext cx="25139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NOTEHOLDER]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0880"/>
          </w:cols>
          <w:pgMar w:left="440" w:top="267" w:right="579" w:bottom="1440" w:gutter="0" w:footer="0" w:header="0"/>
        </w:sectPr>
      </w:pPr>
    </w:p>
    <w:bookmarkStart w:id="635" w:name="page636"/>
    <w:bookmarkEnd w:id="63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Schedule A-1</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of Notice of Redemption</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The Directors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Rezolve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Mayfair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United Kingdom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left="540" w:right="60"/>
        <w:spacing w:after="0" w:line="268" w:lineRule="auto"/>
        <w:rPr>
          <w:sz w:val="20"/>
          <w:szCs w:val="20"/>
          <w:color w:val="auto"/>
        </w:rPr>
      </w:pPr>
      <w:r>
        <w:rPr>
          <w:rFonts w:ascii="Times New Roman" w:cs="Times New Roman" w:eastAsia="Times New Roman" w:hAnsi="Times New Roman"/>
          <w:sz w:val="18"/>
          <w:szCs w:val="18"/>
          <w:b w:val="1"/>
          <w:bCs w:val="1"/>
          <w:color w:val="auto"/>
        </w:rPr>
        <w:t>7.50% Senior Secured Convertible Loan Notes, issued by the Company pursuant to an instrument originally dated 16 December 2021, as amended and restated on 21 November 2022 and 23 May 2023 and as further amended on 18 December 2023 and 29 December 2023 and as further amended and restated on [•] 2024 (the “Instrument)</w:t>
      </w:r>
    </w:p>
    <w:p>
      <w:pPr>
        <w:spacing w:after="0" w:line="6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Noteholder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Redeeming Noteholder</w:t>
      </w:r>
      <w:r>
        <w:rPr>
          <w:rFonts w:ascii="Times New Roman" w:cs="Times New Roman" w:eastAsia="Times New Roman" w:hAnsi="Times New Roman"/>
          <w:sz w:val="18"/>
          <w:szCs w:val="18"/>
          <w:color w:val="auto"/>
        </w:rPr>
        <w:t>”) hereby gives notice to the Company that it is exercising its right to redeem $[    ] Notes issued pursuant to the Instrument in accordance with [</w:t>
      </w:r>
      <w:r>
        <w:rPr>
          <w:rFonts w:ascii="Times New Roman" w:cs="Times New Roman" w:eastAsia="Times New Roman" w:hAnsi="Times New Roman"/>
          <w:sz w:val="18"/>
          <w:szCs w:val="18"/>
          <w:i w:val="1"/>
          <w:iCs w:val="1"/>
          <w:color w:val="auto"/>
        </w:rPr>
        <w:t>specify redemption right under the Conditions</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We enclose our Certificate in respect of the Notes. Please would you cancel this Certificate in respect of the Notes so redeemed [</w:t>
      </w:r>
      <w:r>
        <w:rPr>
          <w:rFonts w:ascii="Times New Roman" w:cs="Times New Roman" w:eastAsia="Times New Roman" w:hAnsi="Times New Roman"/>
          <w:sz w:val="18"/>
          <w:szCs w:val="18"/>
          <w:i w:val="1"/>
          <w:iCs w:val="1"/>
          <w:color w:val="auto"/>
        </w:rPr>
        <w:t>and issue a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 to us in respect of the balance of the Notes retained by us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hereby direct the Company to pay any amounts owed to us upon redemption in accordance with the Conditions and the instructions set forth below.</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payment instructions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REDEEMING NOTEHOLDER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51396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6">
                      <a:extLst>
                        <a:ext uri="{28A0092B-C50C-407E-A947-70E740481C1C}"/>
                      </a:extLst>
                    </a:blip>
                    <a:srcRect/>
                    <a:stretch>
                      <a:fillRect/>
                    </a:stretch>
                  </pic:blipFill>
                  <pic:spPr bwMode="auto">
                    <a:xfrm>
                      <a:off x="0" y="0"/>
                      <a:ext cx="25139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NOTEHOLDER]</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0900"/>
          </w:cols>
          <w:pgMar w:left="440" w:top="266" w:right="559" w:bottom="1440" w:gutter="0" w:footer="0" w:header="0"/>
        </w:sectPr>
      </w:pPr>
    </w:p>
    <w:bookmarkStart w:id="636" w:name="page637"/>
    <w:bookmarkEnd w:id="6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Global Note Certificate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THIS GLOBAL NOTE AND THE SHARES TO BE DELIVERED UPON THE CONVERSION OF THIS GLOBAL NOTE HAVE NOT BEEN AND WILL NOT BE REGISTERED UNDER THE UNITED STATES SECURITIES ACT OF 1933, AS AMENDED (THE “SECURITIES ACT”). NEITHER THIS GLOBAL NOTE NOR ANY PORTION HEREOF MAY BE OFFERED OR SOLD WITHIN THE UNITED STATES OF AMERICA UNLESS AN EXEMPTION FROM THE REGISTRATION REQUIREMENTS OF THE SECURITIES ACT IS AVAILABLE. THE GLOBAL NOTE MAY NOT BE CONVERTED INTO SHARES BY OR ON BEHALF OF A PERSON LOCATED WITHIN THE UNITED STATES UNLESS REGISTERED UNDER THE SECURITIES ACT OR AN EXEMPTION FROM SUCH REGISTRATION IS AVAILABLE.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ISIN: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-7620</wp:posOffset>
            </wp:positionV>
            <wp:extent cx="3429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Incorporated in England and Wales (registered number 09773823)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NOTES: Up to $49,892,080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-19050</wp:posOffset>
            </wp:positionV>
            <wp:extent cx="34290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Note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 Senior Secured Convertible Loan Notes (“Notes”)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Created and issued pursuant to the articles of association of the Company and created by resolutions of the Directors passed on 31 March 2022, 21 November 2022, 23 May 2023 and [•] 2024.</w:t>
      </w:r>
    </w:p>
    <w:p>
      <w:pPr>
        <w:spacing w:after="0" w:line="1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is to certify that </w:t>
      </w:r>
      <w:r>
        <w:rPr>
          <w:rFonts w:ascii="Times New Roman" w:cs="Times New Roman" w:eastAsia="Times New Roman" w:hAnsi="Times New Roman"/>
          <w:sz w:val="18"/>
          <w:szCs w:val="18"/>
          <w:color w:val="auto"/>
        </w:rPr>
        <w:t>CREST for which the provider is Euroclear UK &amp; International Limited (“</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is the registered holder,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up to the nominal amount stated above of the Notes constituted by a Loan Note Instrument originally dated 16 December 2021, as amended and restated on 21 November 2022 and 23 May 2023 and amended on 18 December 2023 and 29 December 2023 and as further amended and restated on [•] 2024 (the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and made by the Company. The Notes are issued subject to, and with the benefit of, the provisions contained in the Instrument and the conditions set forth in Schedule B to the Instrument (the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The Instrument and the Conditions may be varied in accordance with Condition 15 (</w:t>
      </w:r>
      <w:r>
        <w:rPr>
          <w:rFonts w:ascii="Times New Roman" w:cs="Times New Roman" w:eastAsia="Times New Roman" w:hAnsi="Times New Roman"/>
          <w:sz w:val="18"/>
          <w:szCs w:val="18"/>
          <w:i w:val="1"/>
          <w:iCs w:val="1"/>
          <w:color w:val="auto"/>
        </w:rPr>
        <w:t>Variations</w:t>
      </w:r>
      <w:r>
        <w:rPr>
          <w:rFonts w:ascii="Times New Roman" w:cs="Times New Roman" w:eastAsia="Times New Roman" w:hAnsi="Times New Roman"/>
          <w:sz w:val="18"/>
          <w:szCs w:val="18"/>
          <w:color w:val="auto"/>
        </w:rPr>
        <w:t>) of the Instrument.</w:t>
      </w:r>
    </w:p>
    <w:p>
      <w:pPr>
        <w:spacing w:after="0" w:line="1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CREST is authorised to reduce the maximum aggregate principal amount of this Global Note Certificate by the aggregate principal amount of the Notes which have been converted or redeemed in accordance with the Conditions.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CREST is authorised to adjust the aggregate principal amount of this Global Note Certificate to reflect the aggregate principal amount of the Notes deposited with CREST from time to time. The relevant number of Notes which are represented by this Global Note Certificate from time to time will result from the relevant current electronic data documentation of CREST.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00"/>
          </w:cols>
          <w:pgMar w:left="440" w:top="267" w:right="459" w:bottom="1440" w:gutter="0" w:footer="0" w:header="0"/>
        </w:sectPr>
      </w:pPr>
    </w:p>
    <w:bookmarkStart w:id="637" w:name="page638"/>
    <w:bookmarkEnd w:id="63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w:t>
      </w:r>
    </w:p>
    <w:p>
      <w:pPr>
        <w:spacing w:after="0" w:line="135" w:lineRule="exact"/>
        <w:rPr>
          <w:sz w:val="20"/>
          <w:szCs w:val="20"/>
          <w:color w:val="auto"/>
        </w:rPr>
      </w:pPr>
    </w:p>
    <w:p>
      <w:pPr>
        <w:ind w:left="424" w:hanging="424"/>
        <w:spacing w:after="0"/>
        <w:tabs>
          <w:tab w:leader="none" w:pos="424"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repayable upon maturity and shall bear interest only in accordance with the Conditions.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any part of the Notes represented by this Certificate can be registered without production of this Certificate.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freely transferable in integral multiples of $1.00 upon notice of transfer to the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convertible at the option of the Noteholder in accordance with the Conditions.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redeemable at the option of the Noteholder in accordance with the Conditions.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governed by, and construed in accordance with, the laws of England.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Instrument is available for inspection at the registered office of the Company.</w:t>
      </w:r>
    </w:p>
    <w:p>
      <w:pPr>
        <w:spacing w:after="0" w:line="158"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0023"/>
          </w:cols>
          <w:pgMar w:left="436" w:top="266" w:right="1440" w:bottom="1440" w:gutter="0" w:footer="0" w:header="0"/>
        </w:sectPr>
      </w:pPr>
    </w:p>
    <w:bookmarkStart w:id="638" w:name="page639"/>
    <w:bookmarkEnd w:id="63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has been executed and delivered as a deed on the date first set forth above.</w:t>
      </w:r>
    </w:p>
    <w:p>
      <w:pPr>
        <w:sectPr>
          <w:pgSz w:w="11900" w:h="16838" w:orient="portrait"/>
          <w:cols w:equalWidth="0" w:num="1">
            <w:col w:w="10019"/>
          </w:cols>
          <w:pgMar w:left="440" w:top="271" w:right="1440"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as a deed by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by a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witness: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87" w:lineRule="exact"/>
        <w:rPr>
          <w:sz w:val="20"/>
          <w:szCs w:val="20"/>
          <w:color w:val="auto"/>
        </w:rPr>
      </w:pPr>
    </w:p>
    <w:p>
      <w:pPr>
        <w:sectPr>
          <w:pgSz w:w="11900" w:h="16838" w:orient="portrait"/>
          <w:cols w:equalWidth="0" w:num="2">
            <w:col w:w="5020" w:space="720"/>
            <w:col w:w="4279"/>
          </w:cols>
          <w:pgMar w:left="440" w:top="271" w:right="1440" w:bottom="1440" w:gutter="0" w:footer="0" w:header="0"/>
          <w:type w:val="continuous"/>
        </w:sectPr>
      </w:pPr>
    </w:p>
    <w:p>
      <w:pPr>
        <w:ind w:left="5280"/>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019"/>
          </w:cols>
          <w:pgMar w:left="440" w:top="271" w:right="1440" w:bottom="1440" w:gutter="0" w:footer="0" w:header="0"/>
          <w:type w:val="continuous"/>
        </w:sectPr>
      </w:pPr>
    </w:p>
    <w:bookmarkStart w:id="639" w:name="page640"/>
    <w:bookmarkEnd w:id="639"/>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Conditions of the Notes</w:t>
      </w:r>
    </w:p>
    <w:p>
      <w:pPr>
        <w:spacing w:after="0" w:line="252" w:lineRule="exact"/>
        <w:rPr>
          <w:sz w:val="20"/>
          <w:szCs w:val="20"/>
          <w:color w:val="auto"/>
        </w:rPr>
      </w:pPr>
    </w:p>
    <w:p>
      <w:pPr>
        <w:ind w:left="424" w:hanging="424"/>
        <w:spacing w:after="0"/>
        <w:tabs>
          <w:tab w:leader="none" w:pos="424" w:val="left"/>
        </w:tabs>
        <w:numPr>
          <w:ilvl w:val="0"/>
          <w:numId w:val="6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Principal Amount and Accrued and Unpaid Interest</w:t>
      </w:r>
    </w:p>
    <w:p>
      <w:pPr>
        <w:spacing w:after="0" w:line="135" w:lineRule="exact"/>
        <w:rPr>
          <w:sz w:val="20"/>
          <w:szCs w:val="20"/>
          <w:color w:val="auto"/>
        </w:rPr>
      </w:pPr>
    </w:p>
    <w:p>
      <w:pPr>
        <w:ind w:left="424" w:right="3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1.1</w:t>
        <w:tab/>
        <w:t>If the Notes have not yet been converted, redeemed or otherwise repaid, then the Notes shall mature and the principal amount and accrued and unpaid interest thereunder shall become due and payable on the Maturity Date.</w:t>
      </w:r>
    </w:p>
    <w:p>
      <w:pPr>
        <w:spacing w:after="0" w:line="67" w:lineRule="exact"/>
        <w:rPr>
          <w:sz w:val="20"/>
          <w:szCs w:val="20"/>
          <w:color w:val="auto"/>
        </w:rPr>
      </w:pPr>
    </w:p>
    <w:p>
      <w:pPr>
        <w:ind w:left="424" w:right="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1.2</w:t>
        <w:tab/>
        <w:t>As and when the Notes (or any part of them) are to be redeemed in accordance with these Conditions prior to the Maturity Date, the Company shall pay the Noteholder or Noteholders (as applicable) the relevant amounts in respect of the Notes which are to be redeemed in accordance with these Conditions.</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1.3</w:t>
        <w:tab/>
        <w:t>The Company may not voluntarily prepay or redeem the Notes prior to the Maturity Date other than in accordance with Condition 5.</w:t>
      </w:r>
    </w:p>
    <w:p>
      <w:pPr>
        <w:spacing w:after="0" w:line="131" w:lineRule="exact"/>
        <w:rPr>
          <w:sz w:val="20"/>
          <w:szCs w:val="20"/>
          <w:color w:val="auto"/>
        </w:rPr>
      </w:pPr>
    </w:p>
    <w:p>
      <w:pPr>
        <w:jc w:val="both"/>
        <w:ind w:left="424" w:right="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1.4</w:t>
        <w:tab/>
        <w:t>Payment of the principal amount and all accrued interest on the Notes may be made by bank transfer to an account nominated for such purpose to the Company, in writing, by the registered holder or in the case of joint registered holders by the one who is first-named on the register or by such person or persons as the registered holder or all the joint registered holders may in writing direct.</w:t>
      </w:r>
    </w:p>
    <w:p>
      <w:pPr>
        <w:spacing w:after="0" w:line="81" w:lineRule="exact"/>
        <w:rPr>
          <w:sz w:val="20"/>
          <w:szCs w:val="20"/>
          <w:color w:val="auto"/>
        </w:rPr>
      </w:pPr>
    </w:p>
    <w:p>
      <w:pPr>
        <w:jc w:val="both"/>
        <w:ind w:left="424" w:right="1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1.5</w:t>
        <w:tab/>
        <w:t>If more than one person is entered in the register as joint holders of any Notes then the receipt of any one of such holders for any monies payable on or in respect of the Notes shall be as effective a discharge to the Company or other person making the payment as if the person receiving such monies were the sole registered holder of such Notes.</w:t>
      </w:r>
    </w:p>
    <w:p>
      <w:pPr>
        <w:spacing w:after="0" w:line="81" w:lineRule="exact"/>
        <w:rPr>
          <w:sz w:val="20"/>
          <w:szCs w:val="20"/>
          <w:color w:val="auto"/>
        </w:rPr>
      </w:pPr>
    </w:p>
    <w:p>
      <w:pPr>
        <w:ind w:left="424" w:right="2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1.6</w:t>
        <w:tab/>
        <w:t>Where the Notes are deposited with the Clearing System, payments on the Notes made to the Clearing System or to its order will discharge the liability of the Company under the Notes to the extent of the sums so paid.</w:t>
      </w:r>
    </w:p>
    <w:p>
      <w:pPr>
        <w:spacing w:after="0" w:line="67" w:lineRule="exact"/>
        <w:rPr>
          <w:sz w:val="20"/>
          <w:szCs w:val="20"/>
          <w:color w:val="auto"/>
        </w:rPr>
      </w:pPr>
    </w:p>
    <w:p>
      <w:pPr>
        <w:ind w:left="424" w:right="4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1.7</w:t>
        <w:tab/>
        <w:t>Whenever any payment of principal or otherwise shall become due on a day which is not a Business Day, payment shall be made on the next following Business Day.</w:t>
      </w:r>
    </w:p>
    <w:p>
      <w:pPr>
        <w:spacing w:after="0" w:line="306" w:lineRule="exact"/>
        <w:rPr>
          <w:sz w:val="20"/>
          <w:szCs w:val="20"/>
          <w:color w:val="auto"/>
        </w:rPr>
      </w:pPr>
    </w:p>
    <w:p>
      <w:pPr>
        <w:ind w:left="424" w:hanging="424"/>
        <w:spacing w:after="0"/>
        <w:tabs>
          <w:tab w:leader="none" w:pos="424" w:val="left"/>
        </w:tabs>
        <w:numPr>
          <w:ilvl w:val="0"/>
          <w:numId w:val="6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tab/>
        <w:t>Interest shall accrue on the principal amount of the Notes which are outstanding at the Interest Rate from 11 January 2024.</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Interest shall be payable on the date which the Notes are converted or redeemed in accordance with the Conditions.</w:t>
      </w:r>
    </w:p>
    <w:p>
      <w:pPr>
        <w:spacing w:after="0" w:line="131"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2.3</w:t>
        <w:tab/>
        <w:t>Interest (if any) will accrue from day to day at the Interest Rate and will be calculated on the basis of a 365 day year and the actual number of days elapsed from 11 January 2024 to the date which the Notes are converted or redeemed in accordance with the Conditions.</w:t>
      </w:r>
    </w:p>
    <w:p>
      <w:pPr>
        <w:spacing w:after="0" w:line="67" w:lineRule="exact"/>
        <w:rPr>
          <w:sz w:val="20"/>
          <w:szCs w:val="20"/>
          <w:color w:val="auto"/>
        </w:rPr>
      </w:pPr>
    </w:p>
    <w:p>
      <w:pPr>
        <w:ind w:left="424" w:right="4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2.4</w:t>
        <w:tab/>
        <w:t>If the Company fails to pay redemption monies when due, interest will continue to accrue on the unpaid amount at the Interest Rate plus the default rate specified in Condition 2.5 below.</w:t>
      </w:r>
    </w:p>
    <w:p>
      <w:pPr>
        <w:spacing w:after="0" w:line="67"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2.5</w:t>
        <w:tab/>
        <w:t>If an Event of Default has occurred and is continuing, default interest shall accrue at an additional rate of ten per cent. (10.00%) per annum above the Interest Rate in effect at such time.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84"/>
          </w:cols>
          <w:pgMar w:left="436" w:top="266" w:right="479" w:bottom="1440" w:gutter="0" w:footer="0" w:header="0"/>
        </w:sectPr>
      </w:pPr>
    </w:p>
    <w:bookmarkStart w:id="640" w:name="page641"/>
    <w:bookmarkEnd w:id="640"/>
    <w:p>
      <w:pPr>
        <w:ind w:left="424" w:hanging="424"/>
        <w:spacing w:after="0"/>
        <w:tabs>
          <w:tab w:leader="none" w:pos="424" w:val="left"/>
        </w:tabs>
        <w:numPr>
          <w:ilvl w:val="0"/>
          <w:numId w:val="6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upon an Event of Default</w:t>
      </w:r>
    </w:p>
    <w:p>
      <w:pPr>
        <w:spacing w:after="0" w:line="135" w:lineRule="exact"/>
        <w:rPr>
          <w:sz w:val="20"/>
          <w:szCs w:val="20"/>
          <w:color w:val="auto"/>
        </w:rPr>
      </w:pPr>
    </w:p>
    <w:p>
      <w:pPr>
        <w:ind w:left="424" w:right="5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3.1</w:t>
        <w:tab/>
        <w:t>Upon the occurrence of an Insolvency Event of Default, the Company shall immediately redeem the Notes, in whole but not in part, at their aggregate principal amount plus accrued and unpaid interest.</w:t>
      </w:r>
    </w:p>
    <w:p>
      <w:pPr>
        <w:spacing w:after="0" w:line="67" w:lineRule="exact"/>
        <w:rPr>
          <w:sz w:val="20"/>
          <w:szCs w:val="20"/>
          <w:color w:val="auto"/>
        </w:rPr>
      </w:pPr>
    </w:p>
    <w:p>
      <w:pPr>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3.2</w:t>
        <w:tab/>
        <w:t>Upon the occurrence of an Event of Default that is not an Insolvency Event of Default, the Company shall, subject to the prior written consent of the Noteholder Majority, if so directed by any Noteholder, immediately redeem that Noteholder’s Notes, in whole but not in part, at their aggregate principal amount plus accrued and unpaid interest.</w:t>
      </w:r>
    </w:p>
    <w:p>
      <w:pPr>
        <w:spacing w:after="0" w:line="320" w:lineRule="exact"/>
        <w:rPr>
          <w:sz w:val="20"/>
          <w:szCs w:val="20"/>
          <w:color w:val="auto"/>
        </w:rPr>
      </w:pPr>
    </w:p>
    <w:p>
      <w:pPr>
        <w:ind w:left="424" w:hanging="424"/>
        <w:spacing w:after="0"/>
        <w:tabs>
          <w:tab w:leader="none" w:pos="424" w:val="left"/>
        </w:tabs>
        <w:numPr>
          <w:ilvl w:val="0"/>
          <w:numId w:val="6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at the Option of the Noteholders for Failure of IPO and Business Combination</w:t>
      </w:r>
    </w:p>
    <w:p>
      <w:pPr>
        <w:spacing w:after="0" w:line="135" w:lineRule="exact"/>
        <w:rPr>
          <w:sz w:val="20"/>
          <w:szCs w:val="20"/>
          <w:color w:val="auto"/>
        </w:rPr>
      </w:pPr>
    </w:p>
    <w:p>
      <w:pPr>
        <w:ind w:left="424" w:right="1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4.1</w:t>
        <w:tab/>
        <w:t>If a Qualifying IPO or Qualifying Business Combination has not occurred by 30 June 2024, at any time and from time to time, in each case with the prior written consent of holders of a majority (more than 50%) of the aggregate principal amount of the Notes then outstanding, any Noteholder may cause the Company to redeem such Noteholder’s Notes, in whole or in part, at their aggregate principal amount plus accrued and unpaid interest by delivering a notice of redemption substantially in the form annexed to the Certificate; provided that interest shall be deemed to have accrued at a rate of seven and a half percent (7.50%) per annum from 11 January 2024.</w:t>
      </w:r>
    </w:p>
    <w:p>
      <w:pPr>
        <w:spacing w:after="0" w:line="328" w:lineRule="exact"/>
        <w:rPr>
          <w:sz w:val="20"/>
          <w:szCs w:val="20"/>
          <w:color w:val="auto"/>
        </w:rPr>
      </w:pPr>
    </w:p>
    <w:p>
      <w:pPr>
        <w:ind w:left="424" w:hanging="424"/>
        <w:spacing w:after="0"/>
        <w:tabs>
          <w:tab w:leader="none" w:pos="424" w:val="left"/>
        </w:tabs>
        <w:numPr>
          <w:ilvl w:val="0"/>
          <w:numId w:val="6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Early Redemption at the Option of the Company</w:t>
      </w:r>
    </w:p>
    <w:p>
      <w:pPr>
        <w:spacing w:after="0" w:line="135" w:lineRule="exact"/>
        <w:rPr>
          <w:sz w:val="20"/>
          <w:szCs w:val="20"/>
          <w:color w:val="auto"/>
        </w:rPr>
      </w:pPr>
    </w:p>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5.1</w:t>
        <w:tab/>
        <w:t>The Company may, at any time from the date of the Deed of Amendment and Restatement to and including 31 December 2024, irrevocably offer to redeem all, but not some only, of a Noteholder’s Notes (including accrued interest thereon) in cash (a “</w:t>
      </w:r>
      <w:r>
        <w:rPr>
          <w:rFonts w:ascii="Times New Roman" w:cs="Times New Roman" w:eastAsia="Times New Roman" w:hAnsi="Times New Roman"/>
          <w:sz w:val="18"/>
          <w:szCs w:val="18"/>
          <w:b w:val="1"/>
          <w:bCs w:val="1"/>
          <w:color w:val="auto"/>
        </w:rPr>
        <w:t>Company Redemption Offer</w:t>
      </w:r>
      <w:r>
        <w:rPr>
          <w:rFonts w:ascii="Times New Roman" w:cs="Times New Roman" w:eastAsia="Times New Roman" w:hAnsi="Times New Roman"/>
          <w:sz w:val="18"/>
          <w:szCs w:val="18"/>
          <w:color w:val="auto"/>
        </w:rPr>
        <w:t>”), by sending the relevant Noteholder a notice in substantially in the form set out in Schedule C (a “</w:t>
      </w:r>
      <w:r>
        <w:rPr>
          <w:rFonts w:ascii="Times New Roman" w:cs="Times New Roman" w:eastAsia="Times New Roman" w:hAnsi="Times New Roman"/>
          <w:sz w:val="18"/>
          <w:szCs w:val="18"/>
          <w:b w:val="1"/>
          <w:bCs w:val="1"/>
          <w:color w:val="auto"/>
        </w:rPr>
        <w:t>Company Redemption Offer Notice</w:t>
      </w:r>
      <w:r>
        <w:rPr>
          <w:rFonts w:ascii="Times New Roman" w:cs="Times New Roman" w:eastAsia="Times New Roman" w:hAnsi="Times New Roman"/>
          <w:sz w:val="18"/>
          <w:szCs w:val="18"/>
          <w:color w:val="auto"/>
        </w:rPr>
        <w:t xml:space="preserve">”) at a cash price equal to the sum of (i) the </w:t>
      </w:r>
      <w:r>
        <w:rPr>
          <w:rFonts w:ascii="Times New Roman" w:cs="Times New Roman" w:eastAsia="Times New Roman" w:hAnsi="Times New Roman"/>
          <w:sz w:val="18"/>
          <w:szCs w:val="18"/>
          <w:i w:val="1"/>
          <w:iCs w:val="1"/>
          <w:color w:val="auto"/>
        </w:rPr>
        <w:t>product of</w:t>
      </w:r>
      <w:r>
        <w:rPr>
          <w:rFonts w:ascii="Times New Roman" w:cs="Times New Roman" w:eastAsia="Times New Roman" w:hAnsi="Times New Roman"/>
          <w:sz w:val="18"/>
          <w:szCs w:val="18"/>
          <w:color w:val="auto"/>
        </w:rPr>
        <w:t xml:space="preserve"> (x) 2 and (y) the then outstanding aggregate principal amount in respect of such Notes and (ii) accrued and unpaid interest on the relevant Notes. For the avoidance of doubt, if the Notes are redeemed on the Maturity Date, the redemption price will be comprised solely of the aggregate outstanding principal amount and accrued interest thereon.</w:t>
      </w:r>
    </w:p>
    <w:p>
      <w:pPr>
        <w:spacing w:after="0" w:line="93" w:lineRule="exact"/>
        <w:rPr>
          <w:sz w:val="20"/>
          <w:szCs w:val="20"/>
          <w:color w:val="auto"/>
        </w:rPr>
      </w:pPr>
    </w:p>
    <w:p>
      <w:pPr>
        <w:ind w:left="424" w:right="20" w:hanging="431"/>
        <w:spacing w:after="0" w:line="255" w:lineRule="auto"/>
        <w:tabs>
          <w:tab w:leader="none" w:pos="404" w:val="left"/>
        </w:tabs>
        <w:rPr>
          <w:sz w:val="20"/>
          <w:szCs w:val="20"/>
          <w:color w:val="auto"/>
        </w:rPr>
      </w:pPr>
      <w:r>
        <w:rPr>
          <w:rFonts w:ascii="Times New Roman" w:cs="Times New Roman" w:eastAsia="Times New Roman" w:hAnsi="Times New Roman"/>
          <w:sz w:val="18"/>
          <w:szCs w:val="18"/>
          <w:color w:val="auto"/>
        </w:rPr>
        <w:t>5.2</w:t>
        <w:tab/>
        <w:t>Following a Company Redemption Offer, the relevant Noteholder may, in its sole discretion, elect to exercise its conversion rights pursuant to Condition 7 at the then applicable Conversion Price. The relevant Noteholder shall provide notice to the Company of such election pursuant to this Condition 5.2 prior to the redemption date specified in the Company Redemption Offer Notice. Any redemption by way of conversion pursuant to this Condition shall take place in accordance with Condition 8. For the avoidance of doubt, in the event that a Noteholder has not provided notice to the Company of its election to exercise its conversion rights pursuant to this Condition 5.2 prior to the redemption date specified in the Company Redemption Offer Notice, then such Noteholder shall be deemed to have accepted the Company Redemption Offer Notice and the relevant Notes shall be redeemed for the cash amount calculated in accordance with Condition 5.1.</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24"/>
          </w:cols>
          <w:pgMar w:left="436" w:top="267" w:right="439" w:bottom="1440" w:gutter="0" w:footer="0" w:header="0"/>
        </w:sectPr>
      </w:pPr>
    </w:p>
    <w:bookmarkStart w:id="641" w:name="page642"/>
    <w:bookmarkEnd w:id="641"/>
    <w:p>
      <w:pPr>
        <w:ind w:left="424" w:hanging="424"/>
        <w:spacing w:after="0"/>
        <w:tabs>
          <w:tab w:leader="none" w:pos="424" w:val="left"/>
        </w:tabs>
        <w:numPr>
          <w:ilvl w:val="0"/>
          <w:numId w:val="6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Provisions</w:t>
      </w:r>
    </w:p>
    <w:p>
      <w:pPr>
        <w:spacing w:after="0" w:line="135" w:lineRule="exact"/>
        <w:rPr>
          <w:sz w:val="20"/>
          <w:szCs w:val="20"/>
          <w:color w:val="auto"/>
        </w:rPr>
      </w:pPr>
    </w:p>
    <w:p>
      <w:pPr>
        <w:jc w:val="both"/>
        <w:ind w:left="424" w:right="1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6.1</w:t>
        <w:tab/>
        <w:t>If, on redemption of any Notes, a Noteholder fails to deliver the Certificate for such Notes or an indemnity in accordance with the Conditions or fails to accept payment of monies due to him, the Company will pay the monies due to him into a bank account of the Company, which payment shall, subject to Condition 6.2, discharge the Company from all further obligations in respect of the Note.</w:t>
      </w:r>
    </w:p>
    <w:p>
      <w:pPr>
        <w:spacing w:after="0" w:line="81" w:lineRule="exact"/>
        <w:rPr>
          <w:sz w:val="20"/>
          <w:szCs w:val="20"/>
          <w:color w:val="auto"/>
        </w:rPr>
      </w:pPr>
    </w:p>
    <w:p>
      <w:pPr>
        <w:ind w:left="424" w:right="400" w:hanging="431"/>
        <w:spacing w:after="0" w:line="312" w:lineRule="auto"/>
        <w:tabs>
          <w:tab w:leader="none" w:pos="40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Company shall hold such amounts on trust or, to the extent not possible as a matter of law, for the account of such Noteholder, and upon production by that Noteholder of the relevant Certificate or indemnity, shall as soon as practicable transfer such amounts to the Noteholder.</w:t>
      </w:r>
    </w:p>
    <w:p>
      <w:pPr>
        <w:spacing w:after="0" w:line="284" w:lineRule="exact"/>
        <w:rPr>
          <w:sz w:val="20"/>
          <w:szCs w:val="20"/>
          <w:color w:val="auto"/>
        </w:rPr>
      </w:pPr>
    </w:p>
    <w:p>
      <w:pPr>
        <w:ind w:left="424" w:hanging="424"/>
        <w:spacing w:after="0"/>
        <w:tabs>
          <w:tab w:leader="none" w:pos="424" w:val="left"/>
        </w:tabs>
        <w:numPr>
          <w:ilvl w:val="0"/>
          <w:numId w:val="6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at the Option of the Noteholders</w:t>
      </w:r>
    </w:p>
    <w:p>
      <w:pPr>
        <w:spacing w:after="0" w:line="135" w:lineRule="exact"/>
        <w:rPr>
          <w:sz w:val="20"/>
          <w:szCs w:val="20"/>
          <w:color w:val="auto"/>
        </w:rPr>
      </w:pPr>
    </w:p>
    <w:p>
      <w:pPr>
        <w:ind w:left="424" w:right="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7.1</w:t>
        <w:tab/>
        <w:t>Following the date of a Qualifying IPO or Qualifying Business Combination, at any time and from time to time any Noteholder may convert such Noteholder’s Notes, in whole or in part, into Shares at their aggregate principal amount plus accrued and unpaid interest at the then applicable Conversion Price by delivering a notice of conversion substantially in the form annexed to the Certificate.</w:t>
      </w:r>
    </w:p>
    <w:p>
      <w:pPr>
        <w:spacing w:after="0" w:line="320" w:lineRule="exact"/>
        <w:rPr>
          <w:sz w:val="20"/>
          <w:szCs w:val="20"/>
          <w:color w:val="auto"/>
        </w:rPr>
      </w:pPr>
    </w:p>
    <w:p>
      <w:pPr>
        <w:ind w:left="424" w:hanging="424"/>
        <w:spacing w:after="0"/>
        <w:tabs>
          <w:tab w:leader="none" w:pos="424" w:val="left"/>
        </w:tabs>
        <w:numPr>
          <w:ilvl w:val="0"/>
          <w:numId w:val="6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Provisions</w:t>
      </w:r>
    </w:p>
    <w:p>
      <w:pPr>
        <w:spacing w:after="0" w:line="135" w:lineRule="exact"/>
        <w:rPr>
          <w:sz w:val="20"/>
          <w:szCs w:val="20"/>
          <w:color w:val="auto"/>
        </w:rPr>
      </w:pPr>
    </w:p>
    <w:p>
      <w:pPr>
        <w:ind w:left="424" w:right="1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8.1</w:t>
        <w:tab/>
        <w:t>Conversion of the Notes shall be effected by the Company redeeming the relevant Notes on the Conversion Date. Each Noteholder whose Notes are being converted shall be deemed irrevocably to authorise and instruct the Company to apply the redemption monies (including any accrued and unpaid interest on the Notes) payable to that Noteholder in subscribing for Conversion Shares.</w:t>
      </w:r>
    </w:p>
    <w:p>
      <w:pPr>
        <w:spacing w:after="0" w:line="81" w:lineRule="exact"/>
        <w:rPr>
          <w:sz w:val="20"/>
          <w:szCs w:val="20"/>
          <w:color w:val="auto"/>
        </w:rPr>
      </w:pPr>
    </w:p>
    <w:p>
      <w:pPr>
        <w:ind w:left="424" w:right="10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8.2</w:t>
        <w:tab/>
        <w:t>Conversion Shares will be issued and allotted on the Conversion Date and will be evidenced by the issue of share certificates within 3 Business Days following the Conversion Date, such share certificates to be dispatched to the persons entitled to them at their own risk. Each Conversion Share shall be issued and allotted at such premium to reflect the difference between the nominal amount of the Share and the principal amount of Notes converted into one Conversion Share on the Conversion Date.</w:t>
      </w:r>
    </w:p>
    <w:p>
      <w:pPr>
        <w:spacing w:after="0" w:line="85"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8.3</w:t>
        <w:tab/>
        <w:t xml:space="preserve">The Company undertakes to ensure that and represents and warrants to the Noteholder(s) that all Conversion Shares shall be fully paid and shall be transferred with full title guarantee free from all Security Interests and adverse claims (whether or not the Company knows or could reasonably be expected to know about such matters), together with all rights now and hereafter attaching to them including all dividends declared or payable or distributions made or proposed on or after the Conversion Date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other respects and form one class with the Shares (or the relevant class of other Equity Securities, as the case may be) in issue on the applicable Conversion Date.</w:t>
      </w:r>
    </w:p>
    <w:p>
      <w:pPr>
        <w:spacing w:after="0" w:line="89"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8.4</w:t>
        <w:tab/>
        <w:t>The entitlement of each Noteholder to a fraction of a Conversion Share will be rounded to the nearest whole number of Conversion Shares which result from the conversion of the Notes.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8.5</w:t>
        <w:tab/>
        <w:t>The Company will ensure that any Listed Shares will include the Conversion Shares unless: (i) a Noteholder Majority otherwise consents; and</w:t>
      </w:r>
    </w:p>
    <w:p>
      <w:pPr>
        <w:spacing w:after="0" w:line="27" w:lineRule="exact"/>
        <w:rPr>
          <w:sz w:val="20"/>
          <w:szCs w:val="20"/>
          <w:color w:val="auto"/>
        </w:rPr>
      </w:pPr>
    </w:p>
    <w:p>
      <w:pPr>
        <w:jc w:val="center"/>
        <w:ind w:left="5364" w:right="1000" w:hanging="4932"/>
        <w:spacing w:after="0" w:line="433" w:lineRule="auto"/>
        <w:tabs>
          <w:tab w:leader="none" w:pos="688"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is amended to put the Noteholders in the same economic position as if the Conversion Shares were Listed Shares. B-3</w:t>
      </w:r>
    </w:p>
    <w:p>
      <w:pPr>
        <w:sectPr>
          <w:pgSz w:w="11900" w:h="16838" w:orient="portrait"/>
          <w:cols w:equalWidth="0" w:num="1">
            <w:col w:w="10964"/>
          </w:cols>
          <w:pgMar w:left="436" w:top="266" w:right="499" w:bottom="1440" w:gutter="0" w:footer="0" w:header="0"/>
        </w:sectPr>
      </w:pPr>
    </w:p>
    <w:bookmarkStart w:id="642" w:name="page643"/>
    <w:bookmarkEnd w:id="642"/>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8.6</w:t>
        <w:tab/>
        <w:t>The Company undertakes that it will not prevent the conversion of the Notes into Conversion Shares or the transfer of Conversion Shares.</w:t>
      </w:r>
    </w:p>
    <w:p>
      <w:pPr>
        <w:spacing w:after="0" w:line="131" w:lineRule="exact"/>
        <w:rPr>
          <w:sz w:val="20"/>
          <w:szCs w:val="20"/>
          <w:color w:val="auto"/>
        </w:rPr>
      </w:pPr>
    </w:p>
    <w:p>
      <w:pPr>
        <w:jc w:val="both"/>
        <w:ind w:left="424" w:right="1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8.7</w:t>
        <w:tab/>
        <w:t>The Company represents and warrants on the date of this Instrument and each day following the date of this Instrument that all consents, licences and approvals (including corporate authorisations) required for the entry into and performance of its obligations under the Loan Note Documents have been obtained and have not been revoked or rescinded.</w:t>
      </w:r>
    </w:p>
    <w:p>
      <w:pPr>
        <w:spacing w:after="0" w:line="81" w:lineRule="exact"/>
        <w:rPr>
          <w:sz w:val="20"/>
          <w:szCs w:val="20"/>
          <w:color w:val="auto"/>
        </w:rPr>
      </w:pPr>
    </w:p>
    <w:p>
      <w:pPr>
        <w:ind w:left="424" w:right="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8.8</w:t>
        <w:tab/>
        <w:t>The Company represents and warrants on the date of this Instrument and each day following the date of this Instrument that it maintains sufficient unissued equity share capital in the Company authorised for issue to satisfy in full, without the need for the passing of any resolutions of its shareholders, the most onerous of the outstanding rights of conversion for the time being without first having to offer the same to any existing shareholders of the Company or anyone else.</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8.9</w:t>
        <w:tab/>
        <w:t>The Company undertakes that it shall:</w:t>
      </w:r>
    </w:p>
    <w:p>
      <w:pPr>
        <w:spacing w:after="0" w:line="131" w:lineRule="exact"/>
        <w:rPr>
          <w:sz w:val="20"/>
          <w:szCs w:val="20"/>
          <w:color w:val="auto"/>
        </w:rPr>
      </w:pPr>
    </w:p>
    <w:p>
      <w:pPr>
        <w:ind w:left="964" w:right="80" w:hanging="532"/>
        <w:spacing w:after="0" w:line="266" w:lineRule="auto"/>
        <w:tabs>
          <w:tab w:leader="none" w:pos="964"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Noteholder in writing as soon as reasonably practicable after the relevant board or general meeting of shareholders (whichever is the earliest) has resolved to implement an Adjustment Event specifying the prospective date of the Adjustment Event and the proposed terms of it; and</w:t>
      </w:r>
    </w:p>
    <w:p>
      <w:pPr>
        <w:spacing w:after="0" w:line="81"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so far as reasonably practicable, sufficient unissued equity share capital in the Company authorised for issue to satisfy in full, without the need for the passing of any resolutions of its shareholders, the most onerous of the outstanding rights of conversion for the time being without first having to offer the same to any existing shareholders of the Company or anyone else.</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8.10  Within 10 Business Days of an Adjustment Event, the Company shall deliver to the Noteholders an Auditors Certificate.</w:t>
      </w:r>
    </w:p>
    <w:p>
      <w:pPr>
        <w:spacing w:after="0" w:line="113" w:lineRule="exact"/>
        <w:rPr>
          <w:sz w:val="20"/>
          <w:szCs w:val="20"/>
          <w:color w:val="auto"/>
        </w:rPr>
      </w:pPr>
    </w:p>
    <w:p>
      <w:pPr>
        <w:ind w:left="444"/>
        <w:spacing w:after="0" w:line="256" w:lineRule="auto"/>
        <w:rPr>
          <w:sz w:val="20"/>
          <w:szCs w:val="20"/>
          <w:color w:val="auto"/>
        </w:rPr>
      </w:pPr>
      <w:r>
        <w:rPr>
          <w:rFonts w:ascii="Times New Roman" w:cs="Times New Roman" w:eastAsia="Times New Roman" w:hAnsi="Times New Roman"/>
          <w:sz w:val="18"/>
          <w:szCs w:val="18"/>
          <w:color w:val="auto"/>
        </w:rPr>
        <w:t>For the purposes of this Condition 8.10 “</w:t>
      </w:r>
      <w:r>
        <w:rPr>
          <w:rFonts w:ascii="Times New Roman" w:cs="Times New Roman" w:eastAsia="Times New Roman" w:hAnsi="Times New Roman"/>
          <w:sz w:val="18"/>
          <w:szCs w:val="18"/>
          <w:b w:val="1"/>
          <w:bCs w:val="1"/>
          <w:color w:val="auto"/>
        </w:rPr>
        <w:t>Auditors Certificate</w:t>
      </w:r>
      <w:r>
        <w:rPr>
          <w:rFonts w:ascii="Times New Roman" w:cs="Times New Roman" w:eastAsia="Times New Roman" w:hAnsi="Times New Roman"/>
          <w:sz w:val="18"/>
          <w:szCs w:val="18"/>
          <w:color w:val="auto"/>
        </w:rPr>
        <w:t>” means a certificate of the professional financial advisors or auditors of the Company which sets out (i) the relevant Adjustment Event; and (ii) the adjustments to the number and nominal value of the Shares to be converted which the professional financial advisors or auditors consider to be necessary so that, after such Adjustment Event and upon conversion, the Noteholders shall be entitled to receive the same percentage of the issued share capital of the Listed Entity carrying the same proportion of votes exercisable at a general meeting of shareholders and the same entitlement to participate in distributions of the Listed Entity, in each case as nearly as practicable, as would have been the case had no Adjustment Event occurred (and making such reduction or increase as is necessary to the premium arising on the issue and allotment of the Shares on conversion of the Notes).</w:t>
      </w:r>
    </w:p>
    <w:p>
      <w:pPr>
        <w:spacing w:after="0" w:line="92" w:lineRule="exact"/>
        <w:rPr>
          <w:sz w:val="20"/>
          <w:szCs w:val="20"/>
          <w:color w:val="auto"/>
        </w:rPr>
      </w:pPr>
    </w:p>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t>8.11 The adjustments detailed in the Auditors Certificate shall, barring manifest error, be automatically reflected in the Conditions. In the event the Auditors Certificate contains a manifest error, the Company and the Noteholders will discuss in good faith what changes should be made to correct such error and will, if required by the Noteholders, appoint an alternative auditor to prepare a new Auditors Certificate.</w:t>
      </w:r>
    </w:p>
    <w:p>
      <w:pPr>
        <w:spacing w:after="0" w:line="320" w:lineRule="exact"/>
        <w:rPr>
          <w:sz w:val="20"/>
          <w:szCs w:val="20"/>
          <w:color w:val="auto"/>
        </w:rPr>
      </w:pPr>
    </w:p>
    <w:p>
      <w:pPr>
        <w:ind w:left="424" w:hanging="424"/>
        <w:spacing w:after="0"/>
        <w:tabs>
          <w:tab w:leader="none" w:pos="424" w:val="left"/>
        </w:tabs>
        <w:numPr>
          <w:ilvl w:val="0"/>
          <w:numId w:val="6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All payments to be made under the Notes by the Company, whether of interest or principal or otherwise, shall be made by the Company to the Paying Agent for onward distribution by the Paying Agent to the Noteholders.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04"/>
          </w:cols>
          <w:pgMar w:left="436" w:top="271" w:right="459" w:bottom="1440" w:gutter="0" w:footer="0" w:header="0"/>
        </w:sectPr>
      </w:pPr>
    </w:p>
    <w:bookmarkStart w:id="643" w:name="page644"/>
    <w:bookmarkEnd w:id="643"/>
    <w:p>
      <w:pPr>
        <w:ind w:left="424" w:hanging="424"/>
        <w:spacing w:after="0"/>
        <w:tabs>
          <w:tab w:leader="none" w:pos="424" w:val="left"/>
        </w:tabs>
        <w:numPr>
          <w:ilvl w:val="0"/>
          <w:numId w:val="6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Events of Default</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10.1  If any of the following events occur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Condition 3 (</w:t>
      </w:r>
      <w:r>
        <w:rPr>
          <w:rFonts w:ascii="Times New Roman" w:cs="Times New Roman" w:eastAsia="Times New Roman" w:hAnsi="Times New Roman"/>
          <w:sz w:val="18"/>
          <w:szCs w:val="18"/>
          <w:i w:val="1"/>
          <w:iCs w:val="1"/>
          <w:color w:val="auto"/>
        </w:rPr>
        <w:t>Redemption upon an Event of Default</w:t>
      </w:r>
      <w:r>
        <w:rPr>
          <w:rFonts w:ascii="Times New Roman" w:cs="Times New Roman" w:eastAsia="Times New Roman" w:hAnsi="Times New Roman"/>
          <w:sz w:val="18"/>
          <w:szCs w:val="18"/>
          <w:color w:val="auto"/>
        </w:rPr>
        <w:t>) shall apply:</w:t>
      </w:r>
    </w:p>
    <w:p>
      <w:pPr>
        <w:spacing w:after="0" w:line="135" w:lineRule="exact"/>
        <w:rPr>
          <w:sz w:val="20"/>
          <w:szCs w:val="20"/>
          <w:color w:val="auto"/>
        </w:rPr>
      </w:pPr>
    </w:p>
    <w:p>
      <w:pPr>
        <w:ind w:left="964" w:hanging="532"/>
        <w:spacing w:after="0"/>
        <w:tabs>
          <w:tab w:leader="none" w:pos="96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w:t>
      </w:r>
    </w:p>
    <w:p>
      <w:pPr>
        <w:spacing w:after="0" w:line="130" w:lineRule="exact"/>
        <w:rPr>
          <w:rFonts w:ascii="Times New Roman" w:cs="Times New Roman" w:eastAsia="Times New Roman" w:hAnsi="Times New Roman"/>
          <w:sz w:val="18"/>
          <w:szCs w:val="18"/>
          <w:color w:val="auto"/>
        </w:rPr>
      </w:pPr>
    </w:p>
    <w:p>
      <w:pPr>
        <w:ind w:left="1424" w:right="160" w:hanging="439"/>
        <w:spacing w:after="0" w:line="282" w:lineRule="auto"/>
        <w:tabs>
          <w:tab w:leader="none" w:pos="1424" w:val="left"/>
        </w:tabs>
        <w:numPr>
          <w:ilvl w:val="2"/>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to pay its debts as they fall due (other than solely as a result of liabilities exceeding assets) or suspends making payments on all or a material part of its debts or publicly announces an intention to do so; or</w:t>
      </w:r>
    </w:p>
    <w:p>
      <w:pPr>
        <w:spacing w:after="0" w:line="67" w:lineRule="exact"/>
        <w:rPr>
          <w:rFonts w:ascii="Times New Roman" w:cs="Times New Roman" w:eastAsia="Times New Roman" w:hAnsi="Times New Roman"/>
          <w:sz w:val="18"/>
          <w:szCs w:val="18"/>
          <w:color w:val="auto"/>
        </w:rPr>
      </w:pPr>
    </w:p>
    <w:p>
      <w:pPr>
        <w:ind w:left="1424" w:right="140" w:hanging="439"/>
        <w:spacing w:after="0" w:line="282" w:lineRule="auto"/>
        <w:tabs>
          <w:tab w:leader="none" w:pos="1424" w:val="left"/>
        </w:tabs>
        <w:numPr>
          <w:ilvl w:val="2"/>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actual or anticipated financial difficulties commences negotiations with its financial creditors generally with a view to rescheduling indebtedness generally;</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administration order is made in relation to the Company or any of its subsidiaries;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step, corporate action, or legal proceeding is taken in relation to:</w:t>
      </w:r>
    </w:p>
    <w:p>
      <w:pPr>
        <w:spacing w:after="0" w:line="130" w:lineRule="exact"/>
        <w:rPr>
          <w:rFonts w:ascii="Times New Roman" w:cs="Times New Roman" w:eastAsia="Times New Roman" w:hAnsi="Times New Roman"/>
          <w:sz w:val="18"/>
          <w:szCs w:val="18"/>
          <w:color w:val="auto"/>
        </w:rPr>
      </w:pPr>
    </w:p>
    <w:p>
      <w:pPr>
        <w:ind w:left="1424" w:right="220" w:hanging="439"/>
        <w:spacing w:after="0" w:line="282" w:lineRule="auto"/>
        <w:tabs>
          <w:tab w:leader="none" w:pos="1424" w:val="left"/>
        </w:tabs>
        <w:numPr>
          <w:ilvl w:val="2"/>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winding-up, liquidation, administration, reorganisation or dissolution of the Company or any of its subsidiaries (except for the purpose of a solvent reorganisation or amalgamation of the Company or any of its subsidiaries) or</w:t>
      </w:r>
    </w:p>
    <w:p>
      <w:pPr>
        <w:spacing w:after="0" w:line="67" w:lineRule="exact"/>
        <w:rPr>
          <w:rFonts w:ascii="Times New Roman" w:cs="Times New Roman" w:eastAsia="Times New Roman" w:hAnsi="Times New Roman"/>
          <w:sz w:val="18"/>
          <w:szCs w:val="18"/>
          <w:color w:val="auto"/>
        </w:rPr>
      </w:pPr>
    </w:p>
    <w:p>
      <w:pPr>
        <w:ind w:left="1424" w:right="660" w:hanging="439"/>
        <w:spacing w:after="0" w:line="282" w:lineRule="auto"/>
        <w:tabs>
          <w:tab w:leader="none" w:pos="1424" w:val="left"/>
        </w:tabs>
        <w:numPr>
          <w:ilvl w:val="2"/>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composition, compromise or arrangement with creditors of the Company or any of its subsidiaries by way of scheme of arrangement, restructuring plan or otherwise ; or</w:t>
      </w:r>
    </w:p>
    <w:p>
      <w:pPr>
        <w:spacing w:after="0" w:line="67" w:lineRule="exact"/>
        <w:rPr>
          <w:rFonts w:ascii="Times New Roman" w:cs="Times New Roman" w:eastAsia="Times New Roman" w:hAnsi="Times New Roman"/>
          <w:sz w:val="18"/>
          <w:szCs w:val="18"/>
          <w:color w:val="auto"/>
        </w:rPr>
      </w:pPr>
    </w:p>
    <w:p>
      <w:pPr>
        <w:ind w:left="1424" w:right="540" w:hanging="439"/>
        <w:spacing w:after="0" w:line="282" w:lineRule="auto"/>
        <w:tabs>
          <w:tab w:leader="none" w:pos="1424" w:val="left"/>
        </w:tabs>
        <w:numPr>
          <w:ilvl w:val="2"/>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analogous procedure or step to those set out in paragraphs (i) or (ii) above is taken in any jurisdiction in which the Group conducts a material part of its business and has material assets.</w:t>
      </w:r>
    </w:p>
    <w:p>
      <w:pPr>
        <w:spacing w:after="0" w:line="67" w:lineRule="exact"/>
        <w:rPr>
          <w:rFonts w:ascii="Times New Roman" w:cs="Times New Roman" w:eastAsia="Times New Roman" w:hAnsi="Times New Roman"/>
          <w:sz w:val="18"/>
          <w:szCs w:val="18"/>
          <w:color w:val="auto"/>
        </w:rPr>
      </w:pPr>
    </w:p>
    <w:p>
      <w:pPr>
        <w:ind w:left="964" w:hanging="532"/>
        <w:spacing w:after="0" w:line="257" w:lineRule="auto"/>
        <w:tabs>
          <w:tab w:leader="none" w:pos="96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encumbrancer takes possession or a Receiver is appointed of the whole or the major part of the assets or undertaking of the Company or any of its subsidiaries or if distress, execution or other legal process is levied or enforced or sued out upon or against the whole or the major part of the assets of the Company or any of its subsidiaries and is not discharged, paid out, withdrawn or removed within ten</w:t>
      </w:r>
    </w:p>
    <w:p>
      <w:pPr>
        <w:spacing w:after="0" w:line="1" w:lineRule="exact"/>
        <w:rPr>
          <w:rFonts w:ascii="Times New Roman" w:cs="Times New Roman" w:eastAsia="Times New Roman" w:hAnsi="Times New Roman"/>
          <w:sz w:val="18"/>
          <w:szCs w:val="18"/>
          <w:color w:val="auto"/>
        </w:rPr>
      </w:pPr>
    </w:p>
    <w:p>
      <w:pPr>
        <w:ind w:left="1324" w:hanging="352"/>
        <w:spacing w:after="0"/>
        <w:tabs>
          <w:tab w:leader="none" w:pos="1324"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w:t>
      </w:r>
    </w:p>
    <w:p>
      <w:pPr>
        <w:spacing w:after="0" w:line="112"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monies borrowed are not paid when due nor within any applicable grace period or become prematurely due and payable as a result of an event of default (howsoever described);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 has occurred in the financial position of the Group as a whole;</w:t>
      </w:r>
    </w:p>
    <w:p>
      <w:pPr>
        <w:spacing w:after="0" w:line="130"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failed to comply with any covenants under the Loan Note Documents and has failed to cure such non-compliance within fifteen (15) days’ notice thereof; and</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984"/>
          </w:cols>
          <w:pgMar w:left="436" w:top="266" w:right="479" w:bottom="1440" w:gutter="0" w:footer="0" w:header="0"/>
        </w:sectPr>
      </w:pPr>
    </w:p>
    <w:bookmarkStart w:id="644" w:name="page645"/>
    <w:bookmarkEnd w:id="644"/>
    <w:p>
      <w:pPr>
        <w:ind w:left="964" w:hanging="532"/>
        <w:spacing w:after="0"/>
        <w:tabs>
          <w:tab w:leader="none" w:pos="964"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fails to pay an amount when due under the terms of this Instrument or the Notes.</w:t>
      </w:r>
    </w:p>
    <w:p>
      <w:pPr>
        <w:spacing w:after="0" w:line="131"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10.2 The Company shall give written notice to the Noteholders as soon as reasonably practicable upon the Company becoming aware of the occurrence of an Event of Default, with such notice containing reasonable details of that Event of Default.</w:t>
      </w:r>
    </w:p>
    <w:p>
      <w:pPr>
        <w:spacing w:after="0" w:line="67" w:lineRule="exact"/>
        <w:rPr>
          <w:sz w:val="20"/>
          <w:szCs w:val="20"/>
          <w:color w:val="auto"/>
        </w:rPr>
      </w:pPr>
    </w:p>
    <w:p>
      <w:pPr>
        <w:ind w:left="424" w:right="500" w:hanging="431"/>
        <w:spacing w:after="0" w:line="282" w:lineRule="auto"/>
        <w:rPr>
          <w:sz w:val="20"/>
          <w:szCs w:val="20"/>
          <w:color w:val="auto"/>
        </w:rPr>
      </w:pPr>
      <w:r>
        <w:rPr>
          <w:rFonts w:ascii="Times New Roman" w:cs="Times New Roman" w:eastAsia="Times New Roman" w:hAnsi="Times New Roman"/>
          <w:sz w:val="18"/>
          <w:szCs w:val="18"/>
          <w:color w:val="auto"/>
        </w:rPr>
        <w:t>10.3 Following an Event of Default, the Majority Noteholders may instruct the Security Agent to enforce the Security Interests created under the Security Documents in accordance with the terms of the Security Trust Deed and the Security Documents.</w:t>
      </w:r>
    </w:p>
    <w:p>
      <w:pPr>
        <w:spacing w:after="0" w:line="306" w:lineRule="exact"/>
        <w:rPr>
          <w:sz w:val="20"/>
          <w:szCs w:val="20"/>
          <w:color w:val="auto"/>
        </w:rPr>
      </w:pPr>
    </w:p>
    <w:p>
      <w:pPr>
        <w:ind w:left="424" w:hanging="424"/>
        <w:spacing w:after="0"/>
        <w:tabs>
          <w:tab w:leader="none" w:pos="424" w:val="left"/>
        </w:tabs>
        <w:numPr>
          <w:ilvl w:val="0"/>
          <w:numId w:val="6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135" w:lineRule="exact"/>
        <w:rPr>
          <w:sz w:val="20"/>
          <w:szCs w:val="20"/>
          <w:color w:val="auto"/>
        </w:rPr>
      </w:pPr>
    </w:p>
    <w:p>
      <w:pPr>
        <w:ind w:left="424" w:right="580" w:hanging="431"/>
        <w:spacing w:after="0" w:line="282" w:lineRule="auto"/>
        <w:rPr>
          <w:sz w:val="20"/>
          <w:szCs w:val="20"/>
          <w:color w:val="auto"/>
        </w:rPr>
      </w:pPr>
      <w:r>
        <w:rPr>
          <w:rFonts w:ascii="Times New Roman" w:cs="Times New Roman" w:eastAsia="Times New Roman" w:hAnsi="Times New Roman"/>
          <w:sz w:val="18"/>
          <w:szCs w:val="18"/>
          <w:color w:val="auto"/>
        </w:rPr>
        <w:t>11.1 The Company shall keep a copy of this Instrument at the registered office of the Company. A Noteholder and any person authorised by the relevant Noteholder shall be at liberty at all reasonable times during office hours to inspect the said copy of this Instrument.</w:t>
      </w:r>
    </w:p>
    <w:p>
      <w:pPr>
        <w:spacing w:after="0" w:line="67" w:lineRule="exact"/>
        <w:rPr>
          <w:sz w:val="20"/>
          <w:szCs w:val="20"/>
          <w:color w:val="auto"/>
        </w:rPr>
      </w:pPr>
    </w:p>
    <w:p>
      <w:pPr>
        <w:ind w:left="424" w:right="20" w:hanging="431"/>
        <w:spacing w:after="0" w:line="266" w:lineRule="auto"/>
        <w:rPr>
          <w:sz w:val="20"/>
          <w:szCs w:val="20"/>
          <w:color w:val="auto"/>
        </w:rPr>
      </w:pPr>
      <w:r>
        <w:rPr>
          <w:rFonts w:ascii="Times New Roman" w:cs="Times New Roman" w:eastAsia="Times New Roman" w:hAnsi="Times New Roman"/>
          <w:sz w:val="18"/>
          <w:szCs w:val="18"/>
          <w:color w:val="auto"/>
        </w:rPr>
        <w:t xml:space="preserve">11.2 Other than the Additional Loan incurred in accordance with paragraph 4.4 of the Instrument, the Group shall not incur any indebtedness that would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senior to the Notes unless otherwise permitted by this Instrument without the prior consent of a Noteholder Majority and in each case such indebtedness shall be subject to an intercreditor agreement on terms satisfactory to the Noteholder Majority.</w:t>
      </w:r>
    </w:p>
    <w:p>
      <w:pPr>
        <w:spacing w:after="0" w:line="81" w:lineRule="exact"/>
        <w:rPr>
          <w:sz w:val="20"/>
          <w:szCs w:val="20"/>
          <w:color w:val="auto"/>
        </w:rPr>
      </w:pPr>
    </w:p>
    <w:p>
      <w:pPr>
        <w:ind w:left="424" w:right="120" w:hanging="431"/>
        <w:spacing w:after="0" w:line="258" w:lineRule="auto"/>
        <w:rPr>
          <w:sz w:val="20"/>
          <w:szCs w:val="20"/>
          <w:color w:val="auto"/>
        </w:rPr>
      </w:pPr>
      <w:r>
        <w:rPr>
          <w:rFonts w:ascii="Times New Roman" w:cs="Times New Roman" w:eastAsia="Times New Roman" w:hAnsi="Times New Roman"/>
          <w:sz w:val="18"/>
          <w:szCs w:val="18"/>
          <w:color w:val="auto"/>
        </w:rPr>
        <w:t>11.3 For so long as one or more Eligible Investors holds at least $20,000,000 in aggregate of the principal amount of the Notes from time to time, the Group shall not enter into any Extraordinary Transactions, other than a Qualifying IPO or a Qualifying Business Combination but including any Demerger, without the prior consent of a Noteholder Majority (such consent not to be unreasonably withheld, delayed or conditioned but it being understood that such consent may be withheld if the Noteholders reasonably determine that the terms of the Proposed Demerger or the relevant Extraordinary Transaction adversely impact the legal or financial position of the Noteholders).</w:t>
      </w:r>
    </w:p>
    <w:p>
      <w:pPr>
        <w:spacing w:after="0" w:line="89" w:lineRule="exact"/>
        <w:rPr>
          <w:sz w:val="20"/>
          <w:szCs w:val="20"/>
          <w:color w:val="auto"/>
        </w:rPr>
      </w:pPr>
    </w:p>
    <w:p>
      <w:pPr>
        <w:jc w:val="both"/>
        <w:ind w:left="424" w:right="180" w:hanging="431"/>
        <w:spacing w:after="0" w:line="266" w:lineRule="auto"/>
        <w:rPr>
          <w:sz w:val="20"/>
          <w:szCs w:val="20"/>
          <w:color w:val="auto"/>
        </w:rPr>
      </w:pPr>
      <w:r>
        <w:rPr>
          <w:rFonts w:ascii="Times New Roman" w:cs="Times New Roman" w:eastAsia="Times New Roman" w:hAnsi="Times New Roman"/>
          <w:sz w:val="18"/>
          <w:szCs w:val="18"/>
          <w:color w:val="auto"/>
        </w:rPr>
        <w:t>11.4 For as long as any of the Notes remain outstanding, the Company shall: (i) maintain an ISIN for the Notes; (ii) maintain the listing of the Notes onto the matched bargain platform of JP Jenkins; (iv) ensure that the Notes may be traded electronically through the Clearing System; and (v) at all times maintain Computershare as Registrar and Paying Agent.</w:t>
      </w:r>
    </w:p>
    <w:p>
      <w:pPr>
        <w:spacing w:after="0" w:line="81" w:lineRule="exact"/>
        <w:rPr>
          <w:sz w:val="20"/>
          <w:szCs w:val="20"/>
          <w:color w:val="auto"/>
        </w:rPr>
      </w:pPr>
    </w:p>
    <w:p>
      <w:pPr>
        <w:ind w:left="424" w:right="200" w:hanging="431"/>
        <w:spacing w:after="0" w:line="255" w:lineRule="auto"/>
        <w:rPr>
          <w:sz w:val="20"/>
          <w:szCs w:val="20"/>
          <w:color w:val="auto"/>
        </w:rPr>
      </w:pPr>
      <w:r>
        <w:rPr>
          <w:rFonts w:ascii="Times New Roman" w:cs="Times New Roman" w:eastAsia="Times New Roman" w:hAnsi="Times New Roman"/>
          <w:sz w:val="18"/>
          <w:szCs w:val="18"/>
          <w:color w:val="auto"/>
        </w:rPr>
        <w:t>11.5 The Company (i) shall not create or permit to subsist any Security Interest (other than the Security Documents) over the whole or any part of its present or future assets or revenues to secure any indebtedness; and (ii) shall procure (to the extent legally possible and permissible) that no subsidiary of the Company will create or permit to subsist any Security Interest over the whole or any part of its present or future assets or revenues to secure any financial indebtedness (a “</w:t>
      </w:r>
      <w:r>
        <w:rPr>
          <w:rFonts w:ascii="Times New Roman" w:cs="Times New Roman" w:eastAsia="Times New Roman" w:hAnsi="Times New Roman"/>
          <w:sz w:val="18"/>
          <w:szCs w:val="18"/>
          <w:b w:val="1"/>
          <w:bCs w:val="1"/>
          <w:color w:val="auto"/>
        </w:rPr>
        <w:t>Subsidiary Security Interest</w:t>
      </w:r>
      <w:r>
        <w:rPr>
          <w:rFonts w:ascii="Times New Roman" w:cs="Times New Roman" w:eastAsia="Times New Roman" w:hAnsi="Times New Roman"/>
          <w:sz w:val="18"/>
          <w:szCs w:val="18"/>
          <w:color w:val="auto"/>
        </w:rPr>
        <w:t>”), without letting the Noteholders either share equally and rateably in such Subsidiary Security Interest or benefit from an Equivalent Subsidiary Security Interest. For these purposes an “</w:t>
      </w:r>
      <w:r>
        <w:rPr>
          <w:rFonts w:ascii="Times New Roman" w:cs="Times New Roman" w:eastAsia="Times New Roman" w:hAnsi="Times New Roman"/>
          <w:sz w:val="18"/>
          <w:szCs w:val="18"/>
          <w:b w:val="1"/>
          <w:bCs w:val="1"/>
          <w:color w:val="auto"/>
        </w:rPr>
        <w:t>Equivalent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is a Security Interest which an independent expert (e.g. an independent reputable law firm) appointed by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confirmed is equivalent to and on terms which are no less favourable than the Subsidiary Security Interest.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984"/>
          </w:cols>
          <w:pgMar w:left="436" w:top="271" w:right="479" w:bottom="1440" w:gutter="0" w:footer="0" w:header="0"/>
        </w:sectPr>
      </w:pPr>
    </w:p>
    <w:bookmarkStart w:id="645" w:name="page646"/>
    <w:bookmarkEnd w:id="64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11.6  With a view to making available to the Noteholders the benefits of Rule 144 promulgated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and any other rule</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or regulation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that may at any time permit a Noteholder to sell securities of the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Company to the public without registration or pursuant to a registration on Form S-3 or Form F-3, the Company shall:</w:t>
      </w:r>
    </w:p>
    <w:p>
      <w:pPr>
        <w:spacing w:after="0" w:line="99" w:lineRule="exact"/>
        <w:rPr>
          <w:sz w:val="20"/>
          <w:szCs w:val="20"/>
          <w:color w:val="auto"/>
        </w:rPr>
      </w:pPr>
    </w:p>
    <w:p>
      <w:pPr>
        <w:ind w:left="440" w:right="400" w:hanging="4"/>
        <w:spacing w:after="0" w:line="282" w:lineRule="auto"/>
        <w:tabs>
          <w:tab w:leader="none" w:pos="685"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Rule 144, at all times after the effective date of the registration statement filed by the Company for the Qualifying IPO or Qualifying Business Combination;</w:t>
      </w:r>
    </w:p>
    <w:p>
      <w:pPr>
        <w:spacing w:after="0" w:line="53" w:lineRule="exact"/>
        <w:rPr>
          <w:rFonts w:ascii="Times New Roman" w:cs="Times New Roman" w:eastAsia="Times New Roman" w:hAnsi="Times New Roman"/>
          <w:sz w:val="18"/>
          <w:szCs w:val="18"/>
          <w:color w:val="auto"/>
        </w:rPr>
      </w:pPr>
    </w:p>
    <w:p>
      <w:pPr>
        <w:ind w:left="440" w:right="220" w:hanging="4"/>
        <w:spacing w:after="0" w:line="266" w:lineRule="auto"/>
        <w:tabs>
          <w:tab w:leader="none" w:pos="695"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file with the SEC in a timely manner all reports and other documents required of the Company under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(at any time after the Company has become subject to such reporting requirements); and</w:t>
      </w:r>
    </w:p>
    <w:p>
      <w:pPr>
        <w:spacing w:after="0" w:line="67" w:lineRule="exact"/>
        <w:rPr>
          <w:rFonts w:ascii="Times New Roman" w:cs="Times New Roman" w:eastAsia="Times New Roman" w:hAnsi="Times New Roman"/>
          <w:sz w:val="18"/>
          <w:szCs w:val="18"/>
          <w:color w:val="auto"/>
        </w:rPr>
      </w:pPr>
    </w:p>
    <w:p>
      <w:pPr>
        <w:ind w:left="440" w:right="340" w:hanging="4"/>
        <w:spacing w:after="0" w:line="276" w:lineRule="auto"/>
        <w:tabs>
          <w:tab w:leader="none" w:pos="685" w:val="left"/>
        </w:tabs>
        <w:numPr>
          <w:ilvl w:val="0"/>
          <w:numId w:val="7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any Noteholder, so long as the Noteholder owns any Registrable Securities (as defined herein), forthwith upon request (i) to the extent accurate, a written statement by the Company that it has complied with the reporting requirements of Rule 144 (at any time after ninety</w:t>
      </w:r>
    </w:p>
    <w:p>
      <w:pPr>
        <w:ind w:left="44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 days after the effective date of the registration statement filed by the Company for the Qualifying IPO or Qualifying Business Combination), the Securities Act, and the Exchange Act (at any time after the Company has become subject to such reporting requirements), or that it qualifies as a registrant whose securities may be resold pursuant to Form S-3 or Form F-3 (at any time after the Company so qualifies); and (ii) such other information as may be reasonably requested in availing any Noteholder of any rule or regulation of the SEC that permits the selling of any such securities without registration (at any time after the Company has become subject to the reporting requirements under the Exchange Act) or pursuant to Form S-3 or Form F-3 (at any time after the Company so qualifies to use such form).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  Prior to the date of a Qualifying IPO or Qualifying Business Combination, the Company will deliver to each Noteholder:</w:t>
      </w:r>
    </w:p>
    <w:p>
      <w:pPr>
        <w:spacing w:after="0" w:line="131" w:lineRule="exact"/>
        <w:rPr>
          <w:sz w:val="20"/>
          <w:szCs w:val="20"/>
          <w:color w:val="auto"/>
        </w:rPr>
      </w:pPr>
    </w:p>
    <w:p>
      <w:pPr>
        <w:ind w:left="960" w:hanging="532"/>
        <w:spacing w:after="0"/>
        <w:tabs>
          <w:tab w:leader="none" w:pos="96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they are available and in any event within 120 days after the end of each fiscal year, annual financial statements;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they are available and in any event within 45 days after the end of each quarter, quarterly financial statements;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they are available and in any event within 30 days after the end of each month, monthly financial statements;</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days prior to the end of each fiscal year, a comprehensive operating budget forecasting the Company’s revenues, expenses, and cash position on a month-to-month basis for the upcoming fiscal year;</w:t>
      </w:r>
    </w:p>
    <w:p>
      <w:pPr>
        <w:spacing w:after="0" w:line="67"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15 days after the end of each month, forecast sources and uses of cash by month for the next twelve (12) months on a rolling basis;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15 days after the end of each quarter, an up-to-date capitalisation table.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000"/>
          </w:cols>
          <w:pgMar w:left="440" w:top="266" w:right="459" w:bottom="1440" w:gutter="0" w:footer="0" w:header="0"/>
        </w:sectPr>
      </w:pPr>
    </w:p>
    <w:bookmarkStart w:id="646" w:name="page647"/>
    <w:bookmarkEnd w:id="64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11.8  The Company will use reasonable best efforts to procure a Further Investment as promptly as practicable following the date of the Deed of</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Amendment and Restatement. Prior to the consummation of a Further Investment, the Company will notify each of Apeiron and Brad Wickens in</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writing of the material terms and conditions of such Further Investment (the “</w:t>
      </w:r>
      <w:r>
        <w:rPr>
          <w:rFonts w:ascii="Times New Roman" w:cs="Times New Roman" w:eastAsia="Times New Roman" w:hAnsi="Times New Roman"/>
          <w:sz w:val="18"/>
          <w:szCs w:val="18"/>
          <w:b w:val="1"/>
          <w:bCs w:val="1"/>
          <w:color w:val="auto"/>
        </w:rPr>
        <w:t>Further Investment Notice</w:t>
      </w:r>
      <w:r>
        <w:rPr>
          <w:rFonts w:ascii="Times New Roman" w:cs="Times New Roman" w:eastAsia="Times New Roman" w:hAnsi="Times New Roman"/>
          <w:sz w:val="18"/>
          <w:szCs w:val="18"/>
          <w:color w:val="auto"/>
        </w:rPr>
        <w:t>”). Upon receipt of the Further</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Investment Notice, each of Apeiron and/or Brad Wickens (or any of their respective designees or affiliates) will have the right to participate in</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such Further Investment up to (and in addition to) the aggregate amount of such Further Investment and on substantially the terms and conditions</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of the Further Investment, in each case, as described in the Further Investment Notice. Each of Apeiron and Brad Wickens (or any of their</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respective designees or affiliates) will, within five (5) days from receipt of the Further Investment Notice, notify the Company of their election of</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whether or not to participate in such Further Investment. In the event that a Third Party Lender invests an amount equal to or greater than</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$2,000,000 in the Company or Rezolve AI Limited in connection with a Further Investment, then Apeiron and/or Brad Wickens (or any of their</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respective designees or affiliates) shall make an investment in the Company or Rezolve AI Limited (as applicable) of at least $500,000 on the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same terms and conditions as that Third Party Lender, subject only to the entry into of a customary intercreditor agreement with such Third Party</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Lender with respect to such Further Investment. The Majority Noteholders, on behalf of the Noteholders, hereby consent to the foregoing</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investment by one or more Third Party Lenders, subject only to the entry by such Third Party Lender(s) into a customary intercreditor agreement</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with respect of such Further Investment.</w:t>
      </w:r>
    </w:p>
    <w:p>
      <w:pPr>
        <w:spacing w:after="0" w:line="351" w:lineRule="exact"/>
        <w:rPr>
          <w:sz w:val="20"/>
          <w:szCs w:val="20"/>
          <w:color w:val="auto"/>
        </w:rPr>
      </w:pPr>
    </w:p>
    <w:p>
      <w:pPr>
        <w:ind w:left="424" w:hanging="424"/>
        <w:spacing w:after="0"/>
        <w:tabs>
          <w:tab w:leader="none" w:pos="424" w:val="left"/>
        </w:tabs>
        <w:numPr>
          <w:ilvl w:val="0"/>
          <w:numId w:val="7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Rights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12.1  The Company agrees that, within forty five (45) days from the date of a Qualifying IPO or Qualifying Business Combination (the “</w:t>
      </w:r>
      <w:r>
        <w:rPr>
          <w:rFonts w:ascii="Times New Roman" w:cs="Times New Roman" w:eastAsia="Times New Roman" w:hAnsi="Times New Roman"/>
          <w:sz w:val="18"/>
          <w:szCs w:val="18"/>
          <w:b w:val="1"/>
          <w:bCs w:val="1"/>
          <w:color w:val="auto"/>
        </w:rPr>
        <w:t>Registration</w:t>
      </w:r>
    </w:p>
    <w:p>
      <w:pPr>
        <w:spacing w:after="0" w:line="3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it will file with the SEC (at the Company’s sole cost and expense, including with respect to registration fees) a registration statement</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registering the resale of the Notes and any Shares held by any Major Investors from time to time (any Notes and Shares held by Major Investors,</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and any Major Investors electing to have Registrable Securities registered for resale from time to time, the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Registering Holders</w:t>
      </w:r>
      <w:r>
        <w:rPr>
          <w:rFonts w:ascii="Times New Roman" w:cs="Times New Roman" w:eastAsia="Times New Roman" w:hAnsi="Times New Roman"/>
          <w:sz w:val="18"/>
          <w:szCs w:val="18"/>
          <w:color w:val="auto"/>
        </w:rPr>
        <w:t>”, and such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shall use its commercially reasonable efforts to have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Registration Statement declared effective as soon as practicable after the filing thereof, but no later than the sixtieth (60th) calendar day (or</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ninetieth (90th) calendar day if the SEC notifies the Company that it will “review” the Registration Statement) following the Registration Deadline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Effectiveness Date</w:t>
      </w:r>
      <w:r>
        <w:rPr>
          <w:rFonts w:ascii="Times New Roman" w:cs="Times New Roman" w:eastAsia="Times New Roman" w:hAnsi="Times New Roman"/>
          <w:sz w:val="18"/>
          <w:szCs w:val="18"/>
          <w:color w:val="auto"/>
        </w:rPr>
        <w:t>”). The Company agrees to cause such Registration Statement, or another shelf registration statement that includes the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Registrable Securities to remain effective until the earlier of (i) the date on which each Major Investor and its Affiliates cease to hold any</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Registrable Securities or (ii) on the first date on which each Major Investor and its Affiliates are able to sell all of their Registrable Securities</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under Rule 144 without limitation as to the manner of sale or the amount of such securities that may be sold. Prior to the effective date of the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Registration Statement, the Company will use commercially reasonable efforts to qualify the Registrable Securities for listing on the applicable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stock exchange. Each Registering Holder agrees to disclose its beneficial ownership, as determined in accordance with Rule 13d-3 of the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Exchange Act, of the Registrable Securities to the Company (or its successor) upon request to assist the Company in making the determination</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described above. The Company’s obligations to include the Registrable Securities for resale in the Registration Statement are contingent upon the</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Registering Holder furnishing in writing to the Company such information</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024"/>
          </w:cols>
          <w:pgMar w:left="436" w:top="270" w:right="439" w:bottom="1440" w:gutter="0" w:footer="0" w:header="0"/>
        </w:sectPr>
      </w:pPr>
    </w:p>
    <w:bookmarkStart w:id="647" w:name="page648"/>
    <w:bookmarkEnd w:id="647"/>
    <w:p>
      <w:pPr>
        <w:ind w:left="42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regarding such Registering Holder or its Affiliates, the securities of the Company held by such Registering Holder or its Affiliates and the intended method of disposition of such Registrable Securities as shall be reasonably requested by the Company to effect the registration of such Registrable Securities, and execution of such documents in connection with such registration as the Company may reasonably request that are customary of a selling stockholder in similar situations. If the SEC prevents the Company from including any or all of the Registrable Securities proposed to be registered for resale under the Registration Statement due to limitations on the use of Rule 415 of the Securities Act for the resale of the Company’s securities by the applicable shareholders or otherwise, (i) such Registration Statement shall register for resale such number of Company securities which is equal to the maximum number of Company securities as is permitted by the SEC and (ii) the number of Company securities to be registered for each selling shareholder named in the Registration Statement shall be reduced pro rata among all such selling shareholders. In no event shall the Registering Holder or its Affiliates be identified as a statutory underwriter in the Registration Statement unless requested by the SEC; provided, that if the SEC requests that the Registering Holder or its Affiliate be identified as a statutory underwriter in the Registration Statement, the Registering Holder and its Affiliates will have an opportunity to withdraw from the Registration Statement. For the purposes of this Condition 12.1, “</w:t>
      </w:r>
      <w:r>
        <w:rPr>
          <w:rFonts w:ascii="Times New Roman" w:cs="Times New Roman" w:eastAsia="Times New Roman" w:hAnsi="Times New Roman"/>
          <w:sz w:val="18"/>
          <w:szCs w:val="18"/>
          <w:b w:val="1"/>
          <w:bCs w:val="1"/>
          <w:color w:val="auto"/>
        </w:rPr>
        <w:t>Major Investor</w:t>
      </w:r>
      <w:r>
        <w:rPr>
          <w:rFonts w:ascii="Times New Roman" w:cs="Times New Roman" w:eastAsia="Times New Roman" w:hAnsi="Times New Roman"/>
          <w:sz w:val="18"/>
          <w:szCs w:val="18"/>
          <w:color w:val="auto"/>
        </w:rPr>
        <w:t>” means any Noteholder that, individually or together with such Noteholder’s Affiliates, holds at least $5,000,000 in aggregate principal amount of Notes or at least 5,000,000 Shares of Registrable Securities (as adjusted for any stock split, stock dividend, combination, or other recapitalisation or reclassification effected after the date hereof).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  The Company may amend the Registration Statement so as to convert the Registration Statement to a Registration Statement on Form S-3 or Form</w:t>
      </w:r>
    </w:p>
    <w:p>
      <w:pPr>
        <w:spacing w:after="0" w:line="27" w:lineRule="exact"/>
        <w:rPr>
          <w:sz w:val="20"/>
          <w:szCs w:val="20"/>
          <w:color w:val="auto"/>
        </w:rPr>
      </w:pPr>
    </w:p>
    <w:p>
      <w:pPr>
        <w:ind w:left="420" w:right="40"/>
        <w:spacing w:after="0" w:line="250" w:lineRule="auto"/>
        <w:rPr>
          <w:sz w:val="20"/>
          <w:szCs w:val="20"/>
          <w:color w:val="auto"/>
        </w:rPr>
      </w:pPr>
      <w:r>
        <w:rPr>
          <w:rFonts w:ascii="Times New Roman" w:cs="Times New Roman" w:eastAsia="Times New Roman" w:hAnsi="Times New Roman"/>
          <w:sz w:val="18"/>
          <w:szCs w:val="18"/>
          <w:color w:val="auto"/>
        </w:rPr>
        <w:t>F-3 at such time after the Company becomes eligible to use such Form S-3 or Form F-3. Further, each Registering Holder acknowledges and agrees that the Company may delay filing or suspend the use of any such registration statement if it determines that in order for such registration statement not to contain a material misstatement or omission, an amendment thereto would be needed, if such filing or use could materially affect a bona fide business or financing transaction of the Company or in the event that filing such registration statement would require premature disclosure of information that could materially adversely affect the Company or would require premature disclosure of information that could materially adversely affect the Company (each such circumstance,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provided, that the Company shall use commercially reasonable efforts to make such Registration Statement available for the sale by each Registering Holder or its Affiliates of such securities as soon as practicable thereafter; provided, however, that the Company may not delay or suspend the Registration Statement for more than ninety</w:t>
      </w:r>
    </w:p>
    <w:p>
      <w:pPr>
        <w:spacing w:after="0" w:line="3" w:lineRule="exact"/>
        <w:rPr>
          <w:sz w:val="20"/>
          <w:szCs w:val="20"/>
          <w:color w:val="auto"/>
        </w:rPr>
      </w:pPr>
    </w:p>
    <w:p>
      <w:pPr>
        <w:ind w:left="420" w:right="440" w:firstLine="8"/>
        <w:spacing w:after="0" w:line="260" w:lineRule="auto"/>
        <w:tabs>
          <w:tab w:leader="none" w:pos="765"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calendar days, or for more than one hundred eighty (180) total calendar days, in each case in any consecutive twelve month period.</w:t>
      </w:r>
    </w:p>
    <w:p>
      <w:pPr>
        <w:spacing w:after="0" w:line="87" w:lineRule="exact"/>
        <w:rPr>
          <w:sz w:val="20"/>
          <w:szCs w:val="20"/>
          <w:color w:val="auto"/>
        </w:rPr>
      </w:pPr>
    </w:p>
    <w:p>
      <w:pPr>
        <w:ind w:left="420" w:right="20" w:hanging="431"/>
        <w:spacing w:after="0" w:line="258" w:lineRule="auto"/>
        <w:rPr>
          <w:sz w:val="20"/>
          <w:szCs w:val="20"/>
          <w:color w:val="auto"/>
        </w:rPr>
      </w:pPr>
      <w:r>
        <w:rPr>
          <w:rFonts w:ascii="Times New Roman" w:cs="Times New Roman" w:eastAsia="Times New Roman" w:hAnsi="Times New Roman"/>
          <w:sz w:val="18"/>
          <w:szCs w:val="18"/>
          <w:color w:val="auto"/>
        </w:rPr>
        <w:t>12.3 Upon receipt of any written notice from the Company of the occurrence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each Registering Holder agrees that it will (i) immediately discontinue offers and sales of the Shares under the Registration Statement (excluding, for the avoidance of doubt, sales conducted pursuant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000"/>
          </w:cols>
          <w:pgMar w:left="440" w:top="270" w:right="459" w:bottom="1440" w:gutter="0" w:footer="0" w:header="0"/>
        </w:sectPr>
      </w:pPr>
    </w:p>
    <w:bookmarkStart w:id="648" w:name="page649"/>
    <w:bookmarkEnd w:id="648"/>
    <w:p>
      <w:pPr>
        <w:ind w:left="420" w:right="1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144) until the Registering Holder or its Affiliates receives (A) (x) copies of a supplemental or amended prospectus that corrects the misstatement(s) or omission(s) referred to above and (y) notice that any post-effective amendment has become effective or (B) notice from the Company that it may resume such offers and sales, and (ii) maintain the confidentiality of any information included in such written notice delivered by the Company unless otherwise required by applicable law. If so directed by the Company, the Registering Holder and its Affiliates will deliver to the Company or destroy all copies of the prospectus covering the Shares in the Registering Holder’s or its Affiliates’ possession; provided, however, that this obligation to deliver or destroy all copies of the prospectus covering the Shares shall not apply to (i) the extent the Registering Holder or its Affiliates are required to retain a copy of such prospectus (A) in order to comply with applicable legal, regulatory, self-regulatory or professional requirements or (B) in accordance with a bona fide pre-existing document retention policy or (ii) copies stored electronically on archival servers as a result of automatic data back-up.</w:t>
      </w:r>
    </w:p>
    <w:p>
      <w:pPr>
        <w:spacing w:after="0" w:line="94" w:lineRule="exact"/>
        <w:rPr>
          <w:sz w:val="20"/>
          <w:szCs w:val="20"/>
          <w:color w:val="auto"/>
        </w:rPr>
      </w:pPr>
    </w:p>
    <w:p>
      <w:pPr>
        <w:ind w:left="420" w:right="40" w:hanging="431"/>
        <w:spacing w:after="0" w:line="252" w:lineRule="auto"/>
        <w:rPr>
          <w:sz w:val="20"/>
          <w:szCs w:val="20"/>
          <w:color w:val="auto"/>
        </w:rPr>
      </w:pPr>
      <w:r>
        <w:rPr>
          <w:rFonts w:ascii="Times New Roman" w:cs="Times New Roman" w:eastAsia="Times New Roman" w:hAnsi="Times New Roman"/>
          <w:sz w:val="18"/>
          <w:szCs w:val="18"/>
          <w:color w:val="auto"/>
        </w:rPr>
        <w:t>12.4 From and after the date of a Qualifying IPO or Qualifying Business Combination, the Company agrees to indemnify and hold each Registering Holder and its Affiliates, each person, if any, who controls such Registering Holder within the meaning of either Section 15 of the Securities Act or Section 20 of the Exchange Act, and each affiliate of such Registering Holder within the meaning of Rule 405 under the Securities Act, and each broker, placement agent or sales agent to or through which such Registering Holder or its Affiliates effects or executes the resale of any Shares (collectively, the “</w:t>
      </w:r>
      <w:r>
        <w:rPr>
          <w:rFonts w:ascii="Times New Roman" w:cs="Times New Roman" w:eastAsia="Times New Roman" w:hAnsi="Times New Roman"/>
          <w:sz w:val="18"/>
          <w:szCs w:val="18"/>
          <w:b w:val="1"/>
          <w:bCs w:val="1"/>
          <w:color w:val="auto"/>
        </w:rPr>
        <w:t>Registering Holder Indemnified Parties</w:t>
      </w:r>
      <w:r>
        <w:rPr>
          <w:rFonts w:ascii="Times New Roman" w:cs="Times New Roman" w:eastAsia="Times New Roman" w:hAnsi="Times New Roman"/>
          <w:sz w:val="18"/>
          <w:szCs w:val="18"/>
          <w:color w:val="auto"/>
        </w:rPr>
        <w:t>”), harmless against any and all losses, claims, damages and liabilities (including any out-of-pocket legal or other expenses reasonably incurred in connection with defending or investigating any such action or claim)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incurred by the Registering Holder Indemnified Parties directly that are caused by any untrue statement or alleged untrue statement of a material fact contained in the Registration Statement or any other registration statement which covers the Shares (including, in each case, the prospectus contained therein) or any amendment thereof (including the prospectus contained therein) or caused by any omission or alleged omission to state therein a material fact necessary in order to make the statements therein (in the case of a prospectus, in the light of the circumstances under which they were made), not misleading, except to the extent insofar as the same are caused by or contained in any information or affidavit so furnished in writing to the Company by such Registering Holder or its Affiliates expressly for use therein. Notwithstanding the foregoing, the Company’s indemnification obligations shall not apply to amounts paid in settlement of any Losses if such settlement is effected without the prior written consent of the Company (which consent shall not be unreasonably withheld, delayed or conditioned).</w:t>
      </w:r>
    </w:p>
    <w:p>
      <w:pPr>
        <w:spacing w:after="0" w:line="101" w:lineRule="exact"/>
        <w:rPr>
          <w:sz w:val="20"/>
          <w:szCs w:val="20"/>
          <w:color w:val="auto"/>
        </w:rPr>
      </w:pPr>
    </w:p>
    <w:p>
      <w:pPr>
        <w:ind w:left="420" w:hanging="431"/>
        <w:spacing w:after="0" w:line="255" w:lineRule="auto"/>
        <w:rPr>
          <w:sz w:val="20"/>
          <w:szCs w:val="20"/>
          <w:color w:val="auto"/>
        </w:rPr>
      </w:pPr>
      <w:r>
        <w:rPr>
          <w:rFonts w:ascii="Times New Roman" w:cs="Times New Roman" w:eastAsia="Times New Roman" w:hAnsi="Times New Roman"/>
          <w:sz w:val="18"/>
          <w:szCs w:val="18"/>
          <w:color w:val="auto"/>
        </w:rPr>
        <w:t>12.5 From and after the date of a Qualifying IPO or Qualifying Business Combination, each Registering Holder agrees to, severally and not jointly with any other selling shareholders using the applicable registration statement, indemnify and hold the Company, and the officers, employees, directors, partners, members, attorneys and agents of the Company, each person, if any, who controls the Company within the meaning of either Section 15 of the Securities Act or Section 20 of the Exchange Act, and each affiliate of the Company within the meaning of Rule 405 under the Securities Act and the directors, partners, members, attorneys and agents of such person(s) (collectively, the “</w:t>
      </w:r>
      <w:r>
        <w:rPr>
          <w:rFonts w:ascii="Times New Roman" w:cs="Times New Roman" w:eastAsia="Times New Roman" w:hAnsi="Times New Roman"/>
          <w:sz w:val="18"/>
          <w:szCs w:val="18"/>
          <w:b w:val="1"/>
          <w:bCs w:val="1"/>
          <w:color w:val="auto"/>
        </w:rPr>
        <w:t>Company Indemnified Parties</w:t>
      </w:r>
      <w:r>
        <w:rPr>
          <w:rFonts w:ascii="Times New Roman" w:cs="Times New Roman" w:eastAsia="Times New Roman" w:hAnsi="Times New Roman"/>
          <w:sz w:val="18"/>
          <w:szCs w:val="18"/>
          <w:color w:val="auto"/>
        </w:rPr>
        <w:t>”), harmless against any and all Losses incurred by the Company Indemnified Parties directly that are caused by any untrue statement or alleged untrue statement of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000"/>
          </w:cols>
          <w:pgMar w:left="440" w:top="270" w:right="459" w:bottom="1440" w:gutter="0" w:footer="0" w:header="0"/>
        </w:sectPr>
      </w:pPr>
    </w:p>
    <w:bookmarkStart w:id="649" w:name="page650"/>
    <w:bookmarkEnd w:id="649"/>
    <w:p>
      <w:pPr>
        <w:ind w:left="4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fact contained in the Registration Statement or any other registration statement which covers the Shares (including, in each case, the prospectus contained therein) or any amendment thereof (including the prospectus contained therein) or caused by any omission or alleged omission to state therein a material fact necessary in order to make the statements therein (in the case of a prospectus, in the light of the circumstances under which they were made), not misleading, to the extent insofar as the same are caused by or contained in any information or affidavit so furnished in writing to the Company by such Registering Holder or its Affiliates expressly for use therein. Notwithstanding the foregoing, in no event shall the liability of such Registering Holder or its Affiliates be greater in amount than the dollar amount of the net proceeds received by such Registering Holder or its Affiliates upon the sale of the Registrable Shares giving rise to such indemnification obligation and such Registrable Holder’s or its Affiliates’ indemnification obligations shall not apply to amounts paid in settlement of any Losses if such settlement is effected without the prior written consent of such Registering Holder or its Affiliates (which consent shall not be unreasonably withheld, delayed or conditioned).</w:t>
      </w:r>
    </w:p>
    <w:p>
      <w:pPr>
        <w:spacing w:after="0" w:line="100" w:lineRule="exact"/>
        <w:rPr>
          <w:sz w:val="20"/>
          <w:szCs w:val="20"/>
          <w:color w:val="auto"/>
        </w:rPr>
      </w:pPr>
    </w:p>
    <w:p>
      <w:pPr>
        <w:ind w:left="424" w:right="40" w:hanging="431"/>
        <w:spacing w:after="0" w:line="282" w:lineRule="auto"/>
        <w:rPr>
          <w:sz w:val="20"/>
          <w:szCs w:val="20"/>
          <w:color w:val="auto"/>
        </w:rPr>
      </w:pPr>
      <w:r>
        <w:rPr>
          <w:rFonts w:ascii="Times New Roman" w:cs="Times New Roman" w:eastAsia="Times New Roman" w:hAnsi="Times New Roman"/>
          <w:sz w:val="18"/>
          <w:szCs w:val="18"/>
          <w:color w:val="auto"/>
        </w:rPr>
        <w:t>12.6 Any failure by the Company to file the Registration Statement by the Filing Deadline or to effect such Registration Statement by the Effectiveness Date shall not otherwise relieve the Company of its obligations to file or effect the Registration Statement set forth in this Condition 12.</w:t>
      </w:r>
    </w:p>
    <w:p>
      <w:pPr>
        <w:spacing w:after="0" w:line="306" w:lineRule="exact"/>
        <w:rPr>
          <w:sz w:val="20"/>
          <w:szCs w:val="20"/>
          <w:color w:val="auto"/>
        </w:rPr>
      </w:pPr>
    </w:p>
    <w:p>
      <w:pPr>
        <w:ind w:left="424" w:hanging="424"/>
        <w:spacing w:after="0"/>
        <w:tabs>
          <w:tab w:leader="none" w:pos="424" w:val="left"/>
        </w:tabs>
        <w:numPr>
          <w:ilvl w:val="0"/>
          <w:numId w:val="7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Control</w:t>
      </w:r>
    </w:p>
    <w:p>
      <w:pPr>
        <w:spacing w:after="0" w:line="135" w:lineRule="exact"/>
        <w:rPr>
          <w:sz w:val="20"/>
          <w:szCs w:val="20"/>
          <w:color w:val="auto"/>
        </w:rPr>
      </w:pPr>
    </w:p>
    <w:p>
      <w:pPr>
        <w:ind w:left="424" w:right="80" w:hanging="431"/>
        <w:spacing w:after="0" w:line="255" w:lineRule="auto"/>
        <w:rPr>
          <w:sz w:val="20"/>
          <w:szCs w:val="20"/>
          <w:color w:val="auto"/>
        </w:rPr>
      </w:pPr>
      <w:r>
        <w:rPr>
          <w:rFonts w:ascii="Times New Roman" w:cs="Times New Roman" w:eastAsia="Times New Roman" w:hAnsi="Times New Roman"/>
          <w:sz w:val="18"/>
          <w:szCs w:val="18"/>
          <w:color w:val="auto"/>
        </w:rPr>
        <w:t>13.1 In the event that there is a Change of Control, the Company shall procure (including by way of inclusion of the terms in the relevant purchase and sale or other applicable agreement) that each Noteholder may elect to (i) continue to hold their respective Notes, (ii) have their respective Notes redeemed at their principal amount plus accrued and unpaid interest or (iii) receive the same consideration as holders of Shares in exchange for their Notes calculated on an as converted basis at the then applicable Conversion Price.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 transaction or series of related transactions in which a person, or a group of related persons, acquires from shareholders of the Company Shares or other securities representing more than fifty percent (50%) of the outstanding voting power of the Company (assuming the conversion of any acquired securities) but shall not include a Demerger.</w:t>
      </w:r>
    </w:p>
    <w:p>
      <w:pPr>
        <w:spacing w:after="0" w:line="333" w:lineRule="exact"/>
        <w:rPr>
          <w:sz w:val="20"/>
          <w:szCs w:val="20"/>
          <w:color w:val="auto"/>
        </w:rPr>
      </w:pPr>
    </w:p>
    <w:p>
      <w:pPr>
        <w:ind w:left="424" w:hanging="424"/>
        <w:spacing w:after="0"/>
        <w:tabs>
          <w:tab w:leader="none" w:pos="424" w:val="left"/>
        </w:tabs>
        <w:numPr>
          <w:ilvl w:val="0"/>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424" w:right="20" w:hanging="431"/>
        <w:spacing w:after="0" w:line="273" w:lineRule="auto"/>
        <w:rPr>
          <w:sz w:val="20"/>
          <w:szCs w:val="20"/>
          <w:color w:val="auto"/>
        </w:rPr>
      </w:pPr>
      <w:r>
        <w:rPr>
          <w:rFonts w:ascii="Times New Roman" w:cs="Times New Roman" w:eastAsia="Times New Roman" w:hAnsi="Times New Roman"/>
          <w:sz w:val="17"/>
          <w:szCs w:val="17"/>
          <w:color w:val="auto"/>
        </w:rPr>
        <w:t>14.1 Any notice or other document may be given to or served on any Noteholder by sending it by first-class post in a prepaid envelope addressed to such Noteholder at his registered address, or by email to any email address notified by the Noteholder to the Company for this purpose. In the case of joint Noteholders, a notice given to or document served on the Noteholder whose name stands first in the register in respect of such Notes shall be sufficient notice to or service on all the joint holders. Any such notice sent or document served by first-class post shall be deemed to have been given or served 48 hours (or 96 hours in the case of a notice or document sent to an address for a Noteholder not in the United Kingdom) after the time when it is posted and in proving such notice or service, it shall be sufficient to prove that the envelope containing the notice or document was properly addressed, stamped and posted. Any such notice or document sent by email shall be deemed to be given when received in legible form.</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004"/>
          </w:cols>
          <w:pgMar w:left="436" w:top="270" w:right="459" w:bottom="1440" w:gutter="0" w:footer="0" w:header="0"/>
        </w:sectPr>
      </w:pPr>
    </w:p>
    <w:bookmarkStart w:id="650" w:name="page651"/>
    <w:bookmarkEnd w:id="650"/>
    <w:p>
      <w:pPr>
        <w:ind w:left="424" w:right="140" w:hanging="43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14.2 Any notice or other document delivered or sent by post to, or left at, the registered address of any Noteholder in pursuance of these provisions shall, notwithstanding that such Noteholder is then dead or bankrupt or in liquidation, and whether or not the Company has notice of his death or bankruptcy or liquidation, be deemed to have been duly served or delivered in respect of any Notes registered in the name of such Noteholder as sole or first-named joint holder unless his name shall at the time of the service of the notice or document have been removed from the register as the holder of the Notes, and such service shall for all purposes be deemed sufficient service of such notice or document on all persons interested (whether jointly with or as claiming through or under him) in the Notes.</w:t>
      </w: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14.3  In addition, the Company may deliver all notices concerning the Notes to the Registrar for communication by the Registrar to the Noteholders.</w:t>
      </w:r>
    </w:p>
    <w:p>
      <w:pPr>
        <w:spacing w:after="0" w:line="370" w:lineRule="exact"/>
        <w:rPr>
          <w:sz w:val="20"/>
          <w:szCs w:val="20"/>
          <w:color w:val="auto"/>
        </w:rPr>
      </w:pPr>
    </w:p>
    <w:p>
      <w:pPr>
        <w:ind w:left="424" w:hanging="424"/>
        <w:spacing w:after="0"/>
        <w:tabs>
          <w:tab w:leader="none" w:pos="424" w:val="left"/>
        </w:tabs>
        <w:numPr>
          <w:ilvl w:val="0"/>
          <w:numId w:val="7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15.1  All or any of the rights for the time being attached to the Notes or other provisions of this Instrument may from time to time (whether or not the</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Company is being wound up) be altered or abrogated with the prior written consent of a Noteholder Majority, provided that:</w:t>
      </w:r>
    </w:p>
    <w:p>
      <w:pPr>
        <w:spacing w:after="0" w:line="112" w:lineRule="exact"/>
        <w:rPr>
          <w:sz w:val="20"/>
          <w:szCs w:val="20"/>
          <w:color w:val="auto"/>
        </w:rPr>
      </w:pPr>
    </w:p>
    <w:p>
      <w:pPr>
        <w:ind w:left="964" w:hanging="532"/>
        <w:spacing w:after="0"/>
        <w:tabs>
          <w:tab w:leader="none" w:pos="964"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may be made which is: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to the date of payment of any amount under the Notes;</w:t>
      </w:r>
    </w:p>
    <w:p>
      <w:pPr>
        <w:spacing w:after="0" w:line="252"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the amount of any payment of principal, interest, fees or commission payable;</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currency of payment of any amount under the Notes,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ranking or priority of the Notes; or</w:t>
      </w:r>
    </w:p>
    <w:p>
      <w:pPr>
        <w:spacing w:after="0" w:line="130" w:lineRule="exact"/>
        <w:rPr>
          <w:rFonts w:ascii="Times New Roman" w:cs="Times New Roman" w:eastAsia="Times New Roman" w:hAnsi="Times New Roman"/>
          <w:sz w:val="18"/>
          <w:szCs w:val="18"/>
          <w:color w:val="auto"/>
        </w:rPr>
      </w:pPr>
    </w:p>
    <w:p>
      <w:pPr>
        <w:ind w:left="1424" w:right="360" w:hanging="439"/>
        <w:spacing w:after="0" w:line="282" w:lineRule="auto"/>
        <w:tabs>
          <w:tab w:leader="none" w:pos="1424"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or has the effect of changing any Security Document or the Security Trust Deed; without the prior written consent of a Noteholder Supermajority;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may be made to the terms of the Notes or this Instrument unless such amendment applies to all Notes issued hereunder.</w:t>
      </w:r>
    </w:p>
    <w:p>
      <w:pPr>
        <w:spacing w:after="0" w:line="131" w:lineRule="exact"/>
        <w:rPr>
          <w:sz w:val="20"/>
          <w:szCs w:val="20"/>
          <w:color w:val="auto"/>
        </w:rPr>
      </w:pPr>
    </w:p>
    <w:p>
      <w:pPr>
        <w:jc w:val="both"/>
        <w:ind w:left="424" w:right="140" w:hanging="431"/>
        <w:spacing w:after="0" w:line="266" w:lineRule="auto"/>
        <w:rPr>
          <w:sz w:val="20"/>
          <w:szCs w:val="20"/>
          <w:color w:val="auto"/>
        </w:rPr>
      </w:pPr>
      <w:r>
        <w:rPr>
          <w:rFonts w:ascii="Times New Roman" w:cs="Times New Roman" w:eastAsia="Times New Roman" w:hAnsi="Times New Roman"/>
          <w:sz w:val="18"/>
          <w:szCs w:val="18"/>
          <w:color w:val="auto"/>
        </w:rPr>
        <w:t>15.2 Any amendment or waiver agreed to by the Noteholder Majority or Noteholder Supermajority, as applicable, subject to the provisos in Condition 15.1, shall be binding on all Noteholders. Any such alteration or abrogation shall be effected by way of deed poll executed by the Company and expressed to be supplemental to this Instrument.</w:t>
      </w:r>
    </w:p>
    <w:p>
      <w:pPr>
        <w:spacing w:after="0" w:line="81" w:lineRule="exact"/>
        <w:rPr>
          <w:sz w:val="20"/>
          <w:szCs w:val="20"/>
          <w:color w:val="auto"/>
        </w:rPr>
      </w:pPr>
    </w:p>
    <w:p>
      <w:pPr>
        <w:ind w:left="424" w:right="200" w:hanging="431"/>
        <w:spacing w:after="0" w:line="282" w:lineRule="auto"/>
        <w:rPr>
          <w:sz w:val="20"/>
          <w:szCs w:val="20"/>
          <w:color w:val="auto"/>
        </w:rPr>
      </w:pPr>
      <w:r>
        <w:rPr>
          <w:rFonts w:ascii="Times New Roman" w:cs="Times New Roman" w:eastAsia="Times New Roman" w:hAnsi="Times New Roman"/>
          <w:sz w:val="18"/>
          <w:szCs w:val="18"/>
          <w:color w:val="auto"/>
        </w:rPr>
        <w:t>15.3 The Company shall, within five (5) Business Days of making any variation pursuant to this Condition 15, send to each Noteholder a copy of the instrument effecting the variation.</w:t>
      </w:r>
    </w:p>
    <w:p>
      <w:pPr>
        <w:spacing w:after="0" w:line="306" w:lineRule="exact"/>
        <w:rPr>
          <w:sz w:val="20"/>
          <w:szCs w:val="20"/>
          <w:color w:val="auto"/>
        </w:rPr>
      </w:pPr>
    </w:p>
    <w:p>
      <w:pPr>
        <w:ind w:left="424" w:hanging="424"/>
        <w:spacing w:after="0"/>
        <w:tabs>
          <w:tab w:leader="none" w:pos="424" w:val="left"/>
        </w:tabs>
        <w:numPr>
          <w:ilvl w:val="0"/>
          <w:numId w:val="7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135"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16.1 The Notes, and any claim, dispute or issue arising out of or in connection with the Notes or their subject matter (including non-contractual claims), will be governed by, and construed in accordance with, the laws of England.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004"/>
          </w:cols>
          <w:pgMar w:left="436" w:top="270" w:right="459" w:bottom="1440" w:gutter="0" w:footer="0" w:header="0"/>
        </w:sectPr>
      </w:pPr>
    </w:p>
    <w:bookmarkStart w:id="651" w:name="page652"/>
    <w:bookmarkEnd w:id="651"/>
    <w:p>
      <w:pPr>
        <w:ind w:left="16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16.2 The courts of England shall have exclusive jurisdiction to settle any dispute which may arise out of, or in connection with, the Notes or their subject matter (including non-contractual claims). Accordingly, any proceedings relating to, or in connection with, the Notes may be brought in such courts.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0500"/>
          </w:cols>
          <w:pgMar w:left="700" w:top="270" w:right="699" w:bottom="1440" w:gutter="0" w:footer="0" w:header="0"/>
        </w:sectPr>
      </w:pPr>
    </w:p>
    <w:bookmarkStart w:id="652" w:name="page653"/>
    <w:bookmarkEnd w:id="65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Company Redemption Offer Notice</w:t>
      </w:r>
    </w:p>
    <w:p>
      <w:pPr>
        <w:spacing w:after="0" w:line="25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w:t>
      </w:r>
      <w:r>
        <w:rPr>
          <w:rFonts w:ascii="Times New Roman" w:cs="Times New Roman" w:eastAsia="Times New Roman" w:hAnsi="Times New Roman"/>
          <w:sz w:val="18"/>
          <w:szCs w:val="18"/>
          <w:i w:val="1"/>
          <w:iCs w:val="1"/>
          <w:color w:val="auto"/>
        </w:rPr>
        <w:t>Noteholder</w:t>
      </w:r>
      <w:r>
        <w:rPr>
          <w:rFonts w:ascii="Times New Roman" w:cs="Times New Roman" w:eastAsia="Times New Roman" w:hAnsi="Times New Roman"/>
          <w:sz w:val="18"/>
          <w:szCs w:val="18"/>
          <w:color w:val="auto"/>
        </w:rPr>
        <w:t>] [Date]</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Sirs/Madams,</w:t>
      </w:r>
    </w:p>
    <w:p>
      <w:pPr>
        <w:spacing w:after="0" w:line="221" w:lineRule="exact"/>
        <w:rPr>
          <w:sz w:val="20"/>
          <w:szCs w:val="20"/>
          <w:color w:val="auto"/>
        </w:rPr>
      </w:pPr>
    </w:p>
    <w:p>
      <w:pPr>
        <w:jc w:val="center"/>
        <w:ind w:left="440" w:right="20"/>
        <w:spacing w:after="0" w:line="268" w:lineRule="auto"/>
        <w:rPr>
          <w:sz w:val="20"/>
          <w:szCs w:val="20"/>
          <w:color w:val="auto"/>
        </w:rPr>
      </w:pPr>
      <w:r>
        <w:rPr>
          <w:rFonts w:ascii="Times New Roman" w:cs="Times New Roman" w:eastAsia="Times New Roman" w:hAnsi="Times New Roman"/>
          <w:sz w:val="18"/>
          <w:szCs w:val="18"/>
          <w:b w:val="1"/>
          <w:bCs w:val="1"/>
          <w:color w:val="auto"/>
        </w:rPr>
        <w:t>7.50% Senior Secured Convertible Loan Notes, issued by the Company pursuant to an instrument originally dated 16 December 2021, as amended and restated on 21 November 2022 and 23 May 2023, as further amended on 18 December 2023 and 29 December 2023 and as further amended and restated on [•] 2024 (the “Instrument)</w:t>
      </w:r>
    </w:p>
    <w:p>
      <w:pPr>
        <w:spacing w:after="0" w:line="175" w:lineRule="exact"/>
        <w:rPr>
          <w:sz w:val="20"/>
          <w:szCs w:val="20"/>
          <w:color w:val="auto"/>
        </w:rPr>
      </w:pPr>
    </w:p>
    <w:p>
      <w:pPr>
        <w:jc w:val="both"/>
        <w:ind w:left="4" w:right="360"/>
        <w:spacing w:after="0" w:line="266" w:lineRule="auto"/>
        <w:rPr>
          <w:sz w:val="20"/>
          <w:szCs w:val="20"/>
          <w:color w:val="auto"/>
        </w:rPr>
      </w:pPr>
      <w:r>
        <w:rPr>
          <w:rFonts w:ascii="Times New Roman" w:cs="Times New Roman" w:eastAsia="Times New Roman" w:hAnsi="Times New Roman"/>
          <w:sz w:val="18"/>
          <w:szCs w:val="18"/>
          <w:color w:val="auto"/>
        </w:rPr>
        <w:t>Reference is made to the Instrument. Capitalised terms used in this notice and not otherwise defined herein shall have the meanings ascribed to such terms in the Instrument. Pursuant to Condition 5 of the Instrument, the Company hereby notifies you of its request to redeem all of your outstanding Notes and the following information:</w:t>
      </w:r>
    </w:p>
    <w:p>
      <w:pPr>
        <w:spacing w:after="0" w:line="77" w:lineRule="exact"/>
        <w:rPr>
          <w:sz w:val="20"/>
          <w:szCs w:val="20"/>
          <w:color w:val="auto"/>
        </w:rPr>
      </w:pPr>
    </w:p>
    <w:p>
      <w:pPr>
        <w:ind w:left="964" w:hanging="532"/>
        <w:spacing w:after="0"/>
        <w:tabs>
          <w:tab w:leader="none" w:pos="964"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proposes to redeem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all of the outstanding Notes on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w:t>
      </w:r>
    </w:p>
    <w:p>
      <w:pPr>
        <w:spacing w:after="0" w:line="62" w:lineRule="exact"/>
        <w:rPr>
          <w:rFonts w:ascii="Times New Roman" w:cs="Times New Roman" w:eastAsia="Times New Roman" w:hAnsi="Times New Roman"/>
          <w:sz w:val="18"/>
          <w:szCs w:val="18"/>
          <w:color w:val="auto"/>
        </w:rPr>
      </w:pPr>
    </w:p>
    <w:p>
      <w:pPr>
        <w:ind w:left="964" w:right="180" w:hanging="532"/>
        <w:spacing w:after="0" w:line="254" w:lineRule="auto"/>
        <w:tabs>
          <w:tab w:leader="none" w:pos="964"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for the Notes shall be equal to $[•] (comprised of $[•] being equal to the sum of (i) the product of (x) 2 and (y) the outstanding aggregate principal amount in respect of such Notes and (ii) $[•] being the accrued and unpaid interest on the relevant Notes)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964" w:right="120" w:hanging="532"/>
        <w:spacing w:after="0" w:line="261" w:lineRule="auto"/>
        <w:tabs>
          <w:tab w:leader="none" w:pos="964"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shall become due and payable on the Redemption Date with payment made via the Paying Agent, and interest on the Notes shall cease to accrue on and after the Redemption Date (unless the Company shall have defaulted on the payment of the Redemption Price on the Redemption Date, in which case default interest shall apply from the Redemption Date until the date of payment of the Redemption Price in accordance with Condition 2.5).</w:t>
      </w:r>
    </w:p>
    <w:p>
      <w:pPr>
        <w:spacing w:after="0" w:line="85" w:lineRule="exact"/>
        <w:rPr>
          <w:rFonts w:ascii="Times New Roman" w:cs="Times New Roman" w:eastAsia="Times New Roman" w:hAnsi="Times New Roman"/>
          <w:sz w:val="18"/>
          <w:szCs w:val="18"/>
          <w:color w:val="auto"/>
        </w:rPr>
      </w:pPr>
    </w:p>
    <w:p>
      <w:pPr>
        <w:ind w:left="964" w:right="640" w:hanging="532"/>
        <w:spacing w:after="0" w:line="282" w:lineRule="auto"/>
        <w:tabs>
          <w:tab w:leader="none" w:pos="964"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Noteholder elects to exercise its conversion rights in respect of its Notes prior to the Redemption Date in accordance with Condition 5.3, such Noteholder’s Notes will be redeemed for cash on the Redemption Date.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7152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364" w:right="4360" w:hanging="5364"/>
        <w:spacing w:after="0" w:line="334" w:lineRule="auto"/>
        <w:tabs>
          <w:tab w:leader="none" w:pos="423" w:val="left"/>
        </w:tabs>
        <w:numPr>
          <w:ilvl w:val="0"/>
          <w:numId w:val="7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be between 15-30 days following date of Company Redemption Offer Notice. B-1</w:t>
      </w:r>
    </w:p>
    <w:p>
      <w:pPr>
        <w:sectPr>
          <w:pgSz w:w="11900" w:h="16838" w:orient="portrait"/>
          <w:cols w:equalWidth="0" w:num="1">
            <w:col w:w="11024"/>
          </w:cols>
          <w:pgMar w:left="436" w:top="266" w:right="439" w:bottom="1440" w:gutter="0" w:footer="0" w:header="0"/>
        </w:sectPr>
      </w:pPr>
    </w:p>
    <w:bookmarkStart w:id="653" w:name="page654"/>
    <w:bookmarkEnd w:id="65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925830" cy="44577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7">
                      <a:extLst>
                        <a:ext uri="{28A0092B-C50C-407E-A947-70E740481C1C}"/>
                      </a:extLst>
                    </a:blip>
                    <a:srcRect/>
                    <a:stretch>
                      <a:fillRect/>
                    </a:stretch>
                  </pic:blipFill>
                  <pic:spPr bwMode="auto">
                    <a:xfrm>
                      <a:off x="0" y="0"/>
                      <a:ext cx="9258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on Form F-4 of our report dated May 20, 2024, except for Notes 2.20, 13 and 14, as to which the date is June 11, 2024, which includes an explanatory paragraph as to the Company’s ability to continue as a going concern and an emphasis-of-matter for the Restatement of the 2023 and 2022 Financial Statements, relating to the carve-out consolidated financial statements of Rezolve AI Limited and Subsidiaries as of and for the years ended December 31, 2023 (restated) and 2022 (restated). We also consent to the reference to our firm under the heading “Experts” appearing therein.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5272405</wp:posOffset>
            </wp:positionV>
            <wp:extent cx="2623185" cy="41148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8">
                      <a:extLst>
                        <a:ext uri="{28A0092B-C50C-407E-A947-70E740481C1C}"/>
                      </a:extLst>
                    </a:blip>
                    <a:srcRect/>
                    <a:stretch>
                      <a:fillRect/>
                    </a:stretch>
                  </pic:blipFill>
                  <pic:spPr bwMode="auto">
                    <a:xfrm>
                      <a:off x="0" y="0"/>
                      <a:ext cx="2623185" cy="411480"/>
                    </a:xfrm>
                    <a:prstGeom prst="rect">
                      <a:avLst/>
                    </a:prstGeom>
                    <a:noFill/>
                  </pic:spPr>
                </pic:pic>
              </a:graphicData>
            </a:graphic>
          </wp:anchor>
        </w:drawing>
      </w:r>
    </w:p>
    <w:p>
      <w:pPr>
        <w:sectPr>
          <w:pgSz w:w="11900" w:h="16838" w:orient="portrait"/>
          <w:cols w:equalWidth="0" w:num="1">
            <w:col w:w="11020"/>
          </w:cols>
          <w:pgMar w:left="440" w:top="118" w:right="439" w:bottom="1440" w:gutter="0" w:footer="0" w:header="0"/>
        </w:sectPr>
      </w:pPr>
    </w:p>
    <w:bookmarkStart w:id="654" w:name="page655"/>
    <w:bookmarkEnd w:id="65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inclusion in this Registration Statement of Rezolve AI Limited on Amendment No. 6 to Form F-4 (File No. 333-272751) of our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2023, which includes an explanatory paragraph as to Armada Acquisition Corp. I’s ability to continue as a going concern,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our audits of the financial statements of Armada Acquisition Corp. I as of September 30, 2023 and 2022 and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and 2022, which report appears in the Prospectus, which is part of this Registration Statement. We also consent to the reference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Firm under the heading “Experts” in such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ectPr>
          <w:pgSz w:w="11900" w:h="16838" w:orient="portrait"/>
          <w:cols w:equalWidth="0" w:num="1">
            <w:col w:w="11020"/>
          </w:cols>
          <w:pgMar w:left="440" w:top="118" w:right="439" w:bottom="1440" w:gutter="0" w:footer="0" w:header="0"/>
        </w:sectPr>
      </w:pPr>
    </w:p>
    <w:bookmarkStart w:id="655" w:name="page656"/>
    <w:bookmarkEnd w:id="655"/>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Marshall &amp; Stevens Transaction Advisory Services LLC</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hereby consent to the quotation and summarization of our opinion letter to the Board of Directors of Armada Acquisition Corp. I (“Armada”) in the proxy statement/prospectus contained in the Company’s registration statement on Form F-4 relating to the proposed business combination between Armada, Rezolve AI limited and Rezolve Limited (the “Registration Statement”), as well as to the references to our firm and such opinion letter contained therein. In giving this consent, we do not admit, and we understand that Armada not contend,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It is understood that we will not be held out by Armada in the Registration Statement or in any other disclosure document, filing or communication as such an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2057400" cy="46291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9">
                      <a:extLst>
                        <a:ext uri="{28A0092B-C50C-407E-A947-70E740481C1C}"/>
                      </a:extLst>
                    </a:blip>
                    <a:srcRect/>
                    <a:stretch>
                      <a:fillRect/>
                    </a:stretch>
                  </pic:blipFill>
                  <pic:spPr bwMode="auto">
                    <a:xfrm>
                      <a:off x="0" y="0"/>
                      <a:ext cx="20574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Marshall &amp; Stevens Transaction Advisory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ectPr>
          <w:pgSz w:w="11900" w:h="16838" w:orient="portrait"/>
          <w:cols w:equalWidth="0" w:num="1">
            <w:col w:w="11020"/>
          </w:cols>
          <w:pgMar w:left="440" w:top="118" w:right="439" w:bottom="1440" w:gutter="0" w:footer="0" w:header="0"/>
        </w:sectPr>
      </w:pPr>
    </w:p>
    <w:bookmarkStart w:id="656" w:name="page657"/>
    <w:bookmarkEnd w:id="656"/>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NORTHLAND CAPITAL MARKETS</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our opinion letter, dated March 31, 2022, to the Board of Directors of Armada Acquisition Corp. I in the Proxy Statement/Prospectus which forms a part of the Registration Statement on Form F-4 relating to the proposed business combination between Armada Acquisition Corp. I and Rezolve Limited and to the references to such opinion therein.</w:t>
      </w:r>
    </w:p>
    <w:p>
      <w:pPr>
        <w:spacing w:after="0" w:line="17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or the rules and regulations of the Securities and Exchange Commission thereunder.</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Northland Capital Markets is the trade name for certain capital markets and investment banking activities of Northland Securities, Inc., member FINRA/SIPC.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Jeff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79463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11, 2024</w:t>
      </w:r>
    </w:p>
    <w:sectPr>
      <w:pgSz w:w="11900" w:h="16838" w:orient="portrait"/>
      <w:cols w:equalWidth="0" w:num="1">
        <w:col w:w="11020"/>
      </w:cols>
      <w:pgMar w:left="44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04301"/>
    <w:multiLevelType w:val="hybridMultilevel"/>
    <w:lvl w:ilvl="0">
      <w:lvlJc w:val="left"/>
      <w:lvlText w:val="1"/>
      <w:numFmt w:val="bullet"/>
      <w:start w:val="1"/>
    </w:lvl>
  </w:abstractNum>
  <w:abstractNum w:abstractNumId="1">
    <w:nsid w:val="116E0907"/>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25"/>
    </w:lvl>
  </w:abstractNum>
  <w:abstractNum w:abstractNumId="2">
    <w:nsid w:val="4B683D0D"/>
    <w:multiLevelType w:val="hybridMultilevel"/>
    <w:lvl w:ilvl="0">
      <w:lvlJc w:val="left"/>
      <w:lvlText w:val="(%1)"/>
      <w:numFmt w:val="lowerRoman"/>
      <w:start w:val="2"/>
    </w:lvl>
  </w:abstractNum>
  <w:abstractNum w:abstractNumId="3">
    <w:nsid w:val="76E41D8"/>
    <w:multiLevelType w:val="hybridMultilevel"/>
    <w:lvl w:ilvl="0">
      <w:lvlJc w:val="left"/>
      <w:lvlText w:val="%1."/>
      <w:numFmt w:val="decimal"/>
      <w:start w:val="2"/>
    </w:lvl>
  </w:abstractNum>
  <w:abstractNum w:abstractNumId="4">
    <w:nsid w:val="71DCE0FD"/>
    <w:multiLevelType w:val="hybridMultilevel"/>
    <w:lvl w:ilvl="0">
      <w:lvlJc w:val="left"/>
      <w:lvlText w:val="(%1)"/>
      <w:numFmt w:val="lowerRoman"/>
      <w:start w:val="3"/>
    </w:lvl>
  </w:abstractNum>
  <w:abstractNum w:abstractNumId="5">
    <w:nsid w:val="7906328B"/>
    <w:multiLevelType w:val="hybridMultilevel"/>
    <w:lvl w:ilvl="0">
      <w:lvlJc w:val="left"/>
      <w:lvlText w:val="2"/>
      <w:numFmt w:val="bullet"/>
      <w:start w:val="1"/>
    </w:lvl>
  </w:abstractNum>
  <w:abstractNum w:abstractNumId="6">
    <w:nsid w:val="72BBC16"/>
    <w:multiLevelType w:val="hybridMultilevel"/>
    <w:lvl w:ilvl="0">
      <w:lvlJc w:val="left"/>
      <w:lvlText w:val="•"/>
      <w:numFmt w:val="bullet"/>
      <w:start w:val="1"/>
    </w:lvl>
  </w:abstractNum>
  <w:abstractNum w:abstractNumId="7">
    <w:nsid w:val="766D98C2"/>
    <w:multiLevelType w:val="hybridMultilevel"/>
    <w:lvl w:ilvl="0">
      <w:lvlJc w:val="left"/>
      <w:lvlText w:val="(%1)"/>
      <w:numFmt w:val="lowerRoman"/>
      <w:start w:val="1"/>
    </w:lvl>
  </w:abstractNum>
  <w:abstractNum w:abstractNumId="8">
    <w:nsid w:val="3C09D4A1"/>
    <w:multiLevelType w:val="hybridMultilevel"/>
    <w:lvl w:ilvl="0">
      <w:lvlJc w:val="left"/>
      <w:lvlText w:val="(%1)"/>
      <w:numFmt w:val="decimal"/>
      <w:start w:val="1"/>
    </w:lvl>
  </w:abstractNum>
  <w:abstractNum w:abstractNumId="9">
    <w:nsid w:val="20E45CA4"/>
    <w:multiLevelType w:val="hybridMultilevel"/>
    <w:lvl w:ilvl="0">
      <w:lvlJc w:val="left"/>
      <w:lvlText w:val="(%1)"/>
      <w:numFmt w:val="decimal"/>
      <w:start w:val="2"/>
    </w:lvl>
  </w:abstractNum>
  <w:abstractNum w:abstractNumId="10">
    <w:nsid w:val="4B232EE3"/>
    <w:multiLevelType w:val="hybridMultilevel"/>
    <w:lvl w:ilvl="0">
      <w:lvlJc w:val="left"/>
      <w:lvlText w:val="•"/>
      <w:numFmt w:val="bullet"/>
      <w:start w:val="1"/>
    </w:lvl>
  </w:abstractNum>
  <w:abstractNum w:abstractNumId="11">
    <w:nsid w:val="159C74CF"/>
    <w:multiLevelType w:val="hybridMultilevel"/>
    <w:lvl w:ilvl="0">
      <w:lvlJc w:val="left"/>
      <w:lvlText w:val="•"/>
      <w:numFmt w:val="bullet"/>
      <w:start w:val="1"/>
    </w:lvl>
  </w:abstractNum>
  <w:abstractNum w:abstractNumId="12">
    <w:nsid w:val="4AD3AFD2"/>
    <w:multiLevelType w:val="hybridMultilevel"/>
    <w:lvl w:ilvl="0">
      <w:lvlJc w:val="left"/>
      <w:lvlText w:val="•"/>
      <w:numFmt w:val="bullet"/>
      <w:start w:val="1"/>
    </w:lvl>
  </w:abstractNum>
  <w:abstractNum w:abstractNumId="13">
    <w:nsid w:val="3CF93092"/>
    <w:multiLevelType w:val="hybridMultilevel"/>
    <w:lvl w:ilvl="0">
      <w:lvlJc w:val="left"/>
      <w:lvlText w:val="•"/>
      <w:numFmt w:val="bullet"/>
      <w:start w:val="1"/>
    </w:lvl>
  </w:abstractNum>
  <w:abstractNum w:abstractNumId="14">
    <w:nsid w:val="6863E8D2"/>
    <w:multiLevelType w:val="hybridMultilevel"/>
    <w:lvl w:ilvl="0">
      <w:lvlJc w:val="left"/>
      <w:lvlText w:val="•"/>
      <w:numFmt w:val="bullet"/>
      <w:start w:val="1"/>
    </w:lvl>
  </w:abstractNum>
  <w:abstractNum w:abstractNumId="15">
    <w:nsid w:val="76896198"/>
    <w:multiLevelType w:val="hybridMultilevel"/>
    <w:lvl w:ilvl="0">
      <w:lvlJc w:val="left"/>
      <w:lvlText w:val="%1:"/>
      <w:numFmt w:val="upperLetter"/>
      <w:start w:val="17"/>
    </w:lvl>
  </w:abstractNum>
  <w:abstractNum w:abstractNumId="16">
    <w:nsid w:val="4365174B"/>
    <w:multiLevelType w:val="hybridMultilevel"/>
    <w:lvl w:ilvl="0">
      <w:lvlJc w:val="left"/>
      <w:lvlText w:val="%1:"/>
      <w:numFmt w:val="upperLetter"/>
      <w:start w:val="1"/>
    </w:lvl>
    <w:lvl w:ilvl="1">
      <w:lvlJc w:val="left"/>
      <w:lvlText w:val="(%2)"/>
      <w:numFmt w:val="lowerRoman"/>
      <w:start w:val="1"/>
    </w:lvl>
  </w:abstractNum>
  <w:abstractNum w:abstractNumId="17">
    <w:nsid w:val="4A872C35"/>
    <w:multiLevelType w:val="hybridMultilevel"/>
    <w:lvl w:ilvl="0">
      <w:lvlJc w:val="left"/>
      <w:lvlText w:val="%1:"/>
      <w:numFmt w:val="upperLetter"/>
      <w:start w:val="17"/>
    </w:lvl>
  </w:abstractNum>
  <w:abstractNum w:abstractNumId="18">
    <w:nsid w:val="5D5CE761"/>
    <w:multiLevelType w:val="hybridMultilevel"/>
    <w:lvl w:ilvl="0">
      <w:lvlJc w:val="left"/>
      <w:lvlText w:val="%1:"/>
      <w:numFmt w:val="upperLetter"/>
      <w:start w:val="17"/>
    </w:lvl>
  </w:abstractNum>
  <w:abstractNum w:abstractNumId="19">
    <w:nsid w:val="1CD484D5"/>
    <w:multiLevelType w:val="hybridMultilevel"/>
    <w:lvl w:ilvl="0">
      <w:lvlJc w:val="left"/>
      <w:lvlText w:val="%1:"/>
      <w:numFmt w:val="upperLetter"/>
      <w:start w:val="1"/>
    </w:lvl>
  </w:abstractNum>
  <w:abstractNum w:abstractNumId="20">
    <w:nsid w:val="21D06255"/>
    <w:multiLevelType w:val="hybridMultilevel"/>
    <w:lvl w:ilvl="0">
      <w:lvlJc w:val="left"/>
      <w:lvlText w:val="%1:"/>
      <w:numFmt w:val="upperLetter"/>
      <w:start w:val="17"/>
    </w:lvl>
  </w:abstractNum>
  <w:abstractNum w:abstractNumId="21">
    <w:nsid w:val="51194ED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2">
    <w:nsid w:val="44E2ED6C"/>
    <w:multiLevelType w:val="hybridMultilevel"/>
    <w:lvl w:ilvl="0">
      <w:lvlJc w:val="left"/>
      <w:lvlText w:val="(%1)"/>
      <w:numFmt w:val="lowerRoman"/>
      <w:start w:val="2"/>
    </w:lvl>
  </w:abstractNum>
  <w:abstractNum w:abstractNumId="23">
    <w:nsid w:val="2219B33"/>
    <w:multiLevelType w:val="hybridMultilevel"/>
    <w:lvl w:ilvl="0">
      <w:lvlJc w:val="left"/>
      <w:lvlText w:val="%1"/>
      <w:numFmt w:val="upperLetter"/>
      <w:start w:val="1"/>
    </w:lvl>
    <w:lvl w:ilvl="1">
      <w:lvlJc w:val="left"/>
      <w:lvlText w:val="%2."/>
      <w:numFmt w:val="decimal"/>
      <w:start w:val="2"/>
    </w:lvl>
  </w:abstractNum>
  <w:abstractNum w:abstractNumId="24">
    <w:nsid w:val="773BFBDD"/>
    <w:multiLevelType w:val="hybridMultilevel"/>
    <w:lvl w:ilvl="0">
      <w:lvlJc w:val="left"/>
      <w:lvlText w:val="%1:"/>
      <w:numFmt w:val="upperLetter"/>
      <w:start w:val="17"/>
    </w:lvl>
    <w:lvl w:ilvl="1">
      <w:lvlJc w:val="left"/>
      <w:lvlText w:val="%2"/>
      <w:numFmt w:val="decimal"/>
      <w:start w:val="1"/>
    </w:lvl>
  </w:abstractNum>
  <w:abstractNum w:abstractNumId="25">
    <w:nsid w:val="2C7C62C2"/>
    <w:multiLevelType w:val="hybridMultilevel"/>
    <w:lvl w:ilvl="0">
      <w:lvlJc w:val="left"/>
      <w:lvlText w:val="%1:"/>
      <w:numFmt w:val="upperLetter"/>
      <w:start w:val="1"/>
    </w:lvl>
  </w:abstractNum>
  <w:abstractNum w:abstractNumId="26">
    <w:nsid w:val="1A54D7BC"/>
    <w:multiLevelType w:val="hybridMultilevel"/>
    <w:lvl w:ilvl="0">
      <w:lvlJc w:val="left"/>
      <w:lvlText w:val="%1:"/>
      <w:numFmt w:val="upperLetter"/>
      <w:start w:val="17"/>
    </w:lvl>
  </w:abstractNum>
  <w:abstractNum w:abstractNumId="27">
    <w:nsid w:val="42E57EF7"/>
    <w:multiLevelType w:val="hybridMultilevel"/>
    <w:lvl w:ilvl="0">
      <w:lvlJc w:val="left"/>
      <w:lvlText w:val="%1:"/>
      <w:numFmt w:val="upperLetter"/>
      <w:start w:val="1"/>
    </w:lvl>
  </w:abstractNum>
  <w:abstractNum w:abstractNumId="28">
    <w:nsid w:val="33537CED"/>
    <w:multiLevelType w:val="hybridMultilevel"/>
    <w:lvl w:ilvl="0">
      <w:lvlJc w:val="left"/>
      <w:lvlText w:val="%1:"/>
      <w:numFmt w:val="upperLetter"/>
      <w:start w:val="17"/>
    </w:lvl>
  </w:abstractNum>
  <w:abstractNum w:abstractNumId="29">
    <w:nsid w:val="27514ADE"/>
    <w:multiLevelType w:val="hybridMultilevel"/>
    <w:lvl w:ilvl="0">
      <w:lvlJc w:val="left"/>
      <w:lvlText w:val="%1:"/>
      <w:numFmt w:val="upperLetter"/>
      <w:start w:val="1"/>
    </w:lvl>
  </w:abstractNum>
  <w:abstractNum w:abstractNumId="30">
    <w:nsid w:val="57071613"/>
    <w:multiLevelType w:val="hybridMultilevel"/>
    <w:lvl w:ilvl="0">
      <w:lvlJc w:val="left"/>
      <w:lvlText w:val="%1:"/>
      <w:numFmt w:val="upperLetter"/>
      <w:start w:val="17"/>
    </w:lvl>
  </w:abstractNum>
  <w:abstractNum w:abstractNumId="31">
    <w:nsid w:val="5293BFEF"/>
    <w:multiLevelType w:val="hybridMultilevel"/>
    <w:lvl w:ilvl="0">
      <w:lvlJc w:val="left"/>
      <w:lvlText w:val="%1:"/>
      <w:numFmt w:val="upperLetter"/>
      <w:start w:val="1"/>
    </w:lvl>
  </w:abstractNum>
  <w:abstractNum w:abstractNumId="32">
    <w:nsid w:val="38BF53E5"/>
    <w:multiLevelType w:val="hybridMultilevel"/>
    <w:lvl w:ilvl="0">
      <w:lvlJc w:val="left"/>
      <w:lvlText w:val="%1:"/>
      <w:numFmt w:val="upperLetter"/>
      <w:start w:val="17"/>
    </w:lvl>
  </w:abstractNum>
  <w:abstractNum w:abstractNumId="33">
    <w:nsid w:val="226F5320"/>
    <w:multiLevelType w:val="hybridMultilevel"/>
    <w:lvl w:ilvl="0">
      <w:lvlJc w:val="left"/>
      <w:lvlText w:val="%1:"/>
      <w:numFmt w:val="upperLetter"/>
      <w:start w:val="1"/>
    </w:lvl>
  </w:abstractNum>
  <w:abstractNum w:abstractNumId="34">
    <w:nsid w:val="5A0201C7"/>
    <w:multiLevelType w:val="hybridMultilevel"/>
    <w:lvl w:ilvl="0">
      <w:lvlJc w:val="left"/>
      <w:lvlText w:val="%1:"/>
      <w:numFmt w:val="upperLetter"/>
      <w:start w:val="17"/>
    </w:lvl>
  </w:abstractNum>
  <w:abstractNum w:abstractNumId="35">
    <w:nsid w:val="2A9C34E2"/>
    <w:multiLevelType w:val="hybridMultilevel"/>
    <w:lvl w:ilvl="0">
      <w:lvlJc w:val="left"/>
      <w:lvlText w:val="%1:"/>
      <w:numFmt w:val="upperLetter"/>
      <w:start w:val="1"/>
    </w:lvl>
  </w:abstractNum>
  <w:abstractNum w:abstractNumId="36">
    <w:nsid w:val="1B7585AB"/>
    <w:multiLevelType w:val="hybridMultilevel"/>
    <w:lvl w:ilvl="0">
      <w:lvlJc w:val="left"/>
      <w:lvlText w:val="%1:"/>
      <w:numFmt w:val="upperLetter"/>
      <w:start w:val="17"/>
    </w:lvl>
  </w:abstractNum>
  <w:abstractNum w:abstractNumId="37">
    <w:nsid w:val="612DBDDD"/>
    <w:multiLevelType w:val="hybridMultilevel"/>
    <w:lvl w:ilvl="0">
      <w:lvlJc w:val="left"/>
      <w:lvlText w:val="%1:"/>
      <w:numFmt w:val="upperLetter"/>
      <w:start w:val="1"/>
    </w:lvl>
  </w:abstractNum>
  <w:abstractNum w:abstractNumId="38">
    <w:nsid w:val="2109CDA4"/>
    <w:multiLevelType w:val="hybridMultilevel"/>
    <w:lvl w:ilvl="0">
      <w:lvlJc w:val="left"/>
      <w:lvlText w:val="%1:"/>
      <w:numFmt w:val="upperLetter"/>
      <w:start w:val="17"/>
    </w:lvl>
  </w:abstractNum>
  <w:abstractNum w:abstractNumId="39">
    <w:nsid w:val="577F5A4D"/>
    <w:multiLevelType w:val="hybridMultilevel"/>
    <w:lvl w:ilvl="0">
      <w:lvlJc w:val="left"/>
      <w:lvlText w:val="%1:"/>
      <w:numFmt w:val="upperLetter"/>
      <w:start w:val="1"/>
    </w:lvl>
  </w:abstractNum>
  <w:abstractNum w:abstractNumId="40">
    <w:nsid w:val="2121A81"/>
    <w:multiLevelType w:val="hybridMultilevel"/>
    <w:lvl w:ilvl="0">
      <w:lvlJc w:val="left"/>
      <w:lvlText w:val="%1:"/>
      <w:numFmt w:val="upperLetter"/>
      <w:start w:val="17"/>
    </w:lvl>
  </w:abstractNum>
  <w:abstractNum w:abstractNumId="41">
    <w:nsid w:val="6C2CFC88"/>
    <w:multiLevelType w:val="hybridMultilevel"/>
    <w:lvl w:ilvl="0">
      <w:lvlJc w:val="left"/>
      <w:lvlText w:val="%1:"/>
      <w:numFmt w:val="upperLetter"/>
      <w:start w:val="1"/>
    </w:lvl>
  </w:abstractNum>
  <w:abstractNum w:abstractNumId="42">
    <w:nsid w:val="6D1BCF1C"/>
    <w:multiLevelType w:val="hybridMultilevel"/>
    <w:lvl w:ilvl="0">
      <w:lvlJc w:val="left"/>
      <w:lvlText w:val="%1:"/>
      <w:numFmt w:val="upperLetter"/>
      <w:start w:val="17"/>
    </w:lvl>
  </w:abstractNum>
  <w:abstractNum w:abstractNumId="43">
    <w:nsid w:val="4CE5CA53"/>
    <w:multiLevelType w:val="hybridMultilevel"/>
    <w:lvl w:ilvl="0">
      <w:lvlJc w:val="left"/>
      <w:lvlText w:val="%1:"/>
      <w:numFmt w:val="upperLetter"/>
      <w:start w:val="1"/>
    </w:lvl>
  </w:abstractNum>
  <w:abstractNum w:abstractNumId="44">
    <w:nsid w:val="29262D1A"/>
    <w:multiLevelType w:val="hybridMultilevel"/>
    <w:lvl w:ilvl="0">
      <w:lvlJc w:val="left"/>
      <w:lvlText w:val="%1:"/>
      <w:numFmt w:val="upperLetter"/>
      <w:start w:val="17"/>
    </w:lvl>
  </w:abstractNum>
  <w:abstractNum w:abstractNumId="45">
    <w:nsid w:val="557FB7EE"/>
    <w:multiLevelType w:val="hybridMultilevel"/>
    <w:lvl w:ilvl="0">
      <w:lvlJc w:val="left"/>
      <w:lvlText w:val="%1:"/>
      <w:numFmt w:val="upperLetter"/>
      <w:start w:val="1"/>
    </w:lvl>
  </w:abstractNum>
  <w:abstractNum w:abstractNumId="46">
    <w:nsid w:val="436F2BEB"/>
    <w:multiLevelType w:val="hybridMultilevel"/>
    <w:lvl w:ilvl="0">
      <w:lvlJc w:val="left"/>
      <w:lvlText w:val="%1:"/>
      <w:numFmt w:val="upperLetter"/>
      <w:start w:val="17"/>
    </w:lvl>
  </w:abstractNum>
  <w:abstractNum w:abstractNumId="47">
    <w:nsid w:val="6C8B4466"/>
    <w:multiLevelType w:val="hybridMultilevel"/>
    <w:lvl w:ilvl="0">
      <w:lvlJc w:val="left"/>
      <w:lvlText w:val="%1:"/>
      <w:numFmt w:val="upperLetter"/>
      <w:start w:val="1"/>
    </w:lvl>
  </w:abstractNum>
  <w:abstractNum w:abstractNumId="48">
    <w:nsid w:val="2006E424"/>
    <w:multiLevelType w:val="hybridMultilevel"/>
    <w:lvl w:ilvl="0">
      <w:lvlJc w:val="left"/>
      <w:lvlText w:val="%1:"/>
      <w:numFmt w:val="upperLetter"/>
      <w:start w:val="17"/>
    </w:lvl>
  </w:abstractNum>
  <w:abstractNum w:abstractNumId="49">
    <w:nsid w:val="20CC134C"/>
    <w:multiLevelType w:val="hybridMultilevel"/>
    <w:lvl w:ilvl="0">
      <w:lvlJc w:val="left"/>
      <w:lvlText w:val="%1:"/>
      <w:numFmt w:val="upperLetter"/>
      <w:start w:val="1"/>
    </w:lvl>
  </w:abstractNum>
  <w:abstractNum w:abstractNumId="50">
    <w:nsid w:val="95FC93B"/>
    <w:multiLevelType w:val="hybridMultilevel"/>
    <w:lvl w:ilvl="0">
      <w:lvlJc w:val="left"/>
      <w:lvlText w:val="%1:"/>
      <w:numFmt w:val="upperLetter"/>
      <w:start w:val="17"/>
    </w:lvl>
  </w:abstractNum>
  <w:abstractNum w:abstractNumId="51">
    <w:nsid w:val="41D74679"/>
    <w:multiLevelType w:val="hybridMultilevel"/>
    <w:lvl w:ilvl="0">
      <w:lvlJc w:val="left"/>
      <w:lvlText w:val="%1:"/>
      <w:numFmt w:val="upperLetter"/>
      <w:start w:val="1"/>
    </w:lvl>
  </w:abstractNum>
  <w:abstractNum w:abstractNumId="52">
    <w:nsid w:val="71E5621E"/>
    <w:multiLevelType w:val="hybridMultilevel"/>
    <w:lvl w:ilvl="0">
      <w:lvlJc w:val="left"/>
      <w:lvlText w:val="%1:"/>
      <w:numFmt w:val="upperLetter"/>
      <w:start w:val="17"/>
    </w:lvl>
  </w:abstractNum>
  <w:abstractNum w:abstractNumId="53">
    <w:nsid w:val="4E42B6A8"/>
    <w:multiLevelType w:val="hybridMultilevel"/>
    <w:lvl w:ilvl="0">
      <w:lvlJc w:val="left"/>
      <w:lvlText w:val="%1:"/>
      <w:numFmt w:val="upperLetter"/>
      <w:start w:val="1"/>
    </w:lvl>
  </w:abstractNum>
  <w:abstractNum w:abstractNumId="54">
    <w:nsid w:val="43F8E1AC"/>
    <w:multiLevelType w:val="hybridMultilevel"/>
    <w:lvl w:ilvl="0">
      <w:lvlJc w:val="left"/>
      <w:lvlText w:val="%1:"/>
      <w:numFmt w:val="upperLetter"/>
      <w:start w:val="17"/>
    </w:lvl>
  </w:abstractNum>
  <w:abstractNum w:abstractNumId="55">
    <w:nsid w:val="69215DFB"/>
    <w:multiLevelType w:val="hybridMultilevel"/>
    <w:lvl w:ilvl="0">
      <w:lvlJc w:val="left"/>
      <w:lvlText w:val="%1:"/>
      <w:numFmt w:val="upperLetter"/>
      <w:start w:val="1"/>
    </w:lvl>
  </w:abstractNum>
  <w:abstractNum w:abstractNumId="56">
    <w:nsid w:val="7ABF196A"/>
    <w:multiLevelType w:val="hybridMultilevel"/>
    <w:lvl w:ilvl="0">
      <w:lvlJc w:val="left"/>
      <w:lvlText w:val="%1:"/>
      <w:numFmt w:val="upperLetter"/>
      <w:start w:val="17"/>
    </w:lvl>
  </w:abstractNum>
  <w:abstractNum w:abstractNumId="57">
    <w:nsid w:val="5E4DB968"/>
    <w:multiLevelType w:val="hybridMultilevel"/>
    <w:lvl w:ilvl="0">
      <w:lvlJc w:val="left"/>
      <w:lvlText w:val="%1:"/>
      <w:numFmt w:val="upperLetter"/>
      <w:start w:val="1"/>
    </w:lvl>
  </w:abstractNum>
  <w:abstractNum w:abstractNumId="58">
    <w:nsid w:val="2C06DCF3"/>
    <w:multiLevelType w:val="hybridMultilevel"/>
    <w:lvl w:ilvl="0">
      <w:lvlJc w:val="left"/>
      <w:lvlText w:val="%1:"/>
      <w:numFmt w:val="upperLetter"/>
      <w:start w:val="17"/>
    </w:lvl>
  </w:abstractNum>
  <w:abstractNum w:abstractNumId="59">
    <w:nsid w:val="2E129658"/>
    <w:multiLevelType w:val="hybridMultilevel"/>
    <w:lvl w:ilvl="0">
      <w:lvlJc w:val="left"/>
      <w:lvlText w:val="%1:"/>
      <w:numFmt w:val="upperLetter"/>
      <w:start w:val="1"/>
    </w:lvl>
  </w:abstractNum>
  <w:abstractNum w:abstractNumId="60">
    <w:nsid w:val="59F0446"/>
    <w:multiLevelType w:val="hybridMultilevel"/>
    <w:lvl w:ilvl="0">
      <w:lvlJc w:val="left"/>
      <w:lvlText w:val="%1:"/>
      <w:numFmt w:val="upperLetter"/>
      <w:start w:val="17"/>
    </w:lvl>
  </w:abstractNum>
  <w:abstractNum w:abstractNumId="61">
    <w:nsid w:val="30DF306"/>
    <w:multiLevelType w:val="hybridMultilevel"/>
    <w:lvl w:ilvl="0">
      <w:lvlJc w:val="left"/>
      <w:lvlText w:val="%1:"/>
      <w:numFmt w:val="upperLetter"/>
      <w:start w:val="1"/>
    </w:lvl>
  </w:abstractNum>
  <w:abstractNum w:abstractNumId="62">
    <w:nsid w:val="A65647"/>
    <w:multiLevelType w:val="hybridMultilevel"/>
    <w:lvl w:ilvl="0">
      <w:lvlJc w:val="left"/>
      <w:lvlText w:val="%1:"/>
      <w:numFmt w:val="upperLetter"/>
      <w:start w:val="17"/>
    </w:lvl>
  </w:abstractNum>
  <w:abstractNum w:abstractNumId="63">
    <w:nsid w:val="3E5E582B"/>
    <w:multiLevelType w:val="hybridMultilevel"/>
    <w:lvl w:ilvl="0">
      <w:lvlJc w:val="left"/>
      <w:lvlText w:val="%1:"/>
      <w:numFmt w:val="upperLetter"/>
      <w:start w:val="1"/>
    </w:lvl>
  </w:abstractNum>
  <w:abstractNum w:abstractNumId="64">
    <w:nsid w:val="257D4626"/>
    <w:multiLevelType w:val="hybridMultilevel"/>
    <w:lvl w:ilvl="0">
      <w:lvlJc w:val="left"/>
      <w:lvlText w:val="%1:"/>
      <w:numFmt w:val="upperLetter"/>
      <w:start w:val="17"/>
    </w:lvl>
  </w:abstractNum>
  <w:abstractNum w:abstractNumId="65">
    <w:nsid w:val="5AA8580E"/>
    <w:multiLevelType w:val="hybridMultilevel"/>
    <w:lvl w:ilvl="0">
      <w:lvlJc w:val="left"/>
      <w:lvlText w:val="%1:"/>
      <w:numFmt w:val="upperLetter"/>
      <w:start w:val="1"/>
    </w:lvl>
  </w:abstractNum>
  <w:abstractNum w:abstractNumId="66">
    <w:nsid w:val="68FA8D0D"/>
    <w:multiLevelType w:val="hybridMultilevel"/>
    <w:lvl w:ilvl="0">
      <w:lvlJc w:val="left"/>
      <w:lvlText w:val="%1:"/>
      <w:numFmt w:val="upperLetter"/>
      <w:start w:val="17"/>
    </w:lvl>
  </w:abstractNum>
  <w:abstractNum w:abstractNumId="67">
    <w:nsid w:val="40F2CBD2"/>
    <w:multiLevelType w:val="hybridMultilevel"/>
    <w:lvl w:ilvl="0">
      <w:lvlJc w:val="left"/>
      <w:lvlText w:val="%1:"/>
      <w:numFmt w:val="upperLetter"/>
      <w:start w:val="1"/>
    </w:lvl>
  </w:abstractNum>
  <w:abstractNum w:abstractNumId="68">
    <w:nsid w:val="3BD615EB"/>
    <w:multiLevelType w:val="hybridMultilevel"/>
    <w:lvl w:ilvl="0">
      <w:lvlJc w:val="left"/>
      <w:lvlText w:val="%1:"/>
      <w:numFmt w:val="upperLetter"/>
      <w:start w:val="17"/>
    </w:lvl>
  </w:abstractNum>
  <w:abstractNum w:abstractNumId="69">
    <w:nsid w:val="A045AB2"/>
    <w:multiLevelType w:val="hybridMultilevel"/>
    <w:lvl w:ilvl="0">
      <w:lvlJc w:val="left"/>
      <w:lvlText w:val="%1:"/>
      <w:numFmt w:val="upperLetter"/>
      <w:start w:val="1"/>
    </w:lvl>
  </w:abstractNum>
  <w:abstractNum w:abstractNumId="70">
    <w:nsid w:val="1872261F"/>
    <w:multiLevelType w:val="hybridMultilevel"/>
    <w:lvl w:ilvl="0">
      <w:lvlJc w:val="left"/>
      <w:lvlText w:val="%1:"/>
      <w:numFmt w:val="upperLetter"/>
      <w:start w:val="17"/>
    </w:lvl>
  </w:abstractNum>
  <w:abstractNum w:abstractNumId="71">
    <w:nsid w:val="3DE8306C"/>
    <w:multiLevelType w:val="hybridMultilevel"/>
    <w:lvl w:ilvl="0">
      <w:lvlJc w:val="left"/>
      <w:lvlText w:val="•"/>
      <w:numFmt w:val="bullet"/>
      <w:start w:val="1"/>
    </w:lvl>
  </w:abstractNum>
  <w:abstractNum w:abstractNumId="72">
    <w:nsid w:val="7631573A"/>
    <w:multiLevelType w:val="hybridMultilevel"/>
    <w:lvl w:ilvl="0">
      <w:lvlJc w:val="left"/>
      <w:lvlText w:val="•"/>
      <w:numFmt w:val="bullet"/>
      <w:start w:val="1"/>
    </w:lvl>
    <w:lvl w:ilvl="1">
      <w:lvlJc w:val="left"/>
      <w:lvlText w:val="•"/>
      <w:numFmt w:val="bullet"/>
      <w:start w:val="1"/>
    </w:lvl>
  </w:abstractNum>
  <w:abstractNum w:abstractNumId="73">
    <w:nsid w:val="58DF53B"/>
    <w:multiLevelType w:val="hybridMultilevel"/>
    <w:lvl w:ilvl="0">
      <w:lvlJc w:val="left"/>
      <w:lvlText w:val="%1:"/>
      <w:numFmt w:val="upperLetter"/>
      <w:start w:val="17"/>
    </w:lvl>
  </w:abstractNum>
  <w:abstractNum w:abstractNumId="74">
    <w:nsid w:val="ACDFAC0"/>
    <w:multiLevelType w:val="hybridMultilevel"/>
    <w:lvl w:ilvl="0">
      <w:lvlJc w:val="left"/>
      <w:lvlText w:val="%1:"/>
      <w:numFmt w:val="upperLetter"/>
      <w:start w:val="1"/>
    </w:lvl>
  </w:abstractNum>
  <w:abstractNum w:abstractNumId="75">
    <w:nsid w:val="1F578454"/>
    <w:multiLevelType w:val="hybridMultilevel"/>
    <w:lvl w:ilvl="0">
      <w:lvlJc w:val="left"/>
      <w:lvlText w:val="%1:"/>
      <w:numFmt w:val="upperLetter"/>
      <w:start w:val="17"/>
    </w:lvl>
  </w:abstractNum>
  <w:abstractNum w:abstractNumId="76">
    <w:nsid w:val="5B0DAD2A"/>
    <w:multiLevelType w:val="hybridMultilevel"/>
    <w:lvl w:ilvl="0">
      <w:lvlJc w:val="left"/>
      <w:lvlText w:val="%1:"/>
      <w:numFmt w:val="upperLetter"/>
      <w:start w:val="1"/>
    </w:lvl>
  </w:abstractNum>
  <w:abstractNum w:abstractNumId="77">
    <w:nsid w:val="4E3D26AB"/>
    <w:multiLevelType w:val="hybridMultilevel"/>
    <w:lvl w:ilvl="0">
      <w:lvlJc w:val="left"/>
      <w:lvlText w:val="%1:"/>
      <w:numFmt w:val="upperLetter"/>
      <w:start w:val="17"/>
    </w:lvl>
  </w:abstractNum>
  <w:abstractNum w:abstractNumId="78">
    <w:nsid w:val="BE2C8BA"/>
    <w:multiLevelType w:val="hybridMultilevel"/>
    <w:lvl w:ilvl="0">
      <w:lvlJc w:val="left"/>
      <w:lvlText w:val="%1:"/>
      <w:numFmt w:val="upperLetter"/>
      <w:start w:val="1"/>
    </w:lvl>
  </w:abstractNum>
  <w:abstractNum w:abstractNumId="79">
    <w:nsid w:val="7B14914E"/>
    <w:multiLevelType w:val="hybridMultilevel"/>
    <w:lvl w:ilvl="0">
      <w:lvlJc w:val="left"/>
      <w:lvlText w:val="%1:"/>
      <w:numFmt w:val="upperLetter"/>
      <w:start w:val="17"/>
    </w:lvl>
  </w:abstractNum>
  <w:abstractNum w:abstractNumId="80">
    <w:nsid w:val="6F0939F8"/>
    <w:multiLevelType w:val="hybridMultilevel"/>
    <w:lvl w:ilvl="0">
      <w:lvlJc w:val="left"/>
      <w:lvlText w:val="%1:"/>
      <w:numFmt w:val="upperLetter"/>
      <w:start w:val="1"/>
    </w:lvl>
  </w:abstractNum>
  <w:abstractNum w:abstractNumId="81">
    <w:nsid w:val="154291F6"/>
    <w:multiLevelType w:val="hybridMultilevel"/>
    <w:lvl w:ilvl="0">
      <w:lvlJc w:val="left"/>
      <w:lvlText w:val="%1:"/>
      <w:numFmt w:val="upperLetter"/>
      <w:start w:val="17"/>
    </w:lvl>
  </w:abstractNum>
  <w:abstractNum w:abstractNumId="82">
    <w:nsid w:val="3CEBD7C7"/>
    <w:multiLevelType w:val="hybridMultilevel"/>
    <w:lvl w:ilvl="0">
      <w:lvlJc w:val="left"/>
      <w:lvlText w:val="%1:"/>
      <w:numFmt w:val="upperLetter"/>
      <w:start w:val="1"/>
    </w:lvl>
  </w:abstractNum>
  <w:abstractNum w:abstractNumId="83">
    <w:nsid w:val="60EE9C16"/>
    <w:multiLevelType w:val="hybridMultilevel"/>
    <w:lvl w:ilvl="0">
      <w:lvlJc w:val="left"/>
      <w:lvlText w:val="%1:"/>
      <w:numFmt w:val="upperLetter"/>
      <w:start w:val="17"/>
    </w:lvl>
  </w:abstractNum>
  <w:abstractNum w:abstractNumId="84">
    <w:nsid w:val="6385489E"/>
    <w:multiLevelType w:val="hybridMultilevel"/>
    <w:lvl w:ilvl="0">
      <w:lvlJc w:val="left"/>
      <w:lvlText w:val="%1:"/>
      <w:numFmt w:val="upperLetter"/>
      <w:start w:val="1"/>
    </w:lvl>
  </w:abstractNum>
  <w:abstractNum w:abstractNumId="85">
    <w:nsid w:val="E4B973"/>
    <w:multiLevelType w:val="hybridMultilevel"/>
    <w:lvl w:ilvl="0">
      <w:lvlJc w:val="left"/>
      <w:lvlText w:val="%1:"/>
      <w:numFmt w:val="upperLetter"/>
      <w:start w:val="17"/>
    </w:lvl>
  </w:abstractNum>
  <w:abstractNum w:abstractNumId="86">
    <w:nsid w:val="4A0FFA11"/>
    <w:multiLevelType w:val="hybridMultilevel"/>
    <w:lvl w:ilvl="0">
      <w:lvlJc w:val="left"/>
      <w:lvlText w:val="%1:"/>
      <w:numFmt w:val="upperLetter"/>
      <w:start w:val="1"/>
    </w:lvl>
    <w:lvl w:ilvl="1">
      <w:lvlJc w:val="left"/>
      <w:lvlText w:val="•"/>
      <w:numFmt w:val="bullet"/>
      <w:start w:val="1"/>
    </w:lvl>
  </w:abstractNum>
  <w:abstractNum w:abstractNumId="87">
    <w:nsid w:val="5E446208"/>
    <w:multiLevelType w:val="hybridMultilevel"/>
    <w:lvl w:ilvl="0">
      <w:lvlJc w:val="left"/>
      <w:lvlText w:val="%1:"/>
      <w:numFmt w:val="upperLetter"/>
      <w:start w:val="17"/>
    </w:lvl>
  </w:abstractNum>
  <w:abstractNum w:abstractNumId="88">
    <w:nsid w:val="5F3272DB"/>
    <w:multiLevelType w:val="hybridMultilevel"/>
    <w:lvl w:ilvl="0">
      <w:lvlJc w:val="left"/>
      <w:lvlText w:val="%1:"/>
      <w:numFmt w:val="upperLetter"/>
      <w:start w:val="1"/>
    </w:lvl>
  </w:abstractNum>
  <w:abstractNum w:abstractNumId="89">
    <w:nsid w:val="7616D704"/>
    <w:multiLevelType w:val="hybridMultilevel"/>
    <w:lvl w:ilvl="0">
      <w:lvlJc w:val="left"/>
      <w:lvlText w:val="%1:"/>
      <w:numFmt w:val="upperLetter"/>
      <w:start w:val="17"/>
    </w:lvl>
  </w:abstractNum>
  <w:abstractNum w:abstractNumId="90">
    <w:nsid w:val="C56F860"/>
    <w:multiLevelType w:val="hybridMultilevel"/>
    <w:lvl w:ilvl="0">
      <w:lvlJc w:val="left"/>
      <w:lvlText w:val="%1:"/>
      <w:numFmt w:val="upperLetter"/>
      <w:start w:val="1"/>
    </w:lvl>
    <w:lvl w:ilvl="1">
      <w:lvlJc w:val="left"/>
      <w:lvlText w:val="•"/>
      <w:numFmt w:val="bullet"/>
      <w:start w:val="1"/>
    </w:lvl>
  </w:abstractNum>
  <w:abstractNum w:abstractNumId="91">
    <w:nsid w:val="64D17722"/>
    <w:multiLevelType w:val="hybridMultilevel"/>
    <w:lvl w:ilvl="0">
      <w:lvlJc w:val="left"/>
      <w:lvlText w:val="•"/>
      <w:numFmt w:val="bullet"/>
      <w:start w:val="1"/>
    </w:lvl>
  </w:abstractNum>
  <w:abstractNum w:abstractNumId="92">
    <w:nsid w:val="7924CA0A"/>
    <w:multiLevelType w:val="hybridMultilevel"/>
    <w:lvl w:ilvl="0">
      <w:lvlJc w:val="left"/>
      <w:lvlText w:val="•"/>
      <w:numFmt w:val="bullet"/>
      <w:start w:val="1"/>
    </w:lvl>
  </w:abstractNum>
  <w:abstractNum w:abstractNumId="93">
    <w:nsid w:val="CFD4EA7"/>
    <w:multiLevelType w:val="hybridMultilevel"/>
    <w:lvl w:ilvl="0">
      <w:lvlJc w:val="left"/>
      <w:lvlText w:val="(%1)"/>
      <w:numFmt w:val="lowerLetter"/>
      <w:start w:val="1"/>
    </w:lvl>
  </w:abstractNum>
  <w:abstractNum w:abstractNumId="94">
    <w:nsid w:val="232FCF4D"/>
    <w:multiLevelType w:val="hybridMultilevel"/>
    <w:lvl w:ilvl="0">
      <w:lvlJc w:val="left"/>
      <w:lvlText w:val="%1:"/>
      <w:numFmt w:val="upperLetter"/>
      <w:start w:val="17"/>
    </w:lvl>
  </w:abstractNum>
  <w:abstractNum w:abstractNumId="95">
    <w:nsid w:val="1EA21031"/>
    <w:multiLevelType w:val="hybridMultilevel"/>
    <w:lvl w:ilvl="0">
      <w:lvlJc w:val="left"/>
      <w:lvlText w:val="%1:"/>
      <w:numFmt w:val="upperLetter"/>
      <w:start w:val="1"/>
    </w:lvl>
  </w:abstractNum>
  <w:abstractNum w:abstractNumId="96">
    <w:nsid w:val="67A5A6B5"/>
    <w:multiLevelType w:val="hybridMultilevel"/>
    <w:lvl w:ilvl="0">
      <w:lvlJc w:val="left"/>
      <w:lvlText w:val="%1:"/>
      <w:numFmt w:val="upperLetter"/>
      <w:start w:val="17"/>
    </w:lvl>
  </w:abstractNum>
  <w:abstractNum w:abstractNumId="97">
    <w:nsid w:val="C2A5C5B"/>
    <w:multiLevelType w:val="hybridMultilevel"/>
    <w:lvl w:ilvl="0">
      <w:lvlJc w:val="left"/>
      <w:lvlText w:val="%1:"/>
      <w:numFmt w:val="upperLetter"/>
      <w:start w:val="1"/>
    </w:lvl>
  </w:abstractNum>
  <w:abstractNum w:abstractNumId="98">
    <w:nsid w:val="5F94DC03"/>
    <w:multiLevelType w:val="hybridMultilevel"/>
    <w:lvl w:ilvl="0">
      <w:lvlJc w:val="left"/>
      <w:lvlText w:val="(%1)"/>
      <w:numFmt w:val="decimal"/>
      <w:start w:val="1"/>
    </w:lvl>
  </w:abstractNum>
  <w:abstractNum w:abstractNumId="99">
    <w:nsid w:val="237BBCA0"/>
    <w:multiLevelType w:val="hybridMultilevel"/>
    <w:lvl w:ilvl="0">
      <w:lvlJc w:val="left"/>
      <w:lvlText w:val="(%1)"/>
      <w:numFmt w:val="decimal"/>
      <w:start w:val="1"/>
    </w:lvl>
  </w:abstractNum>
  <w:abstractNum w:abstractNumId="100">
    <w:nsid w:val="162EB70D"/>
    <w:multiLevelType w:val="hybridMultilevel"/>
    <w:lvl w:ilvl="0">
      <w:lvlJc w:val="left"/>
      <w:lvlText w:val="%1:"/>
      <w:numFmt w:val="upperLetter"/>
      <w:start w:val="17"/>
    </w:lvl>
  </w:abstractNum>
  <w:abstractNum w:abstractNumId="101">
    <w:nsid w:val="78070222"/>
    <w:multiLevelType w:val="hybridMultilevel"/>
    <w:lvl w:ilvl="0">
      <w:lvlJc w:val="left"/>
      <w:lvlText w:val="%1:"/>
      <w:numFmt w:val="upperLetter"/>
      <w:start w:val="1"/>
    </w:lvl>
  </w:abstractNum>
  <w:abstractNum w:abstractNumId="102">
    <w:nsid w:val="6163ED0D"/>
    <w:multiLevelType w:val="hybridMultilevel"/>
    <w:lvl w:ilvl="0">
      <w:lvlJc w:val="left"/>
      <w:lvlText w:val="%1:"/>
      <w:numFmt w:val="upperLetter"/>
      <w:start w:val="17"/>
    </w:lvl>
  </w:abstractNum>
  <w:abstractNum w:abstractNumId="103">
    <w:nsid w:val="C600E47"/>
    <w:multiLevelType w:val="hybridMultilevel"/>
    <w:lvl w:ilvl="0">
      <w:lvlJc w:val="left"/>
      <w:lvlText w:val="%1:"/>
      <w:numFmt w:val="upperLetter"/>
      <w:start w:val="1"/>
    </w:lvl>
  </w:abstractNum>
  <w:abstractNum w:abstractNumId="104">
    <w:nsid w:val="7D94F75D"/>
    <w:multiLevelType w:val="hybridMultilevel"/>
    <w:lvl w:ilvl="0">
      <w:lvlJc w:val="left"/>
      <w:lvlText w:val="%1:"/>
      <w:numFmt w:val="upperLetter"/>
      <w:start w:val="17"/>
    </w:lvl>
  </w:abstractNum>
  <w:abstractNum w:abstractNumId="105">
    <w:nsid w:val="6C31E7CD"/>
    <w:multiLevelType w:val="hybridMultilevel"/>
    <w:lvl w:ilvl="0">
      <w:lvlJc w:val="left"/>
      <w:lvlText w:val="%1:"/>
      <w:numFmt w:val="upperLetter"/>
      <w:start w:val="1"/>
    </w:lvl>
  </w:abstractNum>
  <w:abstractNum w:abstractNumId="106">
    <w:nsid w:val="2BB7929B"/>
    <w:multiLevelType w:val="hybridMultilevel"/>
    <w:lvl w:ilvl="0">
      <w:lvlJc w:val="left"/>
      <w:lvlText w:val="%1:"/>
      <w:numFmt w:val="upperLetter"/>
      <w:start w:val="17"/>
    </w:lvl>
  </w:abstractNum>
  <w:abstractNum w:abstractNumId="107">
    <w:nsid w:val="58A2A487"/>
    <w:multiLevelType w:val="hybridMultilevel"/>
    <w:lvl w:ilvl="0">
      <w:lvlJc w:val="left"/>
      <w:lvlText w:val="%1:"/>
      <w:numFmt w:val="upperLetter"/>
      <w:start w:val="1"/>
    </w:lvl>
  </w:abstractNum>
  <w:abstractNum w:abstractNumId="108">
    <w:nsid w:val="3A6F0E78"/>
    <w:multiLevelType w:val="hybridMultilevel"/>
    <w:lvl w:ilvl="0">
      <w:lvlJc w:val="left"/>
      <w:lvlText w:val="%1:"/>
      <w:numFmt w:val="upperLetter"/>
      <w:start w:val="17"/>
    </w:lvl>
  </w:abstractNum>
  <w:abstractNum w:abstractNumId="109">
    <w:nsid w:val="379A5B56"/>
    <w:multiLevelType w:val="hybridMultilevel"/>
    <w:lvl w:ilvl="0">
      <w:lvlJc w:val="left"/>
      <w:lvlText w:val="%1:"/>
      <w:numFmt w:val="upperLetter"/>
      <w:start w:val="1"/>
    </w:lvl>
  </w:abstractNum>
  <w:abstractNum w:abstractNumId="110">
    <w:nsid w:val="53B735D5"/>
    <w:multiLevelType w:val="hybridMultilevel"/>
    <w:lvl w:ilvl="0">
      <w:lvlJc w:val="left"/>
      <w:lvlText w:val="%1:"/>
      <w:numFmt w:val="upperLetter"/>
      <w:start w:val="17"/>
    </w:lvl>
  </w:abstractNum>
  <w:abstractNum w:abstractNumId="111">
    <w:nsid w:val="29784870"/>
    <w:multiLevelType w:val="hybridMultilevel"/>
    <w:lvl w:ilvl="0">
      <w:lvlJc w:val="left"/>
      <w:lvlText w:val="%1:"/>
      <w:numFmt w:val="upperLetter"/>
      <w:start w:val="1"/>
    </w:lvl>
  </w:abstractNum>
  <w:abstractNum w:abstractNumId="112">
    <w:nsid w:val="4CDCED4C"/>
    <w:multiLevelType w:val="hybridMultilevel"/>
    <w:lvl w:ilvl="0">
      <w:lvlJc w:val="left"/>
      <w:lvlText w:val="%1:"/>
      <w:numFmt w:val="upperLetter"/>
      <w:start w:val="17"/>
    </w:lvl>
  </w:abstractNum>
  <w:abstractNum w:abstractNumId="113">
    <w:nsid w:val="10A30D9C"/>
    <w:multiLevelType w:val="hybridMultilevel"/>
    <w:lvl w:ilvl="0">
      <w:lvlJc w:val="left"/>
      <w:lvlText w:val="%1:"/>
      <w:numFmt w:val="upperLetter"/>
      <w:start w:val="1"/>
    </w:lvl>
  </w:abstractNum>
  <w:abstractNum w:abstractNumId="114">
    <w:nsid w:val="A66E486"/>
    <w:multiLevelType w:val="hybridMultilevel"/>
    <w:lvl w:ilvl="0">
      <w:lvlJc w:val="left"/>
      <w:lvlText w:val="%1:"/>
      <w:numFmt w:val="upperLetter"/>
      <w:start w:val="17"/>
    </w:lvl>
  </w:abstractNum>
  <w:abstractNum w:abstractNumId="115">
    <w:nsid w:val="306235EA"/>
    <w:multiLevelType w:val="hybridMultilevel"/>
    <w:lvl w:ilvl="0">
      <w:lvlJc w:val="left"/>
      <w:lvlText w:val="%1:"/>
      <w:numFmt w:val="upperLetter"/>
      <w:start w:val="1"/>
    </w:lvl>
  </w:abstractNum>
  <w:abstractNum w:abstractNumId="116">
    <w:nsid w:val="1187C70F"/>
    <w:multiLevelType w:val="hybridMultilevel"/>
    <w:lvl w:ilvl="0">
      <w:lvlJc w:val="left"/>
      <w:lvlText w:val="%1:"/>
      <w:numFmt w:val="upperLetter"/>
      <w:start w:val="17"/>
    </w:lvl>
  </w:abstractNum>
  <w:abstractNum w:abstractNumId="117">
    <w:nsid w:val="5476DE98"/>
    <w:multiLevelType w:val="hybridMultilevel"/>
    <w:lvl w:ilvl="0">
      <w:lvlJc w:val="left"/>
      <w:lvlText w:val="%1:"/>
      <w:numFmt w:val="upperLetter"/>
      <w:start w:val="1"/>
    </w:lvl>
  </w:abstractNum>
  <w:abstractNum w:abstractNumId="118">
    <w:nsid w:val="EA697F2"/>
    <w:multiLevelType w:val="hybridMultilevel"/>
    <w:lvl w:ilvl="0">
      <w:lvlJc w:val="left"/>
      <w:lvlText w:val="%1:"/>
      <w:numFmt w:val="upperLetter"/>
      <w:start w:val="17"/>
    </w:lvl>
  </w:abstractNum>
  <w:abstractNum w:abstractNumId="119">
    <w:nsid w:val="70BA39EB"/>
    <w:multiLevelType w:val="hybridMultilevel"/>
    <w:lvl w:ilvl="0">
      <w:lvlJc w:val="left"/>
      <w:lvlText w:val="%1:"/>
      <w:numFmt w:val="upperLetter"/>
      <w:start w:val="1"/>
    </w:lvl>
  </w:abstractNum>
  <w:abstractNum w:abstractNumId="120">
    <w:nsid w:val="4A8DB59C"/>
    <w:multiLevelType w:val="hybridMultilevel"/>
    <w:lvl w:ilvl="0">
      <w:lvlJc w:val="left"/>
      <w:lvlText w:val="%1:"/>
      <w:numFmt w:val="upperLetter"/>
      <w:start w:val="17"/>
    </w:lvl>
  </w:abstractNum>
  <w:abstractNum w:abstractNumId="121">
    <w:nsid w:val="1AFD9053"/>
    <w:multiLevelType w:val="hybridMultilevel"/>
    <w:lvl w:ilvl="0">
      <w:lvlJc w:val="left"/>
      <w:lvlText w:val="%1:"/>
      <w:numFmt w:val="upperLetter"/>
      <w:start w:val="1"/>
    </w:lvl>
  </w:abstractNum>
  <w:abstractNum w:abstractNumId="122">
    <w:nsid w:val="558BB10D"/>
    <w:multiLevelType w:val="hybridMultilevel"/>
    <w:lvl w:ilvl="0">
      <w:lvlJc w:val="left"/>
      <w:lvlText w:val="%1:"/>
      <w:numFmt w:val="upperLetter"/>
      <w:start w:val="17"/>
    </w:lvl>
  </w:abstractNum>
  <w:abstractNum w:abstractNumId="123">
    <w:nsid w:val="43B27FA7"/>
    <w:multiLevelType w:val="hybridMultilevel"/>
    <w:lvl w:ilvl="0">
      <w:lvlJc w:val="left"/>
      <w:lvlText w:val="%1:"/>
      <w:numFmt w:val="upperLetter"/>
      <w:start w:val="1"/>
    </w:lvl>
  </w:abstractNum>
  <w:abstractNum w:abstractNumId="124">
    <w:nsid w:val="27FADEFA"/>
    <w:multiLevelType w:val="hybridMultilevel"/>
    <w:lvl w:ilvl="0">
      <w:lvlJc w:val="left"/>
      <w:lvlText w:val="%1:"/>
      <w:numFmt w:val="upperLetter"/>
      <w:start w:val="17"/>
    </w:lvl>
  </w:abstractNum>
  <w:abstractNum w:abstractNumId="125">
    <w:nsid w:val="78BB805A"/>
    <w:multiLevelType w:val="hybridMultilevel"/>
    <w:lvl w:ilvl="0">
      <w:lvlJc w:val="left"/>
      <w:lvlText w:val="%1:"/>
      <w:numFmt w:val="upperLetter"/>
      <w:start w:val="1"/>
    </w:lvl>
  </w:abstractNum>
  <w:abstractNum w:abstractNumId="126">
    <w:nsid w:val="62548FD8"/>
    <w:multiLevelType w:val="hybridMultilevel"/>
    <w:lvl w:ilvl="0">
      <w:lvlJc w:val="left"/>
      <w:lvlText w:val="%1:"/>
      <w:numFmt w:val="upperLetter"/>
      <w:start w:val="17"/>
    </w:lvl>
  </w:abstractNum>
  <w:abstractNum w:abstractNumId="127">
    <w:nsid w:val="FA085B0"/>
    <w:multiLevelType w:val="hybridMultilevel"/>
    <w:lvl w:ilvl="0">
      <w:lvlJc w:val="left"/>
      <w:lvlText w:val="%1:"/>
      <w:numFmt w:val="upperLetter"/>
      <w:start w:val="1"/>
    </w:lvl>
  </w:abstractNum>
  <w:abstractNum w:abstractNumId="128">
    <w:nsid w:val="4E5DCB5"/>
    <w:multiLevelType w:val="hybridMultilevel"/>
    <w:lvl w:ilvl="0">
      <w:lvlJc w:val="left"/>
      <w:lvlText w:val="1"/>
      <w:numFmt w:val="bullet"/>
      <w:start w:val="1"/>
    </w:lvl>
  </w:abstractNum>
  <w:abstractNum w:abstractNumId="129">
    <w:nsid w:val="41E96BDB"/>
    <w:multiLevelType w:val="hybridMultilevel"/>
    <w:lvl w:ilvl="0">
      <w:lvlJc w:val="left"/>
      <w:lvlText w:val="•"/>
      <w:numFmt w:val="bullet"/>
      <w:start w:val="1"/>
    </w:lvl>
  </w:abstractNum>
  <w:abstractNum w:abstractNumId="130">
    <w:nsid w:val="331C4250"/>
    <w:multiLevelType w:val="hybridMultilevel"/>
    <w:lvl w:ilvl="0">
      <w:lvlJc w:val="left"/>
      <w:lvlText w:val="•"/>
      <w:numFmt w:val="bullet"/>
      <w:start w:val="1"/>
    </w:lvl>
  </w:abstractNum>
  <w:abstractNum w:abstractNumId="131">
    <w:nsid w:val="1B1493C2"/>
    <w:multiLevelType w:val="hybridMultilevel"/>
    <w:lvl w:ilvl="0">
      <w:lvlJc w:val="left"/>
      <w:lvlText w:val="•"/>
      <w:numFmt w:val="bullet"/>
      <w:start w:val="1"/>
    </w:lvl>
  </w:abstractNum>
  <w:abstractNum w:abstractNumId="132">
    <w:nsid w:val="39F06DFD"/>
    <w:multiLevelType w:val="hybridMultilevel"/>
    <w:lvl w:ilvl="0">
      <w:lvlJc w:val="left"/>
      <w:lvlText w:val="•"/>
      <w:numFmt w:val="bullet"/>
      <w:start w:val="1"/>
    </w:lvl>
  </w:abstractNum>
  <w:abstractNum w:abstractNumId="133">
    <w:nsid w:val="14802F5D"/>
    <w:multiLevelType w:val="hybridMultilevel"/>
    <w:lvl w:ilvl="0">
      <w:lvlJc w:val="left"/>
      <w:lvlText w:val="(%1)"/>
      <w:numFmt w:val="decimal"/>
      <w:start w:val="1"/>
    </w:lvl>
  </w:abstractNum>
  <w:abstractNum w:abstractNumId="134">
    <w:nsid w:val="2774A209"/>
    <w:multiLevelType w:val="hybridMultilevel"/>
    <w:lvl w:ilvl="0">
      <w:lvlJc w:val="left"/>
      <w:lvlText w:val="•"/>
      <w:numFmt w:val="bullet"/>
      <w:start w:val="1"/>
    </w:lvl>
  </w:abstractNum>
  <w:abstractNum w:abstractNumId="135">
    <w:nsid w:val="3785655A"/>
    <w:multiLevelType w:val="hybridMultilevel"/>
    <w:lvl w:ilvl="0">
      <w:lvlJc w:val="left"/>
      <w:lvlText w:val="•"/>
      <w:numFmt w:val="bullet"/>
      <w:start w:val="1"/>
    </w:lvl>
  </w:abstractNum>
  <w:abstractNum w:abstractNumId="136">
    <w:nsid w:val="B2172A"/>
    <w:multiLevelType w:val="hybridMultilevel"/>
    <w:lvl w:ilvl="0">
      <w:lvlJc w:val="left"/>
      <w:lvlText w:val="•"/>
      <w:numFmt w:val="bullet"/>
      <w:start w:val="1"/>
    </w:lvl>
  </w:abstractNum>
  <w:abstractNum w:abstractNumId="137">
    <w:nsid w:val="532C34A5"/>
    <w:multiLevelType w:val="hybridMultilevel"/>
    <w:lvl w:ilvl="0">
      <w:lvlJc w:val="left"/>
      <w:lvlText w:val="•"/>
      <w:numFmt w:val="bullet"/>
      <w:start w:val="1"/>
    </w:lvl>
  </w:abstractNum>
  <w:abstractNum w:abstractNumId="138">
    <w:nsid w:val="102809E2"/>
    <w:multiLevelType w:val="hybridMultilevel"/>
    <w:lvl w:ilvl="0">
      <w:lvlJc w:val="left"/>
      <w:lvlText w:val="•"/>
      <w:numFmt w:val="bullet"/>
      <w:start w:val="1"/>
    </w:lvl>
  </w:abstractNum>
  <w:abstractNum w:abstractNumId="139">
    <w:nsid w:val="3B2125A3"/>
    <w:multiLevelType w:val="hybridMultilevel"/>
    <w:lvl w:ilvl="0">
      <w:lvlJc w:val="left"/>
      <w:lvlText w:val="•"/>
      <w:numFmt w:val="bullet"/>
      <w:start w:val="1"/>
    </w:lvl>
  </w:abstractNum>
  <w:abstractNum w:abstractNumId="140">
    <w:nsid w:val="AC68FFB"/>
    <w:multiLevelType w:val="hybridMultilevel"/>
    <w:lvl w:ilvl="0">
      <w:lvlJc w:val="left"/>
      <w:lvlText w:val="•"/>
      <w:numFmt w:val="bullet"/>
      <w:start w:val="1"/>
    </w:lvl>
  </w:abstractNum>
  <w:abstractNum w:abstractNumId="141">
    <w:nsid w:val="63DF3FB7"/>
    <w:multiLevelType w:val="hybridMultilevel"/>
    <w:lvl w:ilvl="0">
      <w:lvlJc w:val="left"/>
      <w:lvlText w:val="•"/>
      <w:numFmt w:val="bullet"/>
      <w:start w:val="1"/>
    </w:lvl>
  </w:abstractNum>
  <w:abstractNum w:abstractNumId="142">
    <w:nsid w:val="64996E13"/>
    <w:multiLevelType w:val="hybridMultilevel"/>
    <w:lvl w:ilvl="0">
      <w:lvlJc w:val="left"/>
      <w:lvlText w:val="•"/>
      <w:numFmt w:val="bullet"/>
      <w:start w:val="1"/>
    </w:lvl>
  </w:abstractNum>
  <w:abstractNum w:abstractNumId="143">
    <w:nsid w:val="57A37D47"/>
    <w:multiLevelType w:val="hybridMultilevel"/>
    <w:lvl w:ilvl="0">
      <w:lvlJc w:val="left"/>
      <w:lvlText w:val="•"/>
      <w:numFmt w:val="bullet"/>
      <w:start w:val="1"/>
    </w:lvl>
  </w:abstractNum>
  <w:abstractNum w:abstractNumId="144">
    <w:nsid w:val="74824D54"/>
    <w:multiLevelType w:val="hybridMultilevel"/>
    <w:lvl w:ilvl="0">
      <w:lvlJc w:val="left"/>
      <w:lvlText w:val="•"/>
      <w:numFmt w:val="bullet"/>
      <w:start w:val="1"/>
    </w:lvl>
  </w:abstractNum>
  <w:abstractNum w:abstractNumId="145">
    <w:nsid w:val="6F00529A"/>
    <w:multiLevelType w:val="hybridMultilevel"/>
    <w:lvl w:ilvl="0">
      <w:lvlJc w:val="left"/>
      <w:lvlText w:val="•"/>
      <w:numFmt w:val="bullet"/>
      <w:start w:val="1"/>
    </w:lvl>
  </w:abstractNum>
  <w:abstractNum w:abstractNumId="146">
    <w:nsid w:val="805B331"/>
    <w:multiLevelType w:val="hybridMultilevel"/>
    <w:lvl w:ilvl="0">
      <w:lvlJc w:val="left"/>
      <w:lvlText w:val="•"/>
      <w:numFmt w:val="bullet"/>
      <w:start w:val="1"/>
    </w:lvl>
  </w:abstractNum>
  <w:abstractNum w:abstractNumId="147">
    <w:nsid w:val="60A1463"/>
    <w:multiLevelType w:val="hybridMultilevel"/>
    <w:lvl w:ilvl="0">
      <w:lvlJc w:val="left"/>
      <w:lvlText w:val="•"/>
      <w:numFmt w:val="bullet"/>
      <w:start w:val="1"/>
    </w:lvl>
  </w:abstractNum>
  <w:abstractNum w:abstractNumId="148">
    <w:nsid w:val="43773132"/>
    <w:multiLevelType w:val="hybridMultilevel"/>
    <w:lvl w:ilvl="0">
      <w:lvlJc w:val="left"/>
      <w:lvlText w:val="•"/>
      <w:numFmt w:val="bullet"/>
      <w:start w:val="1"/>
    </w:lvl>
  </w:abstractNum>
  <w:abstractNum w:abstractNumId="149">
    <w:nsid w:val="16AC4B23"/>
    <w:multiLevelType w:val="hybridMultilevel"/>
    <w:lvl w:ilvl="0">
      <w:lvlJc w:val="left"/>
      <w:lvlText w:val="•"/>
      <w:numFmt w:val="bullet"/>
      <w:start w:val="1"/>
    </w:lvl>
  </w:abstractNum>
  <w:abstractNum w:abstractNumId="150">
    <w:nsid w:val="76C44E4E"/>
    <w:multiLevelType w:val="hybridMultilevel"/>
    <w:lvl w:ilvl="0">
      <w:lvlJc w:val="left"/>
      <w:lvlText w:val="•"/>
      <w:numFmt w:val="bullet"/>
      <w:start w:val="1"/>
    </w:lvl>
  </w:abstractNum>
  <w:abstractNum w:abstractNumId="151">
    <w:nsid w:val="E04E6CE"/>
    <w:multiLevelType w:val="hybridMultilevel"/>
    <w:lvl w:ilvl="0">
      <w:lvlJc w:val="left"/>
      <w:lvlText w:val="•"/>
      <w:numFmt w:val="bullet"/>
      <w:start w:val="1"/>
    </w:lvl>
  </w:abstractNum>
  <w:abstractNum w:abstractNumId="152">
    <w:nsid w:val="31A9DB76"/>
    <w:multiLevelType w:val="hybridMultilevel"/>
    <w:lvl w:ilvl="0">
      <w:lvlJc w:val="left"/>
      <w:lvlText w:val="(%1)"/>
      <w:numFmt w:val="lowerRoman"/>
      <w:start w:val="1"/>
    </w:lvl>
  </w:abstractNum>
  <w:abstractNum w:abstractNumId="153">
    <w:nsid w:val="4C4FFF5B"/>
    <w:multiLevelType w:val="hybridMultilevel"/>
    <w:lvl w:ilvl="0">
      <w:lvlJc w:val="left"/>
      <w:lvlText w:val="•"/>
      <w:numFmt w:val="bullet"/>
      <w:start w:val="1"/>
    </w:lvl>
  </w:abstractNum>
  <w:abstractNum w:abstractNumId="154">
    <w:nsid w:val="51B76675"/>
    <w:multiLevelType w:val="hybridMultilevel"/>
    <w:lvl w:ilvl="0">
      <w:lvlJc w:val="left"/>
      <w:lvlText w:val="•"/>
      <w:numFmt w:val="bullet"/>
      <w:start w:val="1"/>
    </w:lvl>
  </w:abstractNum>
  <w:abstractNum w:abstractNumId="155">
    <w:nsid w:val="59A4BA71"/>
    <w:multiLevelType w:val="hybridMultilevel"/>
    <w:lvl w:ilvl="0">
      <w:lvlJc w:val="left"/>
      <w:lvlText w:val="•"/>
      <w:numFmt w:val="bullet"/>
      <w:start w:val="1"/>
    </w:lvl>
  </w:abstractNum>
  <w:abstractNum w:abstractNumId="156">
    <w:nsid w:val="450B7FB6"/>
    <w:multiLevelType w:val="hybridMultilevel"/>
    <w:lvl w:ilvl="0">
      <w:lvlJc w:val="left"/>
      <w:lvlText w:val="•"/>
      <w:numFmt w:val="bullet"/>
      <w:start w:val="1"/>
    </w:lvl>
  </w:abstractNum>
  <w:abstractNum w:abstractNumId="157">
    <w:nsid w:val="340BF64D"/>
    <w:multiLevelType w:val="hybridMultilevel"/>
    <w:lvl w:ilvl="0">
      <w:lvlJc w:val="left"/>
      <w:lvlText w:val="•"/>
      <w:numFmt w:val="bullet"/>
      <w:start w:val="1"/>
    </w:lvl>
  </w:abstractNum>
  <w:abstractNum w:abstractNumId="158">
    <w:nsid w:val="69454021"/>
    <w:multiLevelType w:val="hybridMultilevel"/>
    <w:lvl w:ilvl="0">
      <w:lvlJc w:val="left"/>
      <w:lvlText w:val="•"/>
      <w:numFmt w:val="bullet"/>
      <w:start w:val="1"/>
    </w:lvl>
    <w:lvl w:ilvl="1">
      <w:lvlJc w:val="left"/>
      <w:lvlText w:val="(%2)"/>
      <w:numFmt w:val="lowerLetter"/>
      <w:start w:val="9"/>
    </w:lvl>
  </w:abstractNum>
  <w:abstractNum w:abstractNumId="159">
    <w:nsid w:val="49F15C6B"/>
    <w:multiLevelType w:val="hybridMultilevel"/>
    <w:lvl w:ilvl="0">
      <w:lvlJc w:val="left"/>
      <w:lvlText w:val="(%1)"/>
      <w:numFmt w:val="lowerRoman"/>
      <w:start w:val="2"/>
    </w:lvl>
  </w:abstractNum>
  <w:abstractNum w:abstractNumId="160">
    <w:nsid w:val="75F56228"/>
    <w:multiLevelType w:val="hybridMultilevel"/>
    <w:lvl w:ilvl="0">
      <w:lvlJc w:val="left"/>
      <w:lvlText w:val="•"/>
      <w:numFmt w:val="bullet"/>
      <w:start w:val="1"/>
    </w:lvl>
  </w:abstractNum>
  <w:abstractNum w:abstractNumId="161">
    <w:nsid w:val="1C618271"/>
    <w:multiLevelType w:val="hybridMultilevel"/>
    <w:lvl w:ilvl="0">
      <w:lvlJc w:val="left"/>
      <w:lvlText w:val="(%1)"/>
      <w:numFmt w:val="lowerLetter"/>
      <w:start w:val="7"/>
    </w:lvl>
  </w:abstractNum>
  <w:abstractNum w:abstractNumId="162">
    <w:nsid w:val="6505F02E"/>
    <w:multiLevelType w:val="hybridMultilevel"/>
    <w:lvl w:ilvl="0">
      <w:lvlJc w:val="left"/>
      <w:lvlText w:val="(%1)"/>
      <w:numFmt w:val="decimal"/>
      <w:start w:val="1"/>
    </w:lvl>
  </w:abstractNum>
  <w:abstractNum w:abstractNumId="163">
    <w:nsid w:val="2FE5D025"/>
    <w:multiLevelType w:val="hybridMultilevel"/>
    <w:lvl w:ilvl="0">
      <w:lvlJc w:val="left"/>
      <w:lvlText w:val="(%1)"/>
      <w:numFmt w:val="lowerRoman"/>
      <w:start w:val="3"/>
    </w:lvl>
  </w:abstractNum>
  <w:abstractNum w:abstractNumId="164">
    <w:nsid w:val="30E1B1CF"/>
    <w:multiLevelType w:val="hybridMultilevel"/>
    <w:lvl w:ilvl="0">
      <w:lvlJc w:val="left"/>
      <w:lvlText w:val="•"/>
      <w:numFmt w:val="bullet"/>
      <w:start w:val="1"/>
    </w:lvl>
  </w:abstractNum>
  <w:abstractNum w:abstractNumId="165">
    <w:nsid w:val="C7A9237"/>
    <w:multiLevelType w:val="hybridMultilevel"/>
    <w:lvl w:ilvl="0">
      <w:lvlJc w:val="left"/>
      <w:lvlText w:val="(%1)"/>
      <w:numFmt w:val="lowerLetter"/>
      <w:start w:val="1"/>
    </w:lvl>
    <w:lvl w:ilvl="1">
      <w:lvlJc w:val="left"/>
      <w:lvlText w:val="•"/>
      <w:numFmt w:val="bullet"/>
      <w:start w:val="1"/>
    </w:lvl>
  </w:abstractNum>
  <w:abstractNum w:abstractNumId="166">
    <w:nsid w:val="676B3580"/>
    <w:multiLevelType w:val="hybridMultilevel"/>
    <w:lvl w:ilvl="0">
      <w:lvlJc w:val="left"/>
      <w:lvlText w:val="(%1)"/>
      <w:numFmt w:val="lowerLetter"/>
      <w:start w:val="6"/>
    </w:lvl>
  </w:abstractNum>
  <w:abstractNum w:abstractNumId="167">
    <w:nsid w:val="3193C8F9"/>
    <w:multiLevelType w:val="hybridMultilevel"/>
    <w:lvl w:ilvl="0">
      <w:lvlJc w:val="left"/>
      <w:lvlText w:val="(%1)"/>
      <w:numFmt w:val="lowerLetter"/>
      <w:start w:val="27"/>
    </w:lvl>
  </w:abstractNum>
  <w:abstractNum w:abstractNumId="168">
    <w:nsid w:val="5FA6C6DC"/>
    <w:multiLevelType w:val="hybridMultilevel"/>
    <w:lvl w:ilvl="0">
      <w:lvlJc w:val="left"/>
      <w:lvlText w:val="(%1)"/>
      <w:numFmt w:val="lowerLetter"/>
      <w:start w:val="31"/>
    </w:lvl>
  </w:abstractNum>
  <w:abstractNum w:abstractNumId="169">
    <w:nsid w:val="77933F62"/>
    <w:multiLevelType w:val="hybridMultilevel"/>
    <w:lvl w:ilvl="0">
      <w:lvlJc w:val="left"/>
      <w:lvlText w:val="•"/>
      <w:numFmt w:val="bullet"/>
      <w:start w:val="1"/>
    </w:lvl>
  </w:abstractNum>
  <w:abstractNum w:abstractNumId="170">
    <w:nsid w:val="6CB4EE9C"/>
    <w:multiLevelType w:val="hybridMultilevel"/>
    <w:lvl w:ilvl="0">
      <w:lvlJc w:val="left"/>
      <w:lvlText w:val="•"/>
      <w:numFmt w:val="bullet"/>
      <w:start w:val="1"/>
    </w:lvl>
  </w:abstractNum>
  <w:abstractNum w:abstractNumId="171">
    <w:nsid w:val="6A6D56D7"/>
    <w:multiLevelType w:val="hybridMultilevel"/>
    <w:lvl w:ilvl="0">
      <w:lvlJc w:val="left"/>
      <w:lvlText w:val="•"/>
      <w:numFmt w:val="bullet"/>
      <w:start w:val="1"/>
    </w:lvl>
  </w:abstractNum>
  <w:abstractNum w:abstractNumId="172">
    <w:nsid w:val="5B727F19"/>
    <w:multiLevelType w:val="hybridMultilevel"/>
    <w:lvl w:ilvl="0">
      <w:lvlJc w:val="left"/>
      <w:lvlText w:val="•"/>
      <w:numFmt w:val="bullet"/>
      <w:start w:val="1"/>
    </w:lvl>
    <w:lvl w:ilvl="1">
      <w:lvlJc w:val="left"/>
      <w:lvlText w:val="(%2)"/>
      <w:numFmt w:val="lowerRoman"/>
      <w:start w:val="1"/>
    </w:lvl>
  </w:abstractNum>
  <w:abstractNum w:abstractNumId="173">
    <w:nsid w:val="514E5CB0"/>
    <w:multiLevelType w:val="hybridMultilevel"/>
    <w:lvl w:ilvl="0">
      <w:lvlJc w:val="left"/>
      <w:lvlText w:val="•"/>
      <w:numFmt w:val="bullet"/>
      <w:start w:val="1"/>
    </w:lvl>
  </w:abstractNum>
  <w:abstractNum w:abstractNumId="174">
    <w:nsid w:val="4210D41E"/>
    <w:multiLevelType w:val="hybridMultilevel"/>
    <w:lvl w:ilvl="0">
      <w:lvlJc w:val="left"/>
      <w:lvlText w:val="•"/>
      <w:numFmt w:val="bullet"/>
      <w:start w:val="1"/>
    </w:lvl>
  </w:abstractNum>
  <w:abstractNum w:abstractNumId="175">
    <w:nsid w:val="4FF4CC6D"/>
    <w:multiLevelType w:val="hybridMultilevel"/>
    <w:lvl w:ilvl="0">
      <w:lvlJc w:val="left"/>
      <w:lvlText w:val="•"/>
      <w:numFmt w:val="bullet"/>
      <w:start w:val="1"/>
    </w:lvl>
  </w:abstractNum>
  <w:abstractNum w:abstractNumId="176">
    <w:nsid w:val="404EAF4A"/>
    <w:multiLevelType w:val="hybridMultilevel"/>
    <w:lvl w:ilvl="0">
      <w:lvlJc w:val="left"/>
      <w:lvlText w:val="•"/>
      <w:numFmt w:val="bullet"/>
      <w:start w:val="1"/>
    </w:lvl>
  </w:abstractNum>
  <w:abstractNum w:abstractNumId="177">
    <w:nsid w:val="4A16874F"/>
    <w:multiLevelType w:val="hybridMultilevel"/>
    <w:lvl w:ilvl="0">
      <w:lvlJc w:val="left"/>
      <w:lvlText w:val="•"/>
      <w:numFmt w:val="bullet"/>
      <w:start w:val="1"/>
    </w:lvl>
  </w:abstractNum>
  <w:abstractNum w:abstractNumId="178">
    <w:nsid w:val="55FEE0D1"/>
    <w:multiLevelType w:val="hybridMultilevel"/>
    <w:lvl w:ilvl="0">
      <w:lvlJc w:val="left"/>
      <w:lvlText w:val="•"/>
      <w:numFmt w:val="bullet"/>
      <w:start w:val="1"/>
    </w:lvl>
  </w:abstractNum>
  <w:abstractNum w:abstractNumId="179">
    <w:nsid w:val="3C5E07C"/>
    <w:multiLevelType w:val="hybridMultilevel"/>
    <w:lvl w:ilvl="0">
      <w:lvlJc w:val="left"/>
      <w:lvlText w:val="•"/>
      <w:numFmt w:val="bullet"/>
      <w:start w:val="1"/>
    </w:lvl>
  </w:abstractNum>
  <w:abstractNum w:abstractNumId="180">
    <w:nsid w:val="60C2D273"/>
    <w:multiLevelType w:val="hybridMultilevel"/>
    <w:lvl w:ilvl="0">
      <w:lvlJc w:val="left"/>
      <w:lvlText w:val="(%1)"/>
      <w:numFmt w:val="lowerRoman"/>
      <w:start w:val="1"/>
    </w:lvl>
  </w:abstractNum>
  <w:abstractNum w:abstractNumId="181">
    <w:nsid w:val="4CC32F1F"/>
    <w:multiLevelType w:val="hybridMultilevel"/>
    <w:lvl w:ilvl="0">
      <w:lvlJc w:val="left"/>
      <w:lvlText w:val="(%1)"/>
      <w:numFmt w:val="decimal"/>
      <w:start w:val="1"/>
    </w:lvl>
  </w:abstractNum>
  <w:abstractNum w:abstractNumId="182">
    <w:nsid w:val="11CAC74A"/>
    <w:multiLevelType w:val="hybridMultilevel"/>
    <w:lvl w:ilvl="0">
      <w:lvlJc w:val="left"/>
      <w:lvlText w:val="(%1)"/>
      <w:numFmt w:val="decimal"/>
      <w:start w:val="2"/>
    </w:lvl>
  </w:abstractNum>
  <w:abstractNum w:abstractNumId="183">
    <w:nsid w:val="126CADE9"/>
    <w:multiLevelType w:val="hybridMultilevel"/>
    <w:lvl w:ilvl="0">
      <w:lvlJc w:val="left"/>
      <w:lvlText w:val="(%1)"/>
      <w:numFmt w:val="lowerRoman"/>
      <w:start w:val="11"/>
    </w:lvl>
  </w:abstractNum>
  <w:abstractNum w:abstractNumId="184">
    <w:nsid w:val="19132E7B"/>
    <w:multiLevelType w:val="hybridMultilevel"/>
    <w:lvl w:ilvl="0">
      <w:lvlJc w:val="left"/>
      <w:lvlText w:val="(%1)"/>
      <w:numFmt w:val="lowerRoman"/>
      <w:start w:val="18"/>
    </w:lvl>
  </w:abstractNum>
  <w:abstractNum w:abstractNumId="185">
    <w:nsid w:val="63822DC0"/>
    <w:multiLevelType w:val="hybridMultilevel"/>
    <w:lvl w:ilvl="0">
      <w:lvlJc w:val="left"/>
      <w:lvlText w:val="(%1)"/>
      <w:numFmt w:val="lowerLetter"/>
      <w:start w:val="2"/>
    </w:lvl>
  </w:abstractNum>
  <w:abstractNum w:abstractNumId="186">
    <w:nsid w:val="6C11685A"/>
    <w:multiLevelType w:val="hybridMultilevel"/>
    <w:lvl w:ilvl="0">
      <w:lvlJc w:val="left"/>
      <w:lvlText w:val="(%1)"/>
      <w:numFmt w:val="lowerLetter"/>
      <w:start w:val="7"/>
    </w:lvl>
  </w:abstractNum>
  <w:abstractNum w:abstractNumId="187">
    <w:nsid w:val="5E1EAE31"/>
    <w:multiLevelType w:val="hybridMultilevel"/>
    <w:lvl w:ilvl="0">
      <w:lvlJc w:val="left"/>
      <w:lvlText w:val="•"/>
      <w:numFmt w:val="bullet"/>
      <w:start w:val="1"/>
    </w:lvl>
  </w:abstractNum>
  <w:abstractNum w:abstractNumId="188">
    <w:nsid w:val="178E240D"/>
    <w:multiLevelType w:val="hybridMultilevel"/>
    <w:lvl w:ilvl="0">
      <w:lvlJc w:val="left"/>
      <w:lvlText w:val="(%1)"/>
      <w:numFmt w:val="lowerLetter"/>
      <w:start w:val="2"/>
    </w:lvl>
  </w:abstractNum>
  <w:abstractNum w:abstractNumId="189">
    <w:nsid w:val="5556A87B"/>
    <w:multiLevelType w:val="hybridMultilevel"/>
    <w:lvl w:ilvl="0">
      <w:lvlJc w:val="left"/>
      <w:lvlText w:val="•"/>
      <w:numFmt w:val="bullet"/>
      <w:start w:val="1"/>
    </w:lvl>
  </w:abstractNum>
  <w:abstractNum w:abstractNumId="190">
    <w:nsid w:val="28100A9C"/>
    <w:multiLevelType w:val="hybridMultilevel"/>
    <w:lvl w:ilvl="0">
      <w:lvlJc w:val="left"/>
      <w:lvlText w:val="(%1)"/>
      <w:numFmt w:val="lowerLetter"/>
      <w:start w:val="2"/>
    </w:lvl>
  </w:abstractNum>
  <w:abstractNum w:abstractNumId="191">
    <w:nsid w:val="D838636"/>
    <w:multiLevelType w:val="hybridMultilevel"/>
    <w:lvl w:ilvl="0">
      <w:lvlJc w:val="left"/>
      <w:lvlText w:val="(%1)"/>
      <w:numFmt w:val="lowerRoman"/>
      <w:start w:val="1"/>
    </w:lvl>
  </w:abstractNum>
  <w:abstractNum w:abstractNumId="192">
    <w:nsid w:val="71B82AED"/>
    <w:multiLevelType w:val="hybridMultilevel"/>
    <w:lvl w:ilvl="0">
      <w:lvlJc w:val="left"/>
      <w:lvlText w:val="(%1)"/>
      <w:numFmt w:val="lowerRoman"/>
      <w:start w:val="1"/>
    </w:lvl>
  </w:abstractNum>
  <w:abstractNum w:abstractNumId="193">
    <w:nsid w:val="D15FACA"/>
    <w:multiLevelType w:val="hybridMultilevel"/>
    <w:lvl w:ilvl="0">
      <w:lvlJc w:val="left"/>
      <w:lvlText w:val="•"/>
      <w:numFmt w:val="bullet"/>
      <w:start w:val="1"/>
    </w:lvl>
  </w:abstractNum>
  <w:abstractNum w:abstractNumId="194">
    <w:nsid w:val="3D69565B"/>
    <w:multiLevelType w:val="hybridMultilevel"/>
    <w:lvl w:ilvl="0">
      <w:lvlJc w:val="left"/>
      <w:lvlText w:val="•"/>
      <w:numFmt w:val="bullet"/>
      <w:start w:val="1"/>
    </w:lvl>
  </w:abstractNum>
  <w:abstractNum w:abstractNumId="195">
    <w:nsid w:val="2299DCBC"/>
    <w:multiLevelType w:val="hybridMultilevel"/>
    <w:lvl w:ilvl="0">
      <w:lvlJc w:val="left"/>
      <w:lvlText w:val="•"/>
      <w:numFmt w:val="bullet"/>
      <w:start w:val="1"/>
    </w:lvl>
  </w:abstractNum>
  <w:abstractNum w:abstractNumId="196">
    <w:nsid w:val="19908D02"/>
    <w:multiLevelType w:val="hybridMultilevel"/>
    <w:lvl w:ilvl="0">
      <w:lvlJc w:val="left"/>
      <w:lvlText w:val="\emdash "/>
      <w:numFmt w:val="bullet"/>
      <w:start w:val="1"/>
    </w:lvl>
  </w:abstractNum>
  <w:abstractNum w:abstractNumId="197">
    <w:nsid w:val="24D48BDB"/>
    <w:multiLevelType w:val="hybridMultilevel"/>
    <w:lvl w:ilvl="0">
      <w:lvlJc w:val="left"/>
      <w:lvlText w:val="•"/>
      <w:numFmt w:val="bullet"/>
      <w:start w:val="1"/>
    </w:lvl>
  </w:abstractNum>
  <w:abstractNum w:abstractNumId="198">
    <w:nsid w:val="542DA5B5"/>
    <w:multiLevelType w:val="hybridMultilevel"/>
    <w:lvl w:ilvl="0">
      <w:lvlJc w:val="left"/>
      <w:lvlText w:val="•"/>
      <w:numFmt w:val="bullet"/>
      <w:start w:val="1"/>
    </w:lvl>
  </w:abstractNum>
  <w:abstractNum w:abstractNumId="199">
    <w:nsid w:val="793753DE"/>
    <w:multiLevelType w:val="hybridMultilevel"/>
    <w:lvl w:ilvl="0">
      <w:lvlJc w:val="left"/>
      <w:lvlText w:val="•"/>
      <w:numFmt w:val="bullet"/>
      <w:start w:val="1"/>
    </w:lvl>
  </w:abstractNum>
  <w:abstractNum w:abstractNumId="200">
    <w:nsid w:val="1C67CB3D"/>
    <w:multiLevelType w:val="hybridMultilevel"/>
    <w:lvl w:ilvl="0">
      <w:lvlJc w:val="left"/>
      <w:lvlText w:val="•"/>
      <w:numFmt w:val="bullet"/>
      <w:start w:val="1"/>
    </w:lvl>
  </w:abstractNum>
  <w:abstractNum w:abstractNumId="201">
    <w:nsid w:val="40E29452"/>
    <w:multiLevelType w:val="hybridMultilevel"/>
    <w:lvl w:ilvl="0">
      <w:lvlJc w:val="left"/>
      <w:lvlText w:val="•"/>
      <w:numFmt w:val="bullet"/>
      <w:start w:val="1"/>
    </w:lvl>
  </w:abstractNum>
  <w:abstractNum w:abstractNumId="202">
    <w:nsid w:val="63A4AAB6"/>
    <w:multiLevelType w:val="hybridMultilevel"/>
    <w:lvl w:ilvl="0">
      <w:lvlJc w:val="left"/>
      <w:lvlText w:val="•"/>
      <w:numFmt w:val="bullet"/>
      <w:start w:val="1"/>
    </w:lvl>
  </w:abstractNum>
  <w:abstractNum w:abstractNumId="203">
    <w:nsid w:val="77DA4A57"/>
    <w:multiLevelType w:val="hybridMultilevel"/>
    <w:lvl w:ilvl="0">
      <w:lvlJc w:val="left"/>
      <w:lvlText w:val="•"/>
      <w:numFmt w:val="bullet"/>
      <w:start w:val="1"/>
    </w:lvl>
  </w:abstractNum>
  <w:abstractNum w:abstractNumId="204">
    <w:nsid w:val="1230F102"/>
    <w:multiLevelType w:val="hybridMultilevel"/>
    <w:lvl w:ilvl="0">
      <w:lvlJc w:val="left"/>
      <w:lvlText w:val="(%1)"/>
      <w:numFmt w:val="decimal"/>
      <w:start w:val="1"/>
    </w:lvl>
  </w:abstractNum>
  <w:abstractNum w:abstractNumId="205">
    <w:nsid w:val="25B57ED4"/>
    <w:multiLevelType w:val="hybridMultilevel"/>
    <w:lvl w:ilvl="0">
      <w:lvlJc w:val="left"/>
      <w:lvlText w:val="•"/>
      <w:numFmt w:val="bullet"/>
      <w:start w:val="1"/>
    </w:lvl>
  </w:abstractNum>
  <w:abstractNum w:abstractNumId="206">
    <w:nsid w:val="47CF16C4"/>
    <w:multiLevelType w:val="hybridMultilevel"/>
    <w:lvl w:ilvl="0">
      <w:lvlJc w:val="left"/>
      <w:lvlText w:val="•"/>
      <w:numFmt w:val="bullet"/>
      <w:start w:val="1"/>
    </w:lvl>
  </w:abstractNum>
  <w:abstractNum w:abstractNumId="207">
    <w:nsid w:val="527FA04C"/>
    <w:multiLevelType w:val="hybridMultilevel"/>
    <w:lvl w:ilvl="0">
      <w:lvlJc w:val="left"/>
      <w:lvlText w:val="(%1)"/>
      <w:numFmt w:val="decimal"/>
      <w:start w:val="1"/>
    </w:lvl>
  </w:abstractNum>
  <w:abstractNum w:abstractNumId="208">
    <w:nsid w:val="6FCC0624"/>
    <w:multiLevelType w:val="hybridMultilevel"/>
    <w:lvl w:ilvl="0">
      <w:lvlJc w:val="left"/>
      <w:lvlText w:val="•"/>
      <w:numFmt w:val="bullet"/>
      <w:start w:val="1"/>
    </w:lvl>
  </w:abstractNum>
  <w:abstractNum w:abstractNumId="209">
    <w:nsid w:val="1DCDF795"/>
    <w:multiLevelType w:val="hybridMultilevel"/>
    <w:lvl w:ilvl="0">
      <w:lvlJc w:val="left"/>
      <w:lvlText w:val="•"/>
      <w:numFmt w:val="bullet"/>
      <w:start w:val="1"/>
    </w:lvl>
    <w:lvl w:ilvl="1">
      <w:lvlJc w:val="left"/>
      <w:lvlText w:val="•"/>
      <w:numFmt w:val="bullet"/>
      <w:start w:val="1"/>
    </w:lvl>
  </w:abstractNum>
  <w:abstractNum w:abstractNumId="210">
    <w:nsid w:val="564580C8"/>
    <w:multiLevelType w:val="hybridMultilevel"/>
    <w:lvl w:ilvl="0">
      <w:lvlJc w:val="left"/>
      <w:lvlText w:val="2"/>
      <w:numFmt w:val="bullet"/>
      <w:start w:val="1"/>
    </w:lvl>
  </w:abstractNum>
  <w:abstractNum w:abstractNumId="211">
    <w:nsid w:val="508ED897"/>
    <w:multiLevelType w:val="hybridMultilevel"/>
    <w:lvl w:ilvl="0">
      <w:lvlJc w:val="left"/>
      <w:lvlText w:val="•"/>
      <w:numFmt w:val="bullet"/>
      <w:start w:val="1"/>
    </w:lvl>
  </w:abstractNum>
  <w:abstractNum w:abstractNumId="212">
    <w:nsid w:val="6A9126B5"/>
    <w:multiLevelType w:val="hybridMultilevel"/>
    <w:lvl w:ilvl="0">
      <w:lvlJc w:val="left"/>
      <w:lvlText w:val="5"/>
      <w:numFmt w:val="bullet"/>
      <w:start w:val="1"/>
    </w:lvl>
  </w:abstractNum>
  <w:abstractNum w:abstractNumId="213">
    <w:nsid w:val="68104812"/>
    <w:multiLevelType w:val="hybridMultilevel"/>
    <w:lvl w:ilvl="0">
      <w:lvlJc w:val="left"/>
      <w:lvlText w:val="6"/>
      <w:numFmt w:val="bullet"/>
      <w:start w:val="1"/>
    </w:lvl>
  </w:abstractNum>
  <w:abstractNum w:abstractNumId="214">
    <w:nsid w:val="62FB8680"/>
    <w:multiLevelType w:val="hybridMultilevel"/>
    <w:lvl w:ilvl="0">
      <w:lvlJc w:val="left"/>
      <w:lvlText w:val="•"/>
      <w:numFmt w:val="bullet"/>
      <w:start w:val="1"/>
    </w:lvl>
  </w:abstractNum>
  <w:abstractNum w:abstractNumId="215">
    <w:nsid w:val="3A45530"/>
    <w:multiLevelType w:val="hybridMultilevel"/>
    <w:lvl w:ilvl="0">
      <w:lvlJc w:val="left"/>
      <w:lvlText w:val="•"/>
      <w:numFmt w:val="bullet"/>
      <w:start w:val="1"/>
    </w:lvl>
  </w:abstractNum>
  <w:abstractNum w:abstractNumId="216">
    <w:nsid w:val="4B9275D2"/>
    <w:multiLevelType w:val="hybridMultilevel"/>
    <w:lvl w:ilvl="0">
      <w:lvlJc w:val="left"/>
      <w:lvlText w:val="•"/>
      <w:numFmt w:val="bullet"/>
      <w:start w:val="1"/>
    </w:lvl>
  </w:abstractNum>
  <w:abstractNum w:abstractNumId="217">
    <w:nsid w:val="4F0CEEDB"/>
    <w:multiLevelType w:val="hybridMultilevel"/>
    <w:lvl w:ilvl="0">
      <w:lvlJc w:val="left"/>
      <w:lvlText w:val="(%1)"/>
      <w:numFmt w:val="decimal"/>
      <w:start w:val="1"/>
    </w:lvl>
  </w:abstractNum>
  <w:abstractNum w:abstractNumId="218">
    <w:nsid w:val="61C30361"/>
    <w:multiLevelType w:val="hybridMultilevel"/>
    <w:lvl w:ilvl="0">
      <w:lvlJc w:val="left"/>
      <w:lvlText w:val="•"/>
      <w:numFmt w:val="bullet"/>
      <w:start w:val="1"/>
    </w:lvl>
  </w:abstractNum>
  <w:abstractNum w:abstractNumId="219">
    <w:nsid w:val="632099E0"/>
    <w:multiLevelType w:val="hybridMultilevel"/>
    <w:lvl w:ilvl="0">
      <w:lvlJc w:val="left"/>
      <w:lvlText w:val="(%1)"/>
      <w:numFmt w:val="lowerRoman"/>
      <w:start w:val="1"/>
    </w:lvl>
  </w:abstractNum>
  <w:abstractNum w:abstractNumId="220">
    <w:nsid w:val="24639756"/>
    <w:multiLevelType w:val="hybridMultilevel"/>
    <w:lvl w:ilvl="0">
      <w:lvlJc w:val="left"/>
      <w:lvlText w:val="(%1)"/>
      <w:numFmt w:val="lowerRoman"/>
      <w:start w:val="7"/>
    </w:lvl>
  </w:abstractNum>
  <w:abstractNum w:abstractNumId="221">
    <w:nsid w:val="9D30DFD"/>
    <w:multiLevelType w:val="hybridMultilevel"/>
    <w:lvl w:ilvl="0">
      <w:lvlJc w:val="left"/>
      <w:lvlText w:val="•"/>
      <w:numFmt w:val="bullet"/>
      <w:start w:val="1"/>
    </w:lvl>
  </w:abstractNum>
  <w:abstractNum w:abstractNumId="222">
    <w:nsid w:val="70A42016"/>
    <w:multiLevelType w:val="hybridMultilevel"/>
    <w:lvl w:ilvl="0">
      <w:lvlJc w:val="left"/>
      <w:lvlText w:val="\emdash "/>
      <w:numFmt w:val="bullet"/>
      <w:start w:val="1"/>
    </w:lvl>
  </w:abstractNum>
  <w:abstractNum w:abstractNumId="223">
    <w:nsid w:val="161BC243"/>
    <w:multiLevelType w:val="hybridMultilevel"/>
    <w:lvl w:ilvl="0">
      <w:lvlJc w:val="left"/>
      <w:lvlText w:val="(%1)"/>
      <w:numFmt w:val="lowerRoman"/>
      <w:start w:val="2"/>
    </w:lvl>
    <w:lvl w:ilvl="1">
      <w:lvlJc w:val="left"/>
      <w:lvlText w:val="•"/>
      <w:numFmt w:val="bullet"/>
      <w:start w:val="1"/>
    </w:lvl>
  </w:abstractNum>
  <w:abstractNum w:abstractNumId="224">
    <w:nsid w:val="16E908C8"/>
    <w:multiLevelType w:val="hybridMultilevel"/>
    <w:lvl w:ilvl="0">
      <w:lvlJc w:val="left"/>
      <w:lvlText w:val="•"/>
      <w:numFmt w:val="bullet"/>
      <w:start w:val="1"/>
    </w:lvl>
  </w:abstractNum>
  <w:abstractNum w:abstractNumId="225">
    <w:nsid w:val="2E0D7671"/>
    <w:multiLevelType w:val="hybridMultilevel"/>
    <w:lvl w:ilvl="0">
      <w:lvlJc w:val="left"/>
      <w:lvlText w:val="•"/>
      <w:numFmt w:val="bullet"/>
      <w:start w:val="1"/>
    </w:lvl>
  </w:abstractNum>
  <w:abstractNum w:abstractNumId="226">
    <w:nsid w:val="38B59EFF"/>
    <w:multiLevelType w:val="hybridMultilevel"/>
    <w:lvl w:ilvl="0">
      <w:lvlJc w:val="left"/>
      <w:lvlText w:val="(%1)"/>
      <w:numFmt w:val="lowerRoman"/>
      <w:start w:val="2"/>
    </w:lvl>
  </w:abstractNum>
  <w:abstractNum w:abstractNumId="227">
    <w:nsid w:val="307995CA"/>
    <w:multiLevelType w:val="hybridMultilevel"/>
    <w:lvl w:ilvl="0">
      <w:lvlJc w:val="left"/>
      <w:lvlText w:val="•"/>
      <w:numFmt w:val="bullet"/>
      <w:start w:val="1"/>
    </w:lvl>
  </w:abstractNum>
  <w:abstractNum w:abstractNumId="228">
    <w:nsid w:val="52E2024D"/>
    <w:multiLevelType w:val="hybridMultilevel"/>
    <w:lvl w:ilvl="0">
      <w:lvlJc w:val="left"/>
      <w:lvlText w:val="(%1)"/>
      <w:numFmt w:val="lowerRoman"/>
      <w:start w:val="1"/>
    </w:lvl>
  </w:abstractNum>
  <w:abstractNum w:abstractNumId="229">
    <w:nsid w:val="CE344B5"/>
    <w:multiLevelType w:val="hybridMultilevel"/>
    <w:lvl w:ilvl="0">
      <w:lvlJc w:val="left"/>
      <w:lvlText w:val="(%1)"/>
      <w:numFmt w:val="lowerRoman"/>
      <w:start w:val="2"/>
    </w:lvl>
  </w:abstractNum>
  <w:abstractNum w:abstractNumId="230">
    <w:nsid w:val="29B0E9A8"/>
    <w:multiLevelType w:val="hybridMultilevel"/>
    <w:lvl w:ilvl="0">
      <w:lvlJc w:val="left"/>
      <w:lvlText w:val="•"/>
      <w:numFmt w:val="bullet"/>
      <w:start w:val="1"/>
    </w:lvl>
  </w:abstractNum>
  <w:abstractNum w:abstractNumId="231">
    <w:nsid w:val="6F49CD8A"/>
    <w:multiLevelType w:val="hybridMultilevel"/>
    <w:lvl w:ilvl="0">
      <w:lvlJc w:val="left"/>
      <w:lvlText w:val="•"/>
      <w:numFmt w:val="bullet"/>
      <w:start w:val="1"/>
    </w:lvl>
  </w:abstractNum>
  <w:abstractNum w:abstractNumId="232">
    <w:nsid w:val="4DC5D907"/>
    <w:multiLevelType w:val="hybridMultilevel"/>
    <w:lvl w:ilvl="0">
      <w:lvlJc w:val="left"/>
      <w:lvlText w:val="•"/>
      <w:numFmt w:val="bullet"/>
      <w:start w:val="1"/>
    </w:lvl>
  </w:abstractNum>
  <w:abstractNum w:abstractNumId="233">
    <w:nsid w:val="D55945E"/>
    <w:multiLevelType w:val="hybridMultilevel"/>
    <w:lvl w:ilvl="0">
      <w:lvlJc w:val="left"/>
      <w:lvlText w:val="•"/>
      <w:numFmt w:val="bullet"/>
      <w:start w:val="1"/>
    </w:lvl>
  </w:abstractNum>
  <w:abstractNum w:abstractNumId="234">
    <w:nsid w:val="672417E1"/>
    <w:multiLevelType w:val="hybridMultilevel"/>
    <w:lvl w:ilvl="0">
      <w:lvlJc w:val="left"/>
      <w:lvlText w:val="•"/>
      <w:numFmt w:val="bullet"/>
      <w:start w:val="1"/>
    </w:lvl>
  </w:abstractNum>
  <w:abstractNum w:abstractNumId="235">
    <w:nsid w:val="5FF6CA09"/>
    <w:multiLevelType w:val="hybridMultilevel"/>
    <w:lvl w:ilvl="0">
      <w:lvlJc w:val="left"/>
      <w:lvlText w:val="•"/>
      <w:numFmt w:val="bullet"/>
      <w:start w:val="1"/>
    </w:lvl>
  </w:abstractNum>
  <w:abstractNum w:abstractNumId="236">
    <w:nsid w:val="330B1333"/>
    <w:multiLevelType w:val="hybridMultilevel"/>
    <w:lvl w:ilvl="0">
      <w:lvlJc w:val="left"/>
      <w:lvlText w:val="(%1)"/>
      <w:numFmt w:val="lowerRoman"/>
      <w:start w:val="1"/>
    </w:lvl>
  </w:abstractNum>
  <w:abstractNum w:abstractNumId="237">
    <w:nsid w:val="2EF32EA6"/>
    <w:multiLevelType w:val="hybridMultilevel"/>
    <w:lvl w:ilvl="0">
      <w:lvlJc w:val="left"/>
      <w:lvlText w:val="(%1)"/>
      <w:numFmt w:val="lowerRoman"/>
      <w:start w:val="2"/>
    </w:lvl>
  </w:abstractNum>
  <w:abstractNum w:abstractNumId="238">
    <w:nsid w:val="32766A55"/>
    <w:multiLevelType w:val="hybridMultilevel"/>
    <w:lvl w:ilvl="0">
      <w:lvlJc w:val="left"/>
      <w:lvlText w:val="(%1)"/>
      <w:numFmt w:val="lowerLetter"/>
      <w:start w:val="2"/>
    </w:lvl>
  </w:abstractNum>
  <w:abstractNum w:abstractNumId="239">
    <w:nsid w:val="22D71957"/>
    <w:multiLevelType w:val="hybridMultilevel"/>
    <w:lvl w:ilvl="0">
      <w:lvlJc w:val="left"/>
      <w:lvlText w:val="7"/>
      <w:numFmt w:val="bullet"/>
      <w:start w:val="1"/>
    </w:lvl>
  </w:abstractNum>
  <w:abstractNum w:abstractNumId="240">
    <w:nsid w:val="4CC1263B"/>
    <w:multiLevelType w:val="hybridMultilevel"/>
    <w:lvl w:ilvl="0">
      <w:lvlJc w:val="left"/>
      <w:lvlText w:val="•"/>
      <w:numFmt w:val="bullet"/>
      <w:start w:val="1"/>
    </w:lvl>
  </w:abstractNum>
  <w:abstractNum w:abstractNumId="241">
    <w:nsid w:val="8BBEB1D"/>
    <w:multiLevelType w:val="hybridMultilevel"/>
    <w:lvl w:ilvl="0">
      <w:lvlJc w:val="left"/>
      <w:lvlText w:val="•"/>
      <w:numFmt w:val="bullet"/>
      <w:start w:val="1"/>
    </w:lvl>
  </w:abstractNum>
  <w:abstractNum w:abstractNumId="242">
    <w:nsid w:val="7365F1EE"/>
    <w:multiLevelType w:val="hybridMultilevel"/>
    <w:lvl w:ilvl="0">
      <w:lvlJc w:val="left"/>
      <w:lvlText w:val="•"/>
      <w:numFmt w:val="bullet"/>
      <w:start w:val="1"/>
    </w:lvl>
  </w:abstractNum>
  <w:abstractNum w:abstractNumId="243">
    <w:nsid w:val="37524CF0"/>
    <w:multiLevelType w:val="hybridMultilevel"/>
    <w:lvl w:ilvl="0">
      <w:lvlJc w:val="left"/>
      <w:lvlText w:val="•"/>
      <w:numFmt w:val="bullet"/>
      <w:start w:val="1"/>
    </w:lvl>
  </w:abstractNum>
  <w:abstractNum w:abstractNumId="244">
    <w:nsid w:val="70CC332F"/>
    <w:multiLevelType w:val="hybridMultilevel"/>
    <w:lvl w:ilvl="0">
      <w:lvlJc w:val="left"/>
      <w:lvlText w:val="•"/>
      <w:numFmt w:val="bullet"/>
      <w:start w:val="1"/>
    </w:lvl>
  </w:abstractNum>
  <w:abstractNum w:abstractNumId="245">
    <w:nsid w:val="5661786E"/>
    <w:multiLevelType w:val="hybridMultilevel"/>
    <w:lvl w:ilvl="0">
      <w:lvlJc w:val="left"/>
      <w:lvlText w:val="•"/>
      <w:numFmt w:val="bullet"/>
      <w:start w:val="1"/>
    </w:lvl>
  </w:abstractNum>
  <w:abstractNum w:abstractNumId="246">
    <w:nsid w:val="3AF6A220"/>
    <w:multiLevelType w:val="hybridMultilevel"/>
    <w:lvl w:ilvl="0">
      <w:lvlJc w:val="left"/>
      <w:lvlText w:val="•"/>
      <w:numFmt w:val="bullet"/>
      <w:start w:val="1"/>
    </w:lvl>
  </w:abstractNum>
  <w:abstractNum w:abstractNumId="247">
    <w:nsid w:val="3C5EA902"/>
    <w:multiLevelType w:val="hybridMultilevel"/>
    <w:lvl w:ilvl="0">
      <w:lvlJc w:val="left"/>
      <w:lvlText w:val="•"/>
      <w:numFmt w:val="bullet"/>
      <w:start w:val="1"/>
    </w:lvl>
  </w:abstractNum>
  <w:abstractNum w:abstractNumId="248">
    <w:nsid w:val="256E6749"/>
    <w:multiLevelType w:val="hybridMultilevel"/>
    <w:lvl w:ilvl="0">
      <w:lvlJc w:val="left"/>
      <w:lvlText w:val="•"/>
      <w:numFmt w:val="bullet"/>
      <w:start w:val="1"/>
    </w:lvl>
  </w:abstractNum>
  <w:abstractNum w:abstractNumId="249">
    <w:nsid w:val="1CB9A581"/>
    <w:multiLevelType w:val="hybridMultilevel"/>
    <w:lvl w:ilvl="0">
      <w:lvlJc w:val="left"/>
      <w:lvlText w:val="•"/>
      <w:numFmt w:val="bullet"/>
      <w:start w:val="1"/>
    </w:lvl>
  </w:abstractNum>
  <w:abstractNum w:abstractNumId="250">
    <w:nsid w:val="1F7F42E2"/>
    <w:multiLevelType w:val="hybridMultilevel"/>
    <w:lvl w:ilvl="0">
      <w:lvlJc w:val="left"/>
      <w:lvlText w:val="•"/>
      <w:numFmt w:val="bullet"/>
      <w:start w:val="1"/>
    </w:lvl>
  </w:abstractNum>
  <w:abstractNum w:abstractNumId="251">
    <w:nsid w:val="49D1FEA0"/>
    <w:multiLevelType w:val="hybridMultilevel"/>
    <w:lvl w:ilvl="0">
      <w:lvlJc w:val="left"/>
      <w:lvlText w:val="•"/>
      <w:numFmt w:val="bullet"/>
      <w:start w:val="1"/>
    </w:lvl>
  </w:abstractNum>
  <w:abstractNum w:abstractNumId="252">
    <w:nsid w:val="268CB37F"/>
    <w:multiLevelType w:val="hybridMultilevel"/>
    <w:lvl w:ilvl="0">
      <w:lvlJc w:val="left"/>
      <w:lvlText w:val="•"/>
      <w:numFmt w:val="bullet"/>
      <w:start w:val="1"/>
    </w:lvl>
  </w:abstractNum>
  <w:abstractNum w:abstractNumId="253">
    <w:nsid w:val="102362F8"/>
    <w:multiLevelType w:val="hybridMultilevel"/>
    <w:lvl w:ilvl="0">
      <w:lvlJc w:val="left"/>
      <w:lvlText w:val="•"/>
      <w:numFmt w:val="bullet"/>
      <w:start w:val="1"/>
    </w:lvl>
  </w:abstractNum>
  <w:abstractNum w:abstractNumId="254">
    <w:nsid w:val="5FEDC0E3"/>
    <w:multiLevelType w:val="hybridMultilevel"/>
    <w:lvl w:ilvl="0">
      <w:lvlJc w:val="left"/>
      <w:lvlText w:val="•"/>
      <w:numFmt w:val="bullet"/>
      <w:start w:val="1"/>
    </w:lvl>
  </w:abstractNum>
  <w:abstractNum w:abstractNumId="255">
    <w:nsid w:val="3D75BC47"/>
    <w:multiLevelType w:val="hybridMultilevel"/>
    <w:lvl w:ilvl="0">
      <w:lvlJc w:val="left"/>
      <w:lvlText w:val="•"/>
      <w:numFmt w:val="bullet"/>
      <w:start w:val="1"/>
    </w:lvl>
  </w:abstractNum>
  <w:abstractNum w:abstractNumId="256">
    <w:nsid w:val="3E30D969"/>
    <w:multiLevelType w:val="hybridMultilevel"/>
    <w:lvl w:ilvl="0">
      <w:lvlJc w:val="left"/>
      <w:lvlText w:val="•"/>
      <w:numFmt w:val="bullet"/>
      <w:start w:val="1"/>
    </w:lvl>
  </w:abstractNum>
  <w:abstractNum w:abstractNumId="257">
    <w:nsid w:val="18A35FE3"/>
    <w:multiLevelType w:val="hybridMultilevel"/>
    <w:lvl w:ilvl="0">
      <w:lvlJc w:val="left"/>
      <w:lvlText w:val="8"/>
      <w:numFmt w:val="bullet"/>
      <w:start w:val="1"/>
    </w:lvl>
  </w:abstractNum>
  <w:abstractNum w:abstractNumId="258">
    <w:nsid w:val="6DEF5211"/>
    <w:multiLevelType w:val="hybridMultilevel"/>
    <w:lvl w:ilvl="0">
      <w:lvlJc w:val="left"/>
      <w:lvlText w:val="•"/>
      <w:numFmt w:val="bullet"/>
      <w:start w:val="1"/>
    </w:lvl>
  </w:abstractNum>
  <w:abstractNum w:abstractNumId="259">
    <w:nsid w:val="1112DBB6"/>
    <w:multiLevelType w:val="hybridMultilevel"/>
    <w:lvl w:ilvl="0">
      <w:lvlJc w:val="left"/>
      <w:lvlText w:val="•"/>
      <w:numFmt w:val="bullet"/>
      <w:start w:val="1"/>
    </w:lvl>
  </w:abstractNum>
  <w:abstractNum w:abstractNumId="260">
    <w:nsid w:val="2586A498"/>
    <w:multiLevelType w:val="hybridMultilevel"/>
    <w:lvl w:ilvl="0">
      <w:lvlJc w:val="left"/>
      <w:lvlText w:val="•"/>
      <w:numFmt w:val="bullet"/>
      <w:start w:val="1"/>
    </w:lvl>
  </w:abstractNum>
  <w:abstractNum w:abstractNumId="261">
    <w:nsid w:val="17A03BB9"/>
    <w:multiLevelType w:val="hybridMultilevel"/>
    <w:lvl w:ilvl="0">
      <w:lvlJc w:val="left"/>
      <w:lvlText w:val="•"/>
      <w:numFmt w:val="bullet"/>
      <w:start w:val="1"/>
    </w:lvl>
  </w:abstractNum>
  <w:abstractNum w:abstractNumId="262">
    <w:nsid w:val="5CA941"/>
    <w:multiLevelType w:val="hybridMultilevel"/>
    <w:lvl w:ilvl="0">
      <w:lvlJc w:val="left"/>
      <w:lvlText w:val="•"/>
      <w:numFmt w:val="bullet"/>
      <w:start w:val="1"/>
    </w:lvl>
  </w:abstractNum>
  <w:abstractNum w:abstractNumId="263">
    <w:nsid w:val="734C7D9F"/>
    <w:multiLevelType w:val="hybridMultilevel"/>
    <w:lvl w:ilvl="0">
      <w:lvlJc w:val="left"/>
      <w:lvlText w:val="•"/>
      <w:numFmt w:val="bullet"/>
      <w:start w:val="1"/>
    </w:lvl>
  </w:abstractNum>
  <w:abstractNum w:abstractNumId="264">
    <w:nsid w:val="24F5D018"/>
    <w:multiLevelType w:val="hybridMultilevel"/>
    <w:lvl w:ilvl="0">
      <w:lvlJc w:val="left"/>
      <w:lvlText w:val="•"/>
      <w:numFmt w:val="bullet"/>
      <w:start w:val="1"/>
    </w:lvl>
  </w:abstractNum>
  <w:abstractNum w:abstractNumId="265">
    <w:nsid w:val="6780C122"/>
    <w:multiLevelType w:val="hybridMultilevel"/>
    <w:lvl w:ilvl="0">
      <w:lvlJc w:val="left"/>
      <w:lvlText w:val="•"/>
      <w:numFmt w:val="bullet"/>
      <w:start w:val="1"/>
    </w:lvl>
  </w:abstractNum>
  <w:abstractNum w:abstractNumId="266">
    <w:nsid w:val="534347A8"/>
    <w:multiLevelType w:val="hybridMultilevel"/>
    <w:lvl w:ilvl="0">
      <w:lvlJc w:val="left"/>
      <w:lvlText w:val="•"/>
      <w:numFmt w:val="bullet"/>
      <w:start w:val="1"/>
    </w:lvl>
  </w:abstractNum>
  <w:abstractNum w:abstractNumId="267">
    <w:nsid w:val="5800E34B"/>
    <w:multiLevelType w:val="hybridMultilevel"/>
    <w:lvl w:ilvl="0">
      <w:lvlJc w:val="left"/>
      <w:lvlText w:val="•"/>
      <w:numFmt w:val="bullet"/>
      <w:start w:val="1"/>
    </w:lvl>
  </w:abstractNum>
  <w:abstractNum w:abstractNumId="268">
    <w:nsid w:val="1673EFC8"/>
    <w:multiLevelType w:val="hybridMultilevel"/>
    <w:lvl w:ilvl="0">
      <w:lvlJc w:val="left"/>
      <w:lvlText w:val="•"/>
      <w:numFmt w:val="bullet"/>
      <w:start w:val="1"/>
    </w:lvl>
  </w:abstractNum>
  <w:abstractNum w:abstractNumId="269">
    <w:nsid w:val="5B9B1FD"/>
    <w:multiLevelType w:val="hybridMultilevel"/>
    <w:lvl w:ilvl="0">
      <w:lvlJc w:val="left"/>
      <w:lvlText w:val="•"/>
      <w:numFmt w:val="bullet"/>
      <w:start w:val="1"/>
    </w:lvl>
  </w:abstractNum>
  <w:abstractNum w:abstractNumId="270">
    <w:nsid w:val="7AD7FCA2"/>
    <w:multiLevelType w:val="hybridMultilevel"/>
    <w:lvl w:ilvl="0">
      <w:lvlJc w:val="left"/>
      <w:lvlText w:val="•"/>
      <w:numFmt w:val="bullet"/>
      <w:start w:val="1"/>
    </w:lvl>
  </w:abstractNum>
  <w:abstractNum w:abstractNumId="271">
    <w:nsid w:val="63351604"/>
    <w:multiLevelType w:val="hybridMultilevel"/>
    <w:lvl w:ilvl="0">
      <w:lvlJc w:val="left"/>
      <w:lvlText w:val="(%1)"/>
      <w:numFmt w:val="decimal"/>
      <w:start w:val="1"/>
    </w:lvl>
  </w:abstractNum>
  <w:abstractNum w:abstractNumId="272">
    <w:nsid w:val="E759D1A"/>
    <w:multiLevelType w:val="hybridMultilevel"/>
    <w:lvl w:ilvl="0">
      <w:lvlJc w:val="left"/>
      <w:lvlText w:val="•"/>
      <w:numFmt w:val="bullet"/>
      <w:start w:val="1"/>
    </w:lvl>
  </w:abstractNum>
  <w:abstractNum w:abstractNumId="273">
    <w:nsid w:val="6E3DEE90"/>
    <w:multiLevelType w:val="hybridMultilevel"/>
    <w:lvl w:ilvl="0">
      <w:lvlJc w:val="left"/>
      <w:lvlText w:val="•"/>
      <w:numFmt w:val="bullet"/>
      <w:start w:val="1"/>
    </w:lvl>
  </w:abstractNum>
  <w:abstractNum w:abstractNumId="274">
    <w:nsid w:val="1A8762F4"/>
    <w:multiLevelType w:val="hybridMultilevel"/>
    <w:lvl w:ilvl="0">
      <w:lvlJc w:val="left"/>
      <w:lvlText w:val="•"/>
      <w:numFmt w:val="bullet"/>
      <w:start w:val="1"/>
    </w:lvl>
  </w:abstractNum>
  <w:abstractNum w:abstractNumId="275">
    <w:nsid w:val="7F41D049"/>
    <w:multiLevelType w:val="hybridMultilevel"/>
    <w:lvl w:ilvl="0">
      <w:lvlJc w:val="left"/>
      <w:lvlText w:val="•"/>
      <w:numFmt w:val="bullet"/>
      <w:start w:val="1"/>
    </w:lvl>
  </w:abstractNum>
  <w:abstractNum w:abstractNumId="276">
    <w:nsid w:val="449F66FE"/>
    <w:multiLevelType w:val="hybridMultilevel"/>
    <w:lvl w:ilvl="0">
      <w:lvlJc w:val="left"/>
      <w:lvlText w:val="•"/>
      <w:numFmt w:val="bullet"/>
      <w:start w:val="1"/>
    </w:lvl>
  </w:abstractNum>
  <w:abstractNum w:abstractNumId="277">
    <w:nsid w:val="557E0515"/>
    <w:multiLevelType w:val="hybridMultilevel"/>
    <w:lvl w:ilvl="0">
      <w:lvlJc w:val="left"/>
      <w:lvlText w:val="•"/>
      <w:numFmt w:val="bullet"/>
      <w:start w:val="1"/>
    </w:lvl>
  </w:abstractNum>
  <w:abstractNum w:abstractNumId="278">
    <w:nsid w:val="3BA0794B"/>
    <w:multiLevelType w:val="hybridMultilevel"/>
    <w:lvl w:ilvl="0">
      <w:lvlJc w:val="left"/>
      <w:lvlText w:val="•"/>
      <w:numFmt w:val="bullet"/>
      <w:start w:val="1"/>
    </w:lvl>
  </w:abstractNum>
  <w:abstractNum w:abstractNumId="279">
    <w:nsid w:val="6A0DCE48"/>
    <w:multiLevelType w:val="hybridMultilevel"/>
    <w:lvl w:ilvl="0">
      <w:lvlJc w:val="left"/>
      <w:lvlText w:val="•"/>
      <w:numFmt w:val="bullet"/>
      <w:start w:val="1"/>
    </w:lvl>
  </w:abstractNum>
  <w:abstractNum w:abstractNumId="280">
    <w:nsid w:val="7237AA96"/>
    <w:multiLevelType w:val="hybridMultilevel"/>
    <w:lvl w:ilvl="0">
      <w:lvlJc w:val="left"/>
      <w:lvlText w:val="•"/>
      <w:numFmt w:val="bullet"/>
      <w:start w:val="1"/>
    </w:lvl>
  </w:abstractNum>
  <w:abstractNum w:abstractNumId="281">
    <w:nsid w:val="5B1FBC2D"/>
    <w:multiLevelType w:val="hybridMultilevel"/>
    <w:lvl w:ilvl="0">
      <w:lvlJc w:val="left"/>
      <w:lvlText w:val="*"/>
      <w:numFmt w:val="bullet"/>
      <w:start w:val="1"/>
    </w:lvl>
  </w:abstractNum>
  <w:abstractNum w:abstractNumId="282">
    <w:nsid w:val="33DFCCE8"/>
    <w:multiLevelType w:val="hybridMultilevel"/>
    <w:lvl w:ilvl="0">
      <w:lvlJc w:val="left"/>
      <w:lvlText w:val="(%1)"/>
      <w:numFmt w:val="decimal"/>
      <w:start w:val="1"/>
    </w:lvl>
  </w:abstractNum>
  <w:abstractNum w:abstractNumId="283">
    <w:nsid w:val="18C45E15"/>
    <w:multiLevelType w:val="hybridMultilevel"/>
    <w:lvl w:ilvl="0">
      <w:lvlJc w:val="left"/>
      <w:lvlText w:val="(%1)"/>
      <w:numFmt w:val="decimal"/>
      <w:start w:val="5"/>
    </w:lvl>
  </w:abstractNum>
  <w:abstractNum w:abstractNumId="284">
    <w:nsid w:val="6B431F25"/>
    <w:multiLevelType w:val="hybridMultilevel"/>
    <w:lvl w:ilvl="0">
      <w:lvlJc w:val="left"/>
      <w:lvlText w:val="•"/>
      <w:numFmt w:val="bullet"/>
      <w:start w:val="1"/>
    </w:lvl>
  </w:abstractNum>
  <w:abstractNum w:abstractNumId="285">
    <w:nsid w:val="13CD8DCB"/>
    <w:multiLevelType w:val="hybridMultilevel"/>
    <w:lvl w:ilvl="0">
      <w:lvlJc w:val="left"/>
      <w:lvlText w:val="•"/>
      <w:numFmt w:val="bullet"/>
      <w:start w:val="1"/>
    </w:lvl>
  </w:abstractNum>
  <w:abstractNum w:abstractNumId="286">
    <w:nsid w:val="563A1A5C"/>
    <w:multiLevelType w:val="hybridMultilevel"/>
    <w:lvl w:ilvl="0">
      <w:lvlJc w:val="left"/>
      <w:lvlText w:val="*"/>
      <w:numFmt w:val="bullet"/>
      <w:start w:val="1"/>
    </w:lvl>
  </w:abstractNum>
  <w:abstractNum w:abstractNumId="287">
    <w:nsid w:val="2973F88F"/>
    <w:multiLevelType w:val="hybridMultilevel"/>
    <w:lvl w:ilvl="0">
      <w:lvlJc w:val="left"/>
      <w:lvlText w:val="(%1)"/>
      <w:numFmt w:val="decimal"/>
      <w:start w:val="1"/>
    </w:lvl>
  </w:abstractNum>
  <w:abstractNum w:abstractNumId="288">
    <w:nsid w:val="2C70EDAE"/>
    <w:multiLevelType w:val="hybridMultilevel"/>
    <w:lvl w:ilvl="0">
      <w:lvlJc w:val="left"/>
      <w:lvlText w:val="(%1)"/>
      <w:numFmt w:val="decimal"/>
      <w:start w:val="8"/>
    </w:lvl>
  </w:abstractNum>
  <w:abstractNum w:abstractNumId="289">
    <w:nsid w:val="44296C6D"/>
    <w:multiLevelType w:val="hybridMultilevel"/>
    <w:lvl w:ilvl="0">
      <w:lvlJc w:val="left"/>
      <w:lvlText w:val="•"/>
      <w:numFmt w:val="bullet"/>
      <w:start w:val="1"/>
    </w:lvl>
  </w:abstractNum>
  <w:abstractNum w:abstractNumId="290">
    <w:nsid w:val="3A86D445"/>
    <w:multiLevelType w:val="hybridMultilevel"/>
    <w:lvl w:ilvl="0">
      <w:lvlJc w:val="left"/>
      <w:lvlText w:val="•"/>
      <w:numFmt w:val="bullet"/>
      <w:start w:val="1"/>
    </w:lvl>
  </w:abstractNum>
  <w:abstractNum w:abstractNumId="291">
    <w:nsid w:val="51F79246"/>
    <w:multiLevelType w:val="hybridMultilevel"/>
    <w:lvl w:ilvl="0">
      <w:lvlJc w:val="left"/>
      <w:lvlText w:val="•"/>
      <w:numFmt w:val="bullet"/>
      <w:start w:val="1"/>
    </w:lvl>
  </w:abstractNum>
  <w:abstractNum w:abstractNumId="292">
    <w:nsid w:val="5BC9A827"/>
    <w:multiLevelType w:val="hybridMultilevel"/>
    <w:lvl w:ilvl="0">
      <w:lvlJc w:val="left"/>
      <w:lvlText w:val="•"/>
      <w:numFmt w:val="bullet"/>
      <w:start w:val="1"/>
    </w:lvl>
  </w:abstractNum>
  <w:abstractNum w:abstractNumId="293">
    <w:nsid w:val="3AE37D86"/>
    <w:multiLevelType w:val="hybridMultilevel"/>
    <w:lvl w:ilvl="0">
      <w:lvlJc w:val="left"/>
      <w:lvlText w:val="(%1)"/>
      <w:numFmt w:val="lowerRoman"/>
      <w:start w:val="1"/>
    </w:lvl>
  </w:abstractNum>
  <w:abstractNum w:abstractNumId="294">
    <w:nsid w:val="45440FE5"/>
    <w:multiLevelType w:val="hybridMultilevel"/>
    <w:lvl w:ilvl="0">
      <w:lvlJc w:val="left"/>
      <w:lvlText w:val="•"/>
      <w:numFmt w:val="bullet"/>
      <w:start w:val="1"/>
    </w:lvl>
  </w:abstractNum>
  <w:abstractNum w:abstractNumId="295">
    <w:nsid w:val="BF783F"/>
    <w:multiLevelType w:val="hybridMultilevel"/>
    <w:lvl w:ilvl="0">
      <w:lvlJc w:val="left"/>
      <w:lvlText w:val="•"/>
      <w:numFmt w:val="bullet"/>
      <w:start w:val="1"/>
    </w:lvl>
  </w:abstractNum>
  <w:abstractNum w:abstractNumId="296">
    <w:nsid w:val="22643EA9"/>
    <w:multiLevelType w:val="hybridMultilevel"/>
    <w:lvl w:ilvl="0">
      <w:lvlJc w:val="left"/>
      <w:lvlText w:val="•"/>
      <w:numFmt w:val="bullet"/>
      <w:start w:val="1"/>
    </w:lvl>
  </w:abstractNum>
  <w:abstractNum w:abstractNumId="297">
    <w:nsid w:val="1887578D"/>
    <w:multiLevelType w:val="hybridMultilevel"/>
    <w:lvl w:ilvl="0">
      <w:lvlJc w:val="left"/>
      <w:lvlText w:val="•"/>
      <w:numFmt w:val="bullet"/>
      <w:start w:val="1"/>
    </w:lvl>
  </w:abstractNum>
  <w:abstractNum w:abstractNumId="298">
    <w:nsid w:val="58C05B8A"/>
    <w:multiLevelType w:val="hybridMultilevel"/>
    <w:lvl w:ilvl="0">
      <w:lvlJc w:val="left"/>
      <w:lvlText w:val="•"/>
      <w:numFmt w:val="bullet"/>
      <w:start w:val="1"/>
    </w:lvl>
  </w:abstractNum>
  <w:abstractNum w:abstractNumId="299">
    <w:nsid w:val="38D82E71"/>
    <w:multiLevelType w:val="hybridMultilevel"/>
    <w:lvl w:ilvl="0">
      <w:lvlJc w:val="left"/>
      <w:lvlText w:val="(%1)"/>
      <w:numFmt w:val="lowerRoman"/>
      <w:start w:val="1"/>
    </w:lvl>
  </w:abstractNum>
  <w:abstractNum w:abstractNumId="300">
    <w:nsid w:val="1E41098A"/>
    <w:multiLevelType w:val="hybridMultilevel"/>
    <w:lvl w:ilvl="0">
      <w:lvlJc w:val="left"/>
      <w:lvlText w:val="(%1)"/>
      <w:numFmt w:val="lowerRoman"/>
      <w:start w:val="2"/>
    </w:lvl>
  </w:abstractNum>
  <w:abstractNum w:abstractNumId="301">
    <w:nsid w:val="5398582C"/>
    <w:multiLevelType w:val="hybridMultilevel"/>
    <w:lvl w:ilvl="0">
      <w:lvlJc w:val="left"/>
      <w:lvlText w:val="(%1)"/>
      <w:numFmt w:val="lowerRoman"/>
      <w:start w:val="1"/>
    </w:lvl>
  </w:abstractNum>
  <w:abstractNum w:abstractNumId="302">
    <w:nsid w:val="1C0D4475"/>
    <w:multiLevelType w:val="hybridMultilevel"/>
    <w:lvl w:ilvl="0">
      <w:lvlJc w:val="left"/>
      <w:lvlText w:val="(%1)"/>
      <w:numFmt w:val="decimal"/>
      <w:start w:val="215"/>
    </w:lvl>
  </w:abstractNum>
  <w:abstractNum w:abstractNumId="303">
    <w:nsid w:val="2CB6A6A4"/>
    <w:multiLevelType w:val="hybridMultilevel"/>
    <w:lvl w:ilvl="0">
      <w:lvlJc w:val="left"/>
      <w:lvlText w:val="(%1)"/>
      <w:numFmt w:val="decimal"/>
      <w:start w:val="1"/>
    </w:lvl>
  </w:abstractNum>
  <w:abstractNum w:abstractNumId="304">
    <w:nsid w:val="41D646BC"/>
    <w:multiLevelType w:val="hybridMultilevel"/>
    <w:lvl w:ilvl="0">
      <w:lvlJc w:val="left"/>
      <w:lvlText w:val="%1."/>
      <w:numFmt w:val="decimal"/>
      <w:start w:val="1"/>
    </w:lvl>
  </w:abstractNum>
  <w:abstractNum w:abstractNumId="305">
    <w:nsid w:val="3694A76A"/>
    <w:multiLevelType w:val="hybridMultilevel"/>
    <w:lvl w:ilvl="0">
      <w:lvlJc w:val="left"/>
      <w:lvlText w:val="•"/>
      <w:numFmt w:val="bullet"/>
      <w:start w:val="1"/>
    </w:lvl>
  </w:abstractNum>
  <w:abstractNum w:abstractNumId="306">
    <w:nsid w:val="2BF876EE"/>
    <w:multiLevelType w:val="hybridMultilevel"/>
    <w:lvl w:ilvl="0">
      <w:lvlJc w:val="left"/>
      <w:lvlText w:val="•"/>
      <w:numFmt w:val="bullet"/>
      <w:start w:val="1"/>
    </w:lvl>
  </w:abstractNum>
  <w:abstractNum w:abstractNumId="307">
    <w:nsid w:val="675ADBA"/>
    <w:multiLevelType w:val="hybridMultilevel"/>
    <w:lvl w:ilvl="0">
      <w:lvlJc w:val="left"/>
      <w:lvlText w:val="•"/>
      <w:numFmt w:val="bullet"/>
      <w:start w:val="1"/>
    </w:lvl>
  </w:abstractNum>
  <w:abstractNum w:abstractNumId="308">
    <w:nsid w:val="C12AC7F"/>
    <w:multiLevelType w:val="hybridMultilevel"/>
    <w:lvl w:ilvl="0">
      <w:lvlJc w:val="left"/>
      <w:lvlText w:val="•"/>
      <w:numFmt w:val="bullet"/>
      <w:start w:val="1"/>
    </w:lvl>
  </w:abstractNum>
  <w:abstractNum w:abstractNumId="309">
    <w:nsid w:val="6798F039"/>
    <w:multiLevelType w:val="hybridMultilevel"/>
    <w:lvl w:ilvl="0">
      <w:lvlJc w:val="left"/>
      <w:lvlText w:val="(%1)"/>
      <w:numFmt w:val="decimal"/>
      <w:start w:val="1"/>
    </w:lvl>
  </w:abstractNum>
  <w:abstractNum w:abstractNumId="310">
    <w:nsid w:val="70837C02"/>
    <w:multiLevelType w:val="hybridMultilevel"/>
    <w:lvl w:ilvl="0">
      <w:lvlJc w:val="left"/>
      <w:lvlText w:val="%1."/>
      <w:numFmt w:val="decimal"/>
      <w:start w:val="3"/>
    </w:lvl>
  </w:abstractNum>
  <w:abstractNum w:abstractNumId="311">
    <w:nsid w:val="7E4A5715"/>
    <w:multiLevelType w:val="hybridMultilevel"/>
    <w:lvl w:ilvl="0">
      <w:lvlJc w:val="left"/>
      <w:lvlText w:val="%1."/>
      <w:numFmt w:val="decimal"/>
      <w:start w:val="5"/>
    </w:lvl>
    <w:lvl w:ilvl="1">
      <w:lvlJc w:val="left"/>
      <w:lvlText w:val="•"/>
      <w:numFmt w:val="bullet"/>
      <w:start w:val="1"/>
    </w:lvl>
  </w:abstractNum>
  <w:abstractNum w:abstractNumId="312">
    <w:nsid w:val="42B8AC67"/>
    <w:multiLevelType w:val="hybridMultilevel"/>
    <w:lvl w:ilvl="0">
      <w:lvlJc w:val="left"/>
      <w:lvlText w:val="•"/>
      <w:numFmt w:val="bullet"/>
      <w:start w:val="1"/>
    </w:lvl>
  </w:abstractNum>
  <w:abstractNum w:abstractNumId="313">
    <w:nsid w:val="246348EA"/>
    <w:multiLevelType w:val="hybridMultilevel"/>
    <w:lvl w:ilvl="0">
      <w:lvlJc w:val="left"/>
      <w:lvlText w:val="•"/>
      <w:numFmt w:val="bullet"/>
      <w:start w:val="1"/>
    </w:lvl>
  </w:abstractNum>
  <w:abstractNum w:abstractNumId="314">
    <w:nsid w:val="170EB52B"/>
    <w:multiLevelType w:val="hybridMultilevel"/>
    <w:lvl w:ilvl="0">
      <w:lvlJc w:val="left"/>
      <w:lvlText w:val="•"/>
      <w:numFmt w:val="bullet"/>
      <w:start w:val="1"/>
    </w:lvl>
  </w:abstractNum>
  <w:abstractNum w:abstractNumId="315">
    <w:nsid w:val="2DFBCB8C"/>
    <w:multiLevelType w:val="hybridMultilevel"/>
    <w:lvl w:ilvl="0">
      <w:lvlJc w:val="left"/>
      <w:lvlText w:val="•"/>
      <w:numFmt w:val="bullet"/>
      <w:start w:val="1"/>
    </w:lvl>
    <w:lvl w:ilvl="1">
      <w:lvlJc w:val="left"/>
      <w:lvlText w:val="•"/>
      <w:numFmt w:val="bullet"/>
      <w:start w:val="1"/>
    </w:lvl>
  </w:abstractNum>
  <w:abstractNum w:abstractNumId="316">
    <w:nsid w:val="3830D6B6"/>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317">
    <w:nsid w:val="6D48CF87"/>
    <w:multiLevelType w:val="hybridMultilevel"/>
    <w:lvl w:ilvl="0">
      <w:lvlJc w:val="left"/>
      <w:lvlText w:val="(%1)"/>
      <w:numFmt w:val="lowerRoman"/>
      <w:start w:val="2"/>
    </w:lvl>
  </w:abstractNum>
  <w:abstractNum w:abstractNumId="318">
    <w:nsid w:val="576FC41B"/>
    <w:multiLevelType w:val="hybridMultilevel"/>
    <w:lvl w:ilvl="0">
      <w:lvlJc w:val="left"/>
      <w:lvlText w:val="%1."/>
      <w:numFmt w:val="decimal"/>
      <w:start w:val="9"/>
    </w:lvl>
  </w:abstractNum>
  <w:abstractNum w:abstractNumId="319">
    <w:nsid w:val="64A1C464"/>
    <w:multiLevelType w:val="hybridMultilevel"/>
    <w:lvl w:ilvl="0">
      <w:lvlJc w:val="left"/>
      <w:lvlText w:val="(%1)"/>
      <w:numFmt w:val="decimal"/>
      <w:start w:val="1"/>
    </w:lvl>
  </w:abstractNum>
  <w:abstractNum w:abstractNumId="320">
    <w:nsid w:val="31723BF5"/>
    <w:multiLevelType w:val="hybridMultilevel"/>
    <w:lvl w:ilvl="0">
      <w:lvlJc w:val="left"/>
      <w:lvlText w:val="•"/>
      <w:numFmt w:val="bullet"/>
      <w:start w:val="1"/>
    </w:lvl>
  </w:abstractNum>
  <w:abstractNum w:abstractNumId="321">
    <w:nsid w:val="11F69861"/>
    <w:multiLevelType w:val="hybridMultilevel"/>
    <w:lvl w:ilvl="0">
      <w:lvlJc w:val="left"/>
      <w:lvlText w:val="(%1)"/>
      <w:numFmt w:val="decimal"/>
      <w:start w:val="1"/>
    </w:lvl>
  </w:abstractNum>
  <w:abstractNum w:abstractNumId="322">
    <w:nsid w:val="369956AB"/>
    <w:multiLevelType w:val="hybridMultilevel"/>
    <w:lvl w:ilvl="0">
      <w:lvlJc w:val="left"/>
      <w:lvlText w:val="%1."/>
      <w:numFmt w:val="decimal"/>
      <w:start w:val="12"/>
    </w:lvl>
  </w:abstractNum>
  <w:abstractNum w:abstractNumId="323">
    <w:nsid w:val="D3BE41C"/>
    <w:multiLevelType w:val="hybridMultilevel"/>
    <w:lvl w:ilvl="0">
      <w:lvlJc w:val="left"/>
      <w:lvlText w:val="%1."/>
      <w:numFmt w:val="decimal"/>
      <w:start w:val="13"/>
    </w:lvl>
  </w:abstractNum>
  <w:abstractNum w:abstractNumId="324">
    <w:nsid w:val="4CDA15E7"/>
    <w:multiLevelType w:val="hybridMultilevel"/>
    <w:lvl w:ilvl="0">
      <w:lvlJc w:val="left"/>
      <w:lvlText w:val="$"/>
      <w:numFmt w:val="bullet"/>
      <w:start w:val="1"/>
    </w:lvl>
  </w:abstractNum>
  <w:abstractNum w:abstractNumId="325">
    <w:nsid w:val="7BDD6690"/>
    <w:multiLevelType w:val="hybridMultilevel"/>
    <w:lvl w:ilvl="0">
      <w:lvlJc w:val="left"/>
      <w:lvlText w:val="%1."/>
      <w:numFmt w:val="decimal"/>
      <w:start w:val="14"/>
    </w:lvl>
  </w:abstractNum>
  <w:abstractNum w:abstractNumId="326">
    <w:nsid w:val="DFB5C5B"/>
    <w:multiLevelType w:val="hybridMultilevel"/>
    <w:lvl w:ilvl="0">
      <w:lvlJc w:val="left"/>
      <w:lvlText w:val="(%1)"/>
      <w:numFmt w:val="decimal"/>
      <w:start w:val="1"/>
    </w:lvl>
  </w:abstractNum>
  <w:abstractNum w:abstractNumId="327">
    <w:nsid w:val="6F3E5490"/>
    <w:multiLevelType w:val="hybridMultilevel"/>
    <w:lvl w:ilvl="0">
      <w:lvlJc w:val="left"/>
      <w:lvlText w:val="(%1)"/>
      <w:numFmt w:val="decimal"/>
      <w:start w:val="2"/>
    </w:lvl>
  </w:abstractNum>
  <w:abstractNum w:abstractNumId="328">
    <w:nsid w:val="1464BE1E"/>
    <w:multiLevelType w:val="hybridMultilevel"/>
    <w:lvl w:ilvl="0">
      <w:lvlJc w:val="left"/>
      <w:lvlText w:val="%1"/>
      <w:numFmt w:val="decimal"/>
      <w:start w:val="1"/>
    </w:lvl>
    <w:lvl w:ilvl="1">
      <w:lvlJc w:val="left"/>
      <w:lvlText w:val="(%2)"/>
      <w:numFmt w:val="decimal"/>
      <w:start w:val="2"/>
    </w:lvl>
  </w:abstractNum>
  <w:abstractNum w:abstractNumId="329">
    <w:nsid w:val="66BBB7E5"/>
    <w:multiLevelType w:val="hybridMultilevel"/>
    <w:lvl w:ilvl="0">
      <w:lvlJc w:val="left"/>
      <w:lvlText w:val="%1."/>
      <w:numFmt w:val="decimal"/>
      <w:start w:val="15"/>
    </w:lvl>
    <w:lvl w:ilvl="1">
      <w:lvlJc w:val="left"/>
      <w:lvlText w:val="%2"/>
      <w:numFmt w:val="decimal"/>
      <w:start w:val="1"/>
    </w:lvl>
  </w:abstractNum>
  <w:abstractNum w:abstractNumId="330">
    <w:nsid w:val="28168302"/>
    <w:multiLevelType w:val="hybridMultilevel"/>
    <w:lvl w:ilvl="0">
      <w:lvlJc w:val="left"/>
      <w:lvlText w:val="(%1)"/>
      <w:numFmt w:val="lowerLetter"/>
      <w:start w:val="1"/>
    </w:lvl>
  </w:abstractNum>
  <w:abstractNum w:abstractNumId="331">
    <w:nsid w:val="32A5C7A8"/>
    <w:multiLevelType w:val="hybridMultilevel"/>
    <w:lvl w:ilvl="0">
      <w:lvlJc w:val="left"/>
      <w:lvlText w:val="(%1)"/>
      <w:numFmt w:val="decimal"/>
      <w:start w:val="1"/>
    </w:lvl>
  </w:abstractNum>
  <w:abstractNum w:abstractNumId="332">
    <w:nsid w:val="3A541011"/>
    <w:multiLevelType w:val="hybridMultilevel"/>
    <w:lvl w:ilvl="0">
      <w:lvlJc w:val="left"/>
      <w:lvlText w:val="%1."/>
      <w:numFmt w:val="decimal"/>
      <w:start w:val="17"/>
    </w:lvl>
  </w:abstractNum>
  <w:abstractNum w:abstractNumId="333">
    <w:nsid w:val="4423C777"/>
    <w:multiLevelType w:val="hybridMultilevel"/>
    <w:lvl w:ilvl="0">
      <w:lvlJc w:val="left"/>
      <w:lvlText w:val="•"/>
      <w:numFmt w:val="bullet"/>
      <w:start w:val="1"/>
    </w:lvl>
  </w:abstractNum>
  <w:abstractNum w:abstractNumId="334">
    <w:nsid w:val="5F5C6E4D"/>
    <w:multiLevelType w:val="hybridMultilevel"/>
    <w:lvl w:ilvl="0">
      <w:lvlJc w:val="left"/>
      <w:lvlText w:val="(%1)"/>
      <w:numFmt w:val="lowerRoman"/>
      <w:start w:val="2"/>
    </w:lvl>
  </w:abstractNum>
  <w:abstractNum w:abstractNumId="335">
    <w:nsid w:val="7C2A56CD"/>
    <w:multiLevelType w:val="hybridMultilevel"/>
    <w:lvl w:ilvl="0">
      <w:lvlJc w:val="left"/>
      <w:lvlText w:val="•"/>
      <w:numFmt w:val="bullet"/>
      <w:start w:val="1"/>
    </w:lvl>
  </w:abstractNum>
  <w:abstractNum w:abstractNumId="336">
    <w:nsid w:val="7AB86EE1"/>
    <w:multiLevelType w:val="hybridMultilevel"/>
    <w:lvl w:ilvl="0">
      <w:lvlJc w:val="left"/>
      <w:lvlText w:val="•"/>
      <w:numFmt w:val="bullet"/>
      <w:start w:val="1"/>
    </w:lvl>
  </w:abstractNum>
  <w:abstractNum w:abstractNumId="337">
    <w:nsid w:val="B54E53B"/>
    <w:multiLevelType w:val="hybridMultilevel"/>
    <w:lvl w:ilvl="0">
      <w:lvlJc w:val="left"/>
      <w:lvlText w:val="•"/>
      <w:numFmt w:val="bullet"/>
      <w:start w:val="1"/>
    </w:lvl>
  </w:abstractNum>
  <w:abstractNum w:abstractNumId="338">
    <w:nsid w:val="2A00487"/>
    <w:multiLevelType w:val="hybridMultilevel"/>
    <w:lvl w:ilvl="0">
      <w:lvlJc w:val="left"/>
      <w:lvlText w:val="•"/>
      <w:numFmt w:val="bullet"/>
      <w:start w:val="1"/>
    </w:lvl>
  </w:abstractNum>
  <w:abstractNum w:abstractNumId="339">
    <w:nsid w:val="6CB1B60"/>
    <w:multiLevelType w:val="hybridMultilevel"/>
    <w:lvl w:ilvl="0">
      <w:lvlJc w:val="left"/>
      <w:lvlText w:val="(%1)"/>
      <w:numFmt w:val="lowerRoman"/>
      <w:start w:val="1"/>
    </w:lvl>
  </w:abstractNum>
  <w:abstractNum w:abstractNumId="340">
    <w:nsid w:val="72EDD574"/>
    <w:multiLevelType w:val="hybridMultilevel"/>
    <w:lvl w:ilvl="0">
      <w:lvlJc w:val="left"/>
      <w:lvlText w:val="•"/>
      <w:numFmt w:val="bullet"/>
      <w:start w:val="1"/>
    </w:lvl>
  </w:abstractNum>
  <w:abstractNum w:abstractNumId="341">
    <w:nsid w:val="7323808A"/>
    <w:multiLevelType w:val="hybridMultilevel"/>
    <w:lvl w:ilvl="0">
      <w:lvlJc w:val="left"/>
      <w:lvlText w:val="•"/>
      <w:numFmt w:val="bullet"/>
      <w:start w:val="1"/>
    </w:lvl>
  </w:abstractNum>
  <w:abstractNum w:abstractNumId="342">
    <w:nsid w:val="5157276"/>
    <w:multiLevelType w:val="hybridMultilevel"/>
    <w:lvl w:ilvl="0">
      <w:lvlJc w:val="left"/>
      <w:lvlText w:val="(%1)"/>
      <w:numFmt w:val="decimal"/>
      <w:start w:val="1"/>
    </w:lvl>
  </w:abstractNum>
  <w:abstractNum w:abstractNumId="343">
    <w:nsid w:val="35A681DB"/>
    <w:multiLevelType w:val="hybridMultilevel"/>
    <w:lvl w:ilvl="0">
      <w:lvlJc w:val="left"/>
      <w:lvlText w:val="(%1)"/>
      <w:numFmt w:val="upperLetter"/>
      <w:start w:val="1"/>
    </w:lvl>
  </w:abstractNum>
  <w:abstractNum w:abstractNumId="344">
    <w:nsid w:val="1786C974"/>
    <w:multiLevelType w:val="hybridMultilevel"/>
    <w:lvl w:ilvl="0">
      <w:lvlJc w:val="left"/>
      <w:lvlText w:val="%1."/>
      <w:numFmt w:val="decimal"/>
      <w:start w:val="1"/>
    </w:lvl>
  </w:abstractNum>
  <w:abstractNum w:abstractNumId="345">
    <w:nsid w:val="1C2427A1"/>
    <w:multiLevelType w:val="hybridMultilevel"/>
    <w:lvl w:ilvl="0">
      <w:lvlJc w:val="left"/>
      <w:lvlText w:val="(%1)"/>
      <w:numFmt w:val="lowerLetter"/>
      <w:start w:val="1"/>
    </w:lvl>
  </w:abstractNum>
  <w:abstractNum w:abstractNumId="346">
    <w:nsid w:val="63A24D68"/>
    <w:multiLevelType w:val="hybridMultilevel"/>
    <w:lvl w:ilvl="0">
      <w:lvlJc w:val="left"/>
      <w:lvlText w:val="%1."/>
      <w:numFmt w:val="decimal"/>
      <w:start w:val="4"/>
    </w:lvl>
  </w:abstractNum>
  <w:abstractNum w:abstractNumId="347">
    <w:nsid w:val="4FB7A02A"/>
    <w:multiLevelType w:val="hybridMultilevel"/>
    <w:lvl w:ilvl="0">
      <w:lvlJc w:val="left"/>
      <w:lvlText w:val="(%1)"/>
      <w:numFmt w:val="lowerRoman"/>
      <w:start w:val="2"/>
    </w:lvl>
  </w:abstractNum>
  <w:abstractNum w:abstractNumId="348">
    <w:nsid w:val="96CF728"/>
    <w:multiLevelType w:val="hybridMultilevel"/>
    <w:lvl w:ilvl="0">
      <w:lvlJc w:val="left"/>
      <w:lvlText w:val="(%1)"/>
      <w:numFmt w:val="lowerRoman"/>
      <w:start w:val="2"/>
    </w:lvl>
  </w:abstractNum>
  <w:abstractNum w:abstractNumId="349">
    <w:nsid w:val="3B121183"/>
    <w:multiLevelType w:val="hybridMultilevel"/>
    <w:lvl w:ilvl="0">
      <w:lvlJc w:val="left"/>
      <w:lvlText w:val="(%1)"/>
      <w:numFmt w:val="lowerLetter"/>
      <w:start w:val="3"/>
    </w:lvl>
  </w:abstractNum>
  <w:abstractNum w:abstractNumId="350">
    <w:nsid w:val="3459648F"/>
    <w:multiLevelType w:val="hybridMultilevel"/>
    <w:lvl w:ilvl="0">
      <w:lvlJc w:val="left"/>
      <w:lvlText w:val="(%1)"/>
      <w:numFmt w:val="lowerLetter"/>
      <w:start w:val="3"/>
    </w:lvl>
  </w:abstractNum>
  <w:abstractNum w:abstractNumId="351">
    <w:nsid w:val="3ADF331D"/>
    <w:multiLevelType w:val="hybridMultilevel"/>
    <w:lvl w:ilvl="0">
      <w:lvlJc w:val="left"/>
      <w:lvlText w:val="(%1)"/>
      <w:numFmt w:val="lowerLetter"/>
      <w:start w:val="7"/>
    </w:lvl>
  </w:abstractNum>
  <w:abstractNum w:abstractNumId="352">
    <w:nsid w:val="4D08A9E4"/>
    <w:multiLevelType w:val="hybridMultilevel"/>
    <w:lvl w:ilvl="0">
      <w:lvlJc w:val="left"/>
      <w:lvlText w:val="(%1)"/>
      <w:numFmt w:val="lowerLetter"/>
      <w:start w:val="3"/>
    </w:lvl>
  </w:abstractNum>
  <w:abstractNum w:abstractNumId="353">
    <w:nsid w:val="6AF2BB3A"/>
    <w:multiLevelType w:val="hybridMultilevel"/>
    <w:lvl w:ilvl="0">
      <w:lvlJc w:val="left"/>
      <w:lvlText w:val="(%1)"/>
      <w:numFmt w:val="lowerRoman"/>
      <w:start w:val="3"/>
    </w:lvl>
  </w:abstractNum>
  <w:abstractNum w:abstractNumId="354">
    <w:nsid w:val="481B1739"/>
    <w:multiLevelType w:val="hybridMultilevel"/>
    <w:lvl w:ilvl="0">
      <w:lvlJc w:val="left"/>
      <w:lvlText w:val="(%1)"/>
      <w:numFmt w:val="lowerRoman"/>
      <w:start w:val="3"/>
    </w:lvl>
  </w:abstractNum>
  <w:abstractNum w:abstractNumId="355">
    <w:nsid w:val="19E2BFCC"/>
    <w:multiLevelType w:val="hybridMultilevel"/>
    <w:lvl w:ilvl="0">
      <w:lvlJc w:val="left"/>
      <w:lvlText w:val="(%1)"/>
      <w:numFmt w:val="lowerLetter"/>
      <w:start w:val="1"/>
    </w:lvl>
  </w:abstractNum>
  <w:abstractNum w:abstractNumId="356">
    <w:nsid w:val="66D021CA"/>
    <w:multiLevelType w:val="hybridMultilevel"/>
    <w:lvl w:ilvl="0">
      <w:lvlJc w:val="left"/>
      <w:lvlText w:val="(%1)"/>
      <w:numFmt w:val="lowerLetter"/>
      <w:start w:val="2"/>
    </w:lvl>
    <w:lvl w:ilvl="1">
      <w:lvlJc w:val="left"/>
      <w:lvlText w:val="(%2)"/>
      <w:numFmt w:val="upperLetter"/>
      <w:start w:val="1"/>
    </w:lvl>
  </w:abstractNum>
  <w:abstractNum w:abstractNumId="357">
    <w:nsid w:val="56167394"/>
    <w:multiLevelType w:val="hybridMultilevel"/>
    <w:lvl w:ilvl="0">
      <w:lvlJc w:val="left"/>
      <w:lvlText w:val="%1"/>
      <w:numFmt w:val="decimal"/>
      <w:start w:val="1"/>
    </w:lvl>
    <w:lvl w:ilvl="1">
      <w:lvlJc w:val="left"/>
      <w:lvlText w:val="(%2)"/>
      <w:numFmt w:val="upperLetter"/>
      <w:start w:val="3"/>
    </w:lvl>
  </w:abstractNum>
  <w:abstractNum w:abstractNumId="358">
    <w:nsid w:val="921145C"/>
    <w:multiLevelType w:val="hybridMultilevel"/>
    <w:lvl w:ilvl="0">
      <w:lvlJc w:val="left"/>
      <w:lvlText w:val="(%1)"/>
      <w:numFmt w:val="decimal"/>
      <w:start w:val="1"/>
    </w:lvl>
    <w:lvl w:ilvl="1">
      <w:lvlJc w:val="left"/>
      <w:lvlText w:val="%2"/>
      <w:numFmt w:val="upperLetter"/>
      <w:start w:val="1"/>
    </w:lvl>
  </w:abstractNum>
  <w:abstractNum w:abstractNumId="359">
    <w:nsid w:val="7B34DFE8"/>
    <w:multiLevelType w:val="hybridMultilevel"/>
    <w:lvl w:ilvl="0">
      <w:lvlJc w:val="left"/>
      <w:lvlText w:val="(%1)"/>
      <w:numFmt w:val="lowerLetter"/>
      <w:start w:val="9"/>
    </w:lvl>
  </w:abstractNum>
  <w:abstractNum w:abstractNumId="360">
    <w:nsid w:val="3CD22B79"/>
    <w:multiLevelType w:val="hybridMultilevel"/>
    <w:lvl w:ilvl="0">
      <w:lvlJc w:val="left"/>
      <w:lvlText w:val="(%1)"/>
      <w:numFmt w:val="lowerLetter"/>
      <w:start w:val="1"/>
    </w:lvl>
  </w:abstractNum>
  <w:abstractNum w:abstractNumId="361">
    <w:nsid w:val="3137975E"/>
    <w:multiLevelType w:val="hybridMultilevel"/>
    <w:lvl w:ilvl="0">
      <w:lvlJc w:val="left"/>
      <w:lvlText w:val="%1"/>
      <w:numFmt w:val="lowerRoman"/>
      <w:start w:val="1"/>
    </w:lvl>
    <w:lvl w:ilvl="1">
      <w:lvlJc w:val="left"/>
      <w:lvlText w:val="(%2)"/>
      <w:numFmt w:val="lowerLetter"/>
      <w:start w:val="1"/>
    </w:lvl>
  </w:abstractNum>
  <w:abstractNum w:abstractNumId="362">
    <w:nsid w:val="2DDAA791"/>
    <w:multiLevelType w:val="hybridMultilevel"/>
    <w:lvl w:ilvl="0">
      <w:lvlJc w:val="left"/>
      <w:lvlText w:val="(%1)"/>
      <w:numFmt w:val="lowerRoman"/>
      <w:start w:val="1"/>
    </w:lvl>
    <w:lvl w:ilvl="1">
      <w:lvlJc w:val="left"/>
      <w:lvlText w:val="%2"/>
      <w:numFmt w:val="lowerLetter"/>
      <w:start w:val="1"/>
    </w:lvl>
  </w:abstractNum>
  <w:abstractNum w:abstractNumId="363">
    <w:nsid w:val="77263B8A"/>
    <w:multiLevelType w:val="hybridMultilevel"/>
    <w:lvl w:ilvl="0">
      <w:lvlJc w:val="left"/>
      <w:lvlText w:val="(%1)"/>
      <w:numFmt w:val="lowerLetter"/>
      <w:start w:val="1"/>
    </w:lvl>
  </w:abstractNum>
  <w:abstractNum w:abstractNumId="364">
    <w:nsid w:val="755B5ED6"/>
    <w:multiLevelType w:val="hybridMultilevel"/>
    <w:lvl w:ilvl="0">
      <w:lvlJc w:val="left"/>
      <w:lvlText w:val="(%1)"/>
      <w:numFmt w:val="lowerLetter"/>
      <w:start w:val="1"/>
    </w:lvl>
  </w:abstractNum>
  <w:abstractNum w:abstractNumId="365">
    <w:nsid w:val="D3715DE"/>
    <w:multiLevelType w:val="hybridMultilevel"/>
    <w:lvl w:ilvl="0">
      <w:lvlJc w:val="left"/>
      <w:lvlText w:val="(%1)"/>
      <w:numFmt w:val="lowerLetter"/>
      <w:start w:val="2"/>
    </w:lvl>
  </w:abstractNum>
  <w:abstractNum w:abstractNumId="366">
    <w:nsid w:val="73509257"/>
    <w:multiLevelType w:val="hybridMultilevel"/>
    <w:lvl w:ilvl="0">
      <w:lvlJc w:val="left"/>
      <w:lvlText w:val="%1"/>
      <w:numFmt w:val="lowerLetter"/>
      <w:start w:val="1"/>
    </w:lvl>
    <w:lvl w:ilvl="1">
      <w:lvlJc w:val="left"/>
      <w:lvlText w:val="(%2)"/>
      <w:numFmt w:val="lowerLetter"/>
      <w:start w:val="1"/>
    </w:lvl>
  </w:abstractNum>
  <w:abstractNum w:abstractNumId="367">
    <w:nsid w:val="7013CDB7"/>
    <w:multiLevelType w:val="hybridMultilevel"/>
    <w:lvl w:ilvl="0">
      <w:lvlJc w:val="left"/>
      <w:lvlText w:val="(%1)"/>
      <w:numFmt w:val="lowerLetter"/>
      <w:start w:val="25"/>
    </w:lvl>
    <w:lvl w:ilvl="1">
      <w:lvlJc w:val="left"/>
      <w:lvlText w:val="%2"/>
      <w:numFmt w:val="lowerLetter"/>
      <w:start w:val="1"/>
    </w:lvl>
  </w:abstractNum>
  <w:abstractNum w:abstractNumId="368">
    <w:nsid w:val="188BFB19"/>
    <w:multiLevelType w:val="hybridMultilevel"/>
    <w:lvl w:ilvl="0">
      <w:lvlJc w:val="left"/>
      <w:lvlText w:val="(%1)"/>
      <w:numFmt w:val="lowerLetter"/>
      <w:start w:val="3"/>
    </w:lvl>
  </w:abstractNum>
  <w:abstractNum w:abstractNumId="369">
    <w:nsid w:val="75F096DF"/>
    <w:multiLevelType w:val="hybridMultilevel"/>
    <w:lvl w:ilvl="0">
      <w:lvlJc w:val="left"/>
      <w:lvlText w:val="(%1)"/>
      <w:numFmt w:val="lowerLetter"/>
      <w:start w:val="1"/>
    </w:lvl>
  </w:abstractNum>
  <w:abstractNum w:abstractNumId="370">
    <w:nsid w:val="76DEE918"/>
    <w:multiLevelType w:val="hybridMultilevel"/>
    <w:lvl w:ilvl="0">
      <w:lvlJc w:val="left"/>
      <w:lvlText w:val="(%1)"/>
      <w:numFmt w:val="lowerLetter"/>
      <w:start w:val="2"/>
    </w:lvl>
    <w:lvl w:ilvl="1">
      <w:lvlJc w:val="left"/>
      <w:lvlText w:val="(%2)"/>
      <w:numFmt w:val="lowerRoman"/>
      <w:start w:val="1"/>
    </w:lvl>
  </w:abstractNum>
  <w:abstractNum w:abstractNumId="371">
    <w:nsid w:val="B79D08D"/>
    <w:multiLevelType w:val="hybridMultilevel"/>
    <w:lvl w:ilvl="0">
      <w:lvlJc w:val="left"/>
      <w:lvlText w:val="%1"/>
      <w:numFmt w:val="lowerLetter"/>
      <w:start w:val="1"/>
    </w:lvl>
    <w:lvl w:ilvl="1">
      <w:lvlJc w:val="left"/>
      <w:lvlText w:val="(%2)"/>
      <w:numFmt w:val="lowerLetter"/>
      <w:start w:val="1"/>
    </w:lvl>
  </w:abstractNum>
  <w:abstractNum w:abstractNumId="372">
    <w:nsid w:val="69141769"/>
    <w:multiLevelType w:val="hybridMultilevel"/>
    <w:lvl w:ilvl="0">
      <w:lvlJc w:val="left"/>
      <w:lvlText w:val="(%1)"/>
      <w:numFmt w:val="lowerLetter"/>
      <w:start w:val="35"/>
    </w:lvl>
    <w:lvl w:ilvl="1">
      <w:lvlJc w:val="left"/>
      <w:lvlText w:val="%2"/>
      <w:numFmt w:val="lowerLetter"/>
      <w:start w:val="1"/>
    </w:lvl>
  </w:abstractNum>
  <w:abstractNum w:abstractNumId="373">
    <w:nsid w:val="7BF45B8E"/>
    <w:multiLevelType w:val="hybridMultilevel"/>
    <w:lvl w:ilvl="0">
      <w:lvlJc w:val="left"/>
      <w:lvlText w:val="%1"/>
      <w:numFmt w:val="lowerLetter"/>
      <w:start w:val="1"/>
    </w:lvl>
    <w:lvl w:ilvl="1">
      <w:lvlJc w:val="left"/>
      <w:lvlText w:val="(%2)"/>
      <w:numFmt w:val="lowerLetter"/>
      <w:start w:val="3"/>
    </w:lvl>
  </w:abstractNum>
  <w:abstractNum w:abstractNumId="374">
    <w:nsid w:val="41205269"/>
    <w:multiLevelType w:val="hybridMultilevel"/>
    <w:lvl w:ilvl="0">
      <w:lvlJc w:val="left"/>
      <w:lvlText w:val="(%1)"/>
      <w:numFmt w:val="lowerLetter"/>
      <w:start w:val="61"/>
    </w:lvl>
    <w:lvl w:ilvl="1">
      <w:lvlJc w:val="left"/>
      <w:lvlText w:val="(%2)"/>
      <w:numFmt w:val="lowerLetter"/>
      <w:start w:val="4"/>
    </w:lvl>
  </w:abstractNum>
  <w:abstractNum w:abstractNumId="375">
    <w:nsid w:val="9AE0DD"/>
    <w:multiLevelType w:val="hybridMultilevel"/>
    <w:lvl w:ilvl="0">
      <w:lvlJc w:val="left"/>
      <w:lvlText w:val="(%1)"/>
      <w:numFmt w:val="lowerLetter"/>
      <w:start w:val="35"/>
    </w:lvl>
    <w:lvl w:ilvl="1">
      <w:lvlJc w:val="left"/>
      <w:lvlText w:val="(%2)"/>
      <w:numFmt w:val="lowerLetter"/>
      <w:start w:val="5"/>
    </w:lvl>
  </w:abstractNum>
  <w:abstractNum w:abstractNumId="376">
    <w:nsid w:val="1818832F"/>
    <w:multiLevelType w:val="hybridMultilevel"/>
    <w:lvl w:ilvl="0">
      <w:lvlJc w:val="left"/>
      <w:lvlText w:val="(%1)"/>
      <w:numFmt w:val="lowerLetter"/>
      <w:start w:val="7"/>
    </w:lvl>
  </w:abstractNum>
  <w:abstractNum w:abstractNumId="377">
    <w:nsid w:val="24C29FD1"/>
    <w:multiLevelType w:val="hybridMultilevel"/>
    <w:lvl w:ilvl="0">
      <w:lvlJc w:val="left"/>
      <w:lvlText w:val="(%1)"/>
      <w:numFmt w:val="lowerLetter"/>
      <w:start w:val="1"/>
    </w:lvl>
  </w:abstractNum>
  <w:abstractNum w:abstractNumId="378">
    <w:nsid w:val="50528108"/>
    <w:multiLevelType w:val="hybridMultilevel"/>
    <w:lvl w:ilvl="0">
      <w:lvlJc w:val="left"/>
      <w:lvlText w:val="(%1)"/>
      <w:numFmt w:val="lowerLetter"/>
      <w:start w:val="1"/>
    </w:lvl>
    <w:lvl w:ilvl="1">
      <w:lvlJc w:val="left"/>
      <w:lvlText w:val="(%2)"/>
      <w:numFmt w:val="lowerRoman"/>
      <w:start w:val="1"/>
    </w:lvl>
  </w:abstractNum>
  <w:abstractNum w:abstractNumId="379">
    <w:nsid w:val="21857A57"/>
    <w:multiLevelType w:val="hybridMultilevel"/>
    <w:lvl w:ilvl="0">
      <w:lvlJc w:val="left"/>
      <w:lvlText w:val="(%1)"/>
      <w:numFmt w:val="upperLetter"/>
      <w:start w:val="2"/>
    </w:lvl>
    <w:lvl w:ilvl="1">
      <w:lvlJc w:val="left"/>
      <w:lvlText w:val="(%2)"/>
      <w:numFmt w:val="lowerRoman"/>
      <w:start w:val="13"/>
    </w:lvl>
  </w:abstractNum>
  <w:abstractNum w:abstractNumId="380">
    <w:nsid w:val="5FD4B154"/>
    <w:multiLevelType w:val="hybridMultilevel"/>
    <w:lvl w:ilvl="0">
      <w:lvlJc w:val="left"/>
      <w:lvlText w:val="(%1)"/>
      <w:numFmt w:val="lowerLetter"/>
      <w:start w:val="2"/>
    </w:lvl>
  </w:abstractNum>
  <w:abstractNum w:abstractNumId="381">
    <w:nsid w:val="4ABE597"/>
    <w:multiLevelType w:val="hybridMultilevel"/>
    <w:lvl w:ilvl="0">
      <w:lvlJc w:val="left"/>
      <w:lvlText w:val="%1"/>
      <w:numFmt w:val="lowerRoman"/>
      <w:start w:val="1"/>
    </w:lvl>
    <w:lvl w:ilvl="1">
      <w:lvlJc w:val="left"/>
      <w:lvlText w:val="(%2)"/>
      <w:numFmt w:val="lowerLetter"/>
      <w:start w:val="1"/>
    </w:lvl>
  </w:abstractNum>
  <w:abstractNum w:abstractNumId="382">
    <w:nsid w:val="5C64AD75"/>
    <w:multiLevelType w:val="hybridMultilevel"/>
    <w:lvl w:ilvl="0">
      <w:lvlJc w:val="left"/>
      <w:lvlText w:val="(%1)"/>
      <w:numFmt w:val="lowerRoman"/>
      <w:start w:val="4"/>
    </w:lvl>
    <w:lvl w:ilvl="1">
      <w:lvlJc w:val="left"/>
      <w:lvlText w:val="(%2)"/>
      <w:numFmt w:val="lowerLetter"/>
      <w:start w:val="4"/>
    </w:lvl>
  </w:abstractNum>
  <w:abstractNum w:abstractNumId="383">
    <w:nsid w:val="2CDD5B39"/>
    <w:multiLevelType w:val="hybridMultilevel"/>
    <w:lvl w:ilvl="0">
      <w:lvlJc w:val="left"/>
      <w:lvlText w:val="(%1)"/>
      <w:numFmt w:val="lowerRoman"/>
      <w:start w:val="3"/>
    </w:lvl>
  </w:abstractNum>
  <w:abstractNum w:abstractNumId="384">
    <w:nsid w:val="6F9EA0D1"/>
    <w:multiLevelType w:val="hybridMultilevel"/>
    <w:lvl w:ilvl="0">
      <w:lvlJc w:val="left"/>
      <w:lvlText w:val="(%1)"/>
      <w:numFmt w:val="lowerLetter"/>
      <w:start w:val="1"/>
    </w:lvl>
  </w:abstractNum>
  <w:abstractNum w:abstractNumId="385">
    <w:nsid w:val="247FC4AE"/>
    <w:multiLevelType w:val="hybridMultilevel"/>
    <w:lvl w:ilvl="0">
      <w:lvlJc w:val="left"/>
      <w:lvlText w:val="(%1)"/>
      <w:numFmt w:val="lowerLetter"/>
      <w:start w:val="1"/>
    </w:lvl>
  </w:abstractNum>
  <w:abstractNum w:abstractNumId="386">
    <w:nsid w:val="46C01B05"/>
    <w:multiLevelType w:val="hybridMultilevel"/>
    <w:lvl w:ilvl="0">
      <w:lvlJc w:val="left"/>
      <w:lvlText w:val="(%1)"/>
      <w:numFmt w:val="lowerLetter"/>
      <w:start w:val="4"/>
    </w:lvl>
  </w:abstractNum>
  <w:abstractNum w:abstractNumId="387">
    <w:nsid w:val="566EC29B"/>
    <w:multiLevelType w:val="hybridMultilevel"/>
    <w:lvl w:ilvl="0">
      <w:lvlJc w:val="left"/>
      <w:lvlText w:val="(%1)"/>
      <w:numFmt w:val="lowerLetter"/>
      <w:start w:val="12"/>
    </w:lvl>
  </w:abstractNum>
  <w:abstractNum w:abstractNumId="388">
    <w:nsid w:val="7A963843"/>
    <w:multiLevelType w:val="hybridMultilevel"/>
    <w:lvl w:ilvl="0">
      <w:lvlJc w:val="left"/>
      <w:lvlText w:val="(%1)"/>
      <w:numFmt w:val="lowerLetter"/>
      <w:start w:val="1"/>
    </w:lvl>
  </w:abstractNum>
  <w:abstractNum w:abstractNumId="389">
    <w:nsid w:val="4FE12F61"/>
    <w:multiLevelType w:val="hybridMultilevel"/>
    <w:lvl w:ilvl="0">
      <w:lvlJc w:val="left"/>
      <w:lvlText w:val="(%1)"/>
      <w:numFmt w:val="lowerLetter"/>
      <w:start w:val="2"/>
    </w:lvl>
  </w:abstractNum>
  <w:abstractNum w:abstractNumId="390">
    <w:nsid w:val="51A3A284"/>
    <w:multiLevelType w:val="hybridMultilevel"/>
    <w:lvl w:ilvl="0">
      <w:lvlJc w:val="left"/>
      <w:lvlText w:val="(%1)"/>
      <w:numFmt w:val="lowerRoman"/>
      <w:start w:val="1"/>
    </w:lvl>
  </w:abstractNum>
  <w:abstractNum w:abstractNumId="391">
    <w:nsid w:val="376863BC"/>
    <w:multiLevelType w:val="hybridMultilevel"/>
    <w:lvl w:ilvl="0">
      <w:lvlJc w:val="left"/>
      <w:lvlText w:val="(%1)"/>
      <w:numFmt w:val="lowerRoman"/>
      <w:start w:val="3"/>
    </w:lvl>
  </w:abstractNum>
  <w:abstractNum w:abstractNumId="392">
    <w:nsid w:val="118C6C0"/>
    <w:multiLevelType w:val="hybridMultilevel"/>
    <w:lvl w:ilvl="0">
      <w:lvlJc w:val="left"/>
      <w:lvlText w:val="(%1)"/>
      <w:numFmt w:val="lowerLetter"/>
      <w:start w:val="1"/>
    </w:lvl>
  </w:abstractNum>
  <w:abstractNum w:abstractNumId="393">
    <w:nsid w:val="7F7E4A15"/>
    <w:multiLevelType w:val="hybridMultilevel"/>
    <w:lvl w:ilvl="0">
      <w:lvlJc w:val="left"/>
      <w:lvlText w:val="(%1)"/>
      <w:numFmt w:val="lowerLetter"/>
      <w:start w:val="8"/>
    </w:lvl>
  </w:abstractNum>
  <w:abstractNum w:abstractNumId="394">
    <w:nsid w:val="2E8E9F47"/>
    <w:multiLevelType w:val="hybridMultilevel"/>
    <w:lvl w:ilvl="0">
      <w:lvlJc w:val="left"/>
      <w:lvlText w:val="(%1)"/>
      <w:numFmt w:val="lowerLetter"/>
      <w:start w:val="1"/>
    </w:lvl>
  </w:abstractNum>
  <w:abstractNum w:abstractNumId="395">
    <w:nsid w:val="76742596"/>
    <w:multiLevelType w:val="hybridMultilevel"/>
    <w:lvl w:ilvl="0">
      <w:lvlJc w:val="left"/>
      <w:lvlText w:val="(%1)"/>
      <w:numFmt w:val="lowerRoman"/>
      <w:start w:val="2"/>
    </w:lvl>
  </w:abstractNum>
  <w:abstractNum w:abstractNumId="396">
    <w:nsid w:val="CB55FF3"/>
    <w:multiLevelType w:val="hybridMultilevel"/>
    <w:lvl w:ilvl="0">
      <w:lvlJc w:val="left"/>
      <w:lvlText w:val="%1"/>
      <w:numFmt w:val="lowerLetter"/>
      <w:start w:val="1"/>
    </w:lvl>
    <w:lvl w:ilvl="1">
      <w:lvlJc w:val="left"/>
      <w:lvlText w:val="(%2)"/>
      <w:numFmt w:val="lowerLetter"/>
      <w:start w:val="1"/>
    </w:lvl>
  </w:abstractNum>
  <w:abstractNum w:abstractNumId="397">
    <w:nsid w:val="21DF319E"/>
    <w:multiLevelType w:val="hybridMultilevel"/>
    <w:lvl w:ilvl="0">
      <w:lvlJc w:val="left"/>
      <w:lvlText w:val="(%1)"/>
      <w:numFmt w:val="lowerLetter"/>
      <w:start w:val="9"/>
    </w:lvl>
    <w:lvl w:ilvl="1">
      <w:lvlJc w:val="left"/>
      <w:lvlText w:val="%2"/>
      <w:numFmt w:val="lowerLetter"/>
      <w:start w:val="1"/>
    </w:lvl>
  </w:abstractNum>
  <w:abstractNum w:abstractNumId="398">
    <w:nsid w:val="6687F34D"/>
    <w:multiLevelType w:val="hybridMultilevel"/>
    <w:lvl w:ilvl="0">
      <w:lvlJc w:val="left"/>
      <w:lvlText w:val="(%1)"/>
      <w:numFmt w:val="lowerLetter"/>
      <w:start w:val="4"/>
    </w:lvl>
  </w:abstractNum>
  <w:abstractNum w:abstractNumId="399">
    <w:nsid w:val="25415B0C"/>
    <w:multiLevelType w:val="hybridMultilevel"/>
    <w:lvl w:ilvl="0">
      <w:lvlJc w:val="left"/>
      <w:lvlText w:val="(%1)"/>
      <w:numFmt w:val="lowerLetter"/>
      <w:start w:val="1"/>
    </w:lvl>
  </w:abstractNum>
  <w:abstractNum w:abstractNumId="400">
    <w:nsid w:val="17CFC87D"/>
    <w:multiLevelType w:val="hybridMultilevel"/>
    <w:lvl w:ilvl="0">
      <w:lvlJc w:val="left"/>
      <w:lvlText w:val="(%1)"/>
      <w:numFmt w:val="lowerLetter"/>
      <w:start w:val="1"/>
    </w:lvl>
    <w:lvl w:ilvl="1">
      <w:lvlJc w:val="left"/>
      <w:lvlText w:val="(%2)"/>
      <w:numFmt w:val="lowerRoman"/>
      <w:start w:val="1"/>
    </w:lvl>
  </w:abstractNum>
  <w:abstractNum w:abstractNumId="401">
    <w:nsid w:val="5D66DC65"/>
    <w:multiLevelType w:val="hybridMultilevel"/>
    <w:lvl w:ilvl="0">
      <w:lvlJc w:val="left"/>
      <w:lvlText w:val="(%1)"/>
      <w:numFmt w:val="lowerRoman"/>
      <w:start w:val="3"/>
    </w:lvl>
  </w:abstractNum>
  <w:abstractNum w:abstractNumId="402">
    <w:nsid w:val="30BB2B99"/>
    <w:multiLevelType w:val="hybridMultilevel"/>
    <w:lvl w:ilvl="0">
      <w:lvlJc w:val="left"/>
      <w:lvlText w:val="(%1)"/>
      <w:numFmt w:val="lowerLetter"/>
      <w:start w:val="2"/>
    </w:lvl>
  </w:abstractNum>
  <w:abstractNum w:abstractNumId="403">
    <w:nsid w:val="E3DFE6"/>
    <w:multiLevelType w:val="hybridMultilevel"/>
    <w:lvl w:ilvl="0">
      <w:lvlJc w:val="left"/>
      <w:lvlText w:val="(%1)"/>
      <w:numFmt w:val="lowerLetter"/>
      <w:start w:val="1"/>
    </w:lvl>
  </w:abstractNum>
  <w:abstractNum w:abstractNumId="404">
    <w:nsid w:val="595B37F3"/>
    <w:multiLevelType w:val="hybridMultilevel"/>
    <w:lvl w:ilvl="0">
      <w:lvlJc w:val="left"/>
      <w:lvlText w:val="(%1)"/>
      <w:numFmt w:val="lowerLetter"/>
      <w:start w:val="1"/>
    </w:lvl>
  </w:abstractNum>
  <w:abstractNum w:abstractNumId="405">
    <w:nsid w:val="71DB7E02"/>
    <w:multiLevelType w:val="hybridMultilevel"/>
    <w:lvl w:ilvl="0">
      <w:lvlJc w:val="left"/>
      <w:lvlText w:val="%1"/>
      <w:numFmt w:val="lowerLetter"/>
      <w:start w:val="1"/>
    </w:lvl>
    <w:lvl w:ilvl="1">
      <w:lvlJc w:val="left"/>
      <w:lvlText w:val="(%2)"/>
      <w:numFmt w:val="lowerLetter"/>
      <w:start w:val="1"/>
    </w:lvl>
  </w:abstractNum>
  <w:abstractNum w:abstractNumId="406">
    <w:nsid w:val="17EC0C4"/>
    <w:multiLevelType w:val="hybridMultilevel"/>
    <w:lvl w:ilvl="0">
      <w:lvlJc w:val="left"/>
      <w:lvlText w:val="(%1)"/>
      <w:numFmt w:val="lowerLetter"/>
      <w:start w:val="35"/>
    </w:lvl>
    <w:lvl w:ilvl="1">
      <w:lvlJc w:val="left"/>
      <w:lvlText w:val="(%2)"/>
      <w:numFmt w:val="lowerLetter"/>
      <w:start w:val="2"/>
    </w:lvl>
  </w:abstractNum>
  <w:abstractNum w:abstractNumId="407">
    <w:nsid w:val="7173BB22"/>
    <w:multiLevelType w:val="hybridMultilevel"/>
    <w:lvl w:ilvl="0">
      <w:lvlJc w:val="left"/>
      <w:lvlText w:val="(%1)"/>
      <w:numFmt w:val="lowerLetter"/>
      <w:start w:val="1"/>
    </w:lvl>
  </w:abstractNum>
  <w:abstractNum w:abstractNumId="408">
    <w:nsid w:val="169E1DD3"/>
    <w:multiLevelType w:val="hybridMultilevel"/>
    <w:lvl w:ilvl="0">
      <w:lvlJc w:val="left"/>
      <w:lvlText w:val="(%1)"/>
      <w:numFmt w:val="upperLetter"/>
      <w:start w:val="1"/>
    </w:lvl>
  </w:abstractNum>
  <w:abstractNum w:abstractNumId="409">
    <w:nsid w:val="51D141CC"/>
    <w:multiLevelType w:val="hybridMultilevel"/>
    <w:lvl w:ilvl="0">
      <w:lvlJc w:val="left"/>
      <w:lvlText w:val="(%1)"/>
      <w:numFmt w:val="lowerLetter"/>
      <w:start w:val="1"/>
    </w:lvl>
  </w:abstractNum>
  <w:abstractNum w:abstractNumId="410">
    <w:nsid w:val="12F9357A"/>
    <w:multiLevelType w:val="hybridMultilevel"/>
    <w:lvl w:ilvl="0">
      <w:lvlJc w:val="left"/>
      <w:lvlText w:val="(%1)"/>
      <w:numFmt w:val="lowerLetter"/>
      <w:start w:val="1"/>
    </w:lvl>
  </w:abstractNum>
  <w:abstractNum w:abstractNumId="411">
    <w:nsid w:val="7672CF28"/>
    <w:multiLevelType w:val="hybridMultilevel"/>
    <w:lvl w:ilvl="0">
      <w:lvlJc w:val="left"/>
      <w:lvlText w:val="(%1)"/>
      <w:numFmt w:val="lowerLetter"/>
      <w:start w:val="1"/>
    </w:lvl>
  </w:abstractNum>
  <w:abstractNum w:abstractNumId="412">
    <w:nsid w:val="567D2763"/>
    <w:multiLevelType w:val="hybridMultilevel"/>
    <w:lvl w:ilvl="0">
      <w:lvlJc w:val="left"/>
      <w:lvlText w:val="(%1)"/>
      <w:numFmt w:val="lowerLetter"/>
      <w:start w:val="2"/>
    </w:lvl>
  </w:abstractNum>
  <w:abstractNum w:abstractNumId="413">
    <w:nsid w:val="6F5DE2EF"/>
    <w:multiLevelType w:val="hybridMultilevel"/>
    <w:lvl w:ilvl="0">
      <w:lvlJc w:val="left"/>
      <w:lvlText w:val="(%1)"/>
      <w:numFmt w:val="lowerLetter"/>
      <w:start w:val="1"/>
    </w:lvl>
  </w:abstractNum>
  <w:abstractNum w:abstractNumId="414">
    <w:nsid w:val="23502A61"/>
    <w:multiLevelType w:val="hybridMultilevel"/>
    <w:lvl w:ilvl="0">
      <w:lvlJc w:val="left"/>
      <w:lvlText w:val="(%1)"/>
      <w:numFmt w:val="lowerLetter"/>
      <w:start w:val="1"/>
    </w:lvl>
  </w:abstractNum>
  <w:abstractNum w:abstractNumId="415">
    <w:nsid w:val="461BC834"/>
    <w:multiLevelType w:val="hybridMultilevel"/>
    <w:lvl w:ilvl="0">
      <w:lvlJc w:val="left"/>
      <w:lvlText w:val="(%1)"/>
      <w:numFmt w:val="lowerLetter"/>
      <w:start w:val="2"/>
    </w:lvl>
    <w:lvl w:ilvl="1">
      <w:lvlJc w:val="left"/>
      <w:lvlText w:val="(%2)"/>
      <w:numFmt w:val="lowerRoman"/>
      <w:start w:val="1"/>
    </w:lvl>
  </w:abstractNum>
  <w:abstractNum w:abstractNumId="416">
    <w:nsid w:val="13DDA79D"/>
    <w:multiLevelType w:val="hybridMultilevel"/>
    <w:lvl w:ilvl="0">
      <w:lvlJc w:val="left"/>
      <w:lvlText w:val="%1"/>
      <w:numFmt w:val="upperLetter"/>
      <w:start w:val="1"/>
    </w:lvl>
    <w:lvl w:ilvl="1">
      <w:lvlJc w:val="left"/>
      <w:lvlText w:val="(%2)"/>
      <w:numFmt w:val="lowerRoman"/>
      <w:start w:val="12"/>
    </w:lvl>
  </w:abstractNum>
  <w:abstractNum w:abstractNumId="417">
    <w:nsid w:val="6A104566"/>
    <w:multiLevelType w:val="hybridMultilevel"/>
    <w:lvl w:ilvl="0">
      <w:lvlJc w:val="left"/>
      <w:lvlText w:val="(%1)"/>
      <w:numFmt w:val="upperLetter"/>
      <w:start w:val="3"/>
    </w:lvl>
    <w:lvl w:ilvl="1">
      <w:lvlJc w:val="left"/>
      <w:lvlText w:val="(%2)"/>
      <w:numFmt w:val="lowerRoman"/>
      <w:start w:val="13"/>
    </w:lvl>
  </w:abstractNum>
  <w:abstractNum w:abstractNumId="418">
    <w:nsid w:val="1C8A8ACF"/>
    <w:multiLevelType w:val="hybridMultilevel"/>
    <w:lvl w:ilvl="0">
      <w:lvlJc w:val="left"/>
      <w:lvlText w:val="(%1)"/>
      <w:numFmt w:val="lowerRoman"/>
      <w:start w:val="24"/>
    </w:lvl>
  </w:abstractNum>
  <w:abstractNum w:abstractNumId="419">
    <w:nsid w:val="E73DFE0"/>
    <w:multiLevelType w:val="hybridMultilevel"/>
    <w:lvl w:ilvl="0">
      <w:lvlJc w:val="left"/>
      <w:lvlText w:val="(%1)"/>
      <w:numFmt w:val="lowerLetter"/>
      <w:start w:val="1"/>
    </w:lvl>
  </w:abstractNum>
  <w:abstractNum w:abstractNumId="420">
    <w:nsid w:val="39F174C7"/>
    <w:multiLevelType w:val="hybridMultilevel"/>
    <w:lvl w:ilvl="0">
      <w:lvlJc w:val="left"/>
      <w:lvlText w:val="%1"/>
      <w:numFmt w:val="upperLetter"/>
      <w:start w:val="1"/>
    </w:lvl>
    <w:lvl w:ilvl="1">
      <w:lvlJc w:val="left"/>
      <w:lvlText w:val="(%2)"/>
      <w:numFmt w:val="lowerLetter"/>
      <w:start w:val="1"/>
    </w:lvl>
  </w:abstractNum>
  <w:abstractNum w:abstractNumId="421">
    <w:nsid w:val="6E2E2D53"/>
    <w:multiLevelType w:val="hybridMultilevel"/>
    <w:lvl w:ilvl="0">
      <w:lvlJc w:val="left"/>
      <w:lvlText w:val="(%1)"/>
      <w:numFmt w:val="upperLetter"/>
      <w:start w:val="1"/>
    </w:lvl>
    <w:lvl w:ilvl="1">
      <w:lvlJc w:val="left"/>
      <w:lvlText w:val="(%2)"/>
      <w:numFmt w:val="lowerLetter"/>
      <w:start w:val="3"/>
    </w:lvl>
  </w:abstractNum>
  <w:abstractNum w:abstractNumId="422">
    <w:nsid w:val="45DC439D"/>
    <w:multiLevelType w:val="hybridMultilevel"/>
    <w:lvl w:ilvl="0">
      <w:lvlJc w:val="left"/>
      <w:lvlText w:val="(%1)"/>
      <w:numFmt w:val="lowerLetter"/>
      <w:start w:val="1"/>
    </w:lvl>
  </w:abstractNum>
  <w:abstractNum w:abstractNumId="423">
    <w:nsid w:val="3B0A3B87"/>
    <w:multiLevelType w:val="hybridMultilevel"/>
    <w:lvl w:ilvl="0">
      <w:lvlJc w:val="left"/>
      <w:lvlText w:val="%1"/>
      <w:numFmt w:val="decimal"/>
      <w:start w:val="1"/>
    </w:lvl>
    <w:lvl w:ilvl="1">
      <w:lvlJc w:val="left"/>
      <w:lvlText w:val="(%2)"/>
      <w:numFmt w:val="lowerLetter"/>
      <w:start w:val="2"/>
    </w:lvl>
  </w:abstractNum>
  <w:abstractNum w:abstractNumId="424">
    <w:nsid w:val="6DAC7768"/>
    <w:multiLevelType w:val="hybridMultilevel"/>
    <w:lvl w:ilvl="0">
      <w:lvlJc w:val="left"/>
      <w:lvlText w:val="(%1)"/>
      <w:numFmt w:val="decimal"/>
      <w:start w:val="4"/>
    </w:lvl>
    <w:lvl w:ilvl="1">
      <w:lvlJc w:val="left"/>
      <w:lvlText w:val="%2"/>
      <w:numFmt w:val="lowerLetter"/>
      <w:start w:val="1"/>
    </w:lvl>
  </w:abstractNum>
  <w:abstractNum w:abstractNumId="425">
    <w:nsid w:val="746AE2E4"/>
    <w:multiLevelType w:val="hybridMultilevel"/>
    <w:lvl w:ilvl="0">
      <w:lvlJc w:val="left"/>
      <w:lvlText w:val="(%1)"/>
      <w:numFmt w:val="lowerLetter"/>
      <w:start w:val="1"/>
    </w:lvl>
  </w:abstractNum>
  <w:abstractNum w:abstractNumId="426">
    <w:nsid w:val="317E611D"/>
    <w:multiLevelType w:val="hybridMultilevel"/>
    <w:lvl w:ilvl="0">
      <w:lvlJc w:val="left"/>
      <w:lvlText w:val="(%1)"/>
      <w:numFmt w:val="lowerRoman"/>
      <w:start w:val="1"/>
    </w:lvl>
  </w:abstractNum>
  <w:abstractNum w:abstractNumId="427">
    <w:nsid w:val="7A61D75B"/>
    <w:multiLevelType w:val="hybridMultilevel"/>
    <w:lvl w:ilvl="0">
      <w:lvlJc w:val="left"/>
      <w:lvlText w:val="(%1)"/>
      <w:numFmt w:val="lowerRoman"/>
      <w:start w:val="3"/>
    </w:lvl>
  </w:abstractNum>
  <w:abstractNum w:abstractNumId="428">
    <w:nsid w:val="164A1482"/>
    <w:multiLevelType w:val="hybridMultilevel"/>
    <w:lvl w:ilvl="0">
      <w:lvlJc w:val="left"/>
      <w:lvlText w:val="(%1)"/>
      <w:numFmt w:val="upperLetter"/>
      <w:start w:val="1"/>
    </w:lvl>
  </w:abstractNum>
  <w:abstractNum w:abstractNumId="429">
    <w:nsid w:val="1806546B"/>
    <w:multiLevelType w:val="hybridMultilevel"/>
    <w:lvl w:ilvl="0">
      <w:lvlJc w:val="left"/>
      <w:lvlText w:val="(%1)"/>
      <w:numFmt w:val="lowerLetter"/>
      <w:start w:val="1"/>
    </w:lvl>
  </w:abstractNum>
  <w:abstractNum w:abstractNumId="430">
    <w:nsid w:val="1FA33267"/>
    <w:multiLevelType w:val="hybridMultilevel"/>
    <w:lvl w:ilvl="0">
      <w:lvlJc w:val="left"/>
      <w:lvlText w:val="(%1)"/>
      <w:numFmt w:val="lowerLetter"/>
      <w:start w:val="1"/>
    </w:lvl>
  </w:abstractNum>
  <w:abstractNum w:abstractNumId="431">
    <w:nsid w:val="2E19DD00"/>
    <w:multiLevelType w:val="hybridMultilevel"/>
    <w:lvl w:ilvl="0">
      <w:lvlJc w:val="left"/>
      <w:lvlText w:val="(%1)"/>
      <w:numFmt w:val="upperLetter"/>
      <w:start w:val="3"/>
    </w:lvl>
  </w:abstractNum>
  <w:abstractNum w:abstractNumId="432">
    <w:nsid w:val="756D30D0"/>
    <w:multiLevelType w:val="hybridMultilevel"/>
    <w:lvl w:ilvl="0">
      <w:lvlJc w:val="left"/>
      <w:lvlText w:val="(%1)"/>
      <w:numFmt w:val="lowerLetter"/>
      <w:start w:val="1"/>
    </w:lvl>
  </w:abstractNum>
  <w:abstractNum w:abstractNumId="433">
    <w:nsid w:val="505E5E01"/>
    <w:multiLevelType w:val="hybridMultilevel"/>
    <w:lvl w:ilvl="0">
      <w:lvlJc w:val="left"/>
      <w:lvlText w:val="(%1)"/>
      <w:numFmt w:val="lowerLetter"/>
      <w:start w:val="2"/>
    </w:lvl>
  </w:abstractNum>
  <w:abstractNum w:abstractNumId="434">
    <w:nsid w:val="2EFDBCE6"/>
    <w:multiLevelType w:val="hybridMultilevel"/>
    <w:lvl w:ilvl="0">
      <w:lvlJc w:val="left"/>
      <w:lvlText w:val="(%1)"/>
      <w:numFmt w:val="lowerLetter"/>
      <w:start w:val="1"/>
    </w:lvl>
  </w:abstractNum>
  <w:abstractNum w:abstractNumId="435">
    <w:nsid w:val="4EC868C4"/>
    <w:multiLevelType w:val="hybridMultilevel"/>
    <w:lvl w:ilvl="0">
      <w:lvlJc w:val="left"/>
      <w:lvlText w:val="(%1)"/>
      <w:numFmt w:val="lowerLetter"/>
      <w:start w:val="2"/>
    </w:lvl>
  </w:abstractNum>
  <w:abstractNum w:abstractNumId="436">
    <w:nsid w:val="4239DC03"/>
    <w:multiLevelType w:val="hybridMultilevel"/>
    <w:lvl w:ilvl="0">
      <w:lvlJc w:val="left"/>
      <w:lvlText w:val="(%1)"/>
      <w:numFmt w:val="decimal"/>
      <w:start w:val="10"/>
    </w:lvl>
  </w:abstractNum>
  <w:abstractNum w:abstractNumId="437">
    <w:nsid w:val="307C7DAA"/>
    <w:multiLevelType w:val="hybridMultilevel"/>
    <w:lvl w:ilvl="0">
      <w:lvlJc w:val="left"/>
      <w:lvlText w:val="(%1)"/>
      <w:numFmt w:val="lowerLetter"/>
      <w:start w:val="1"/>
    </w:lvl>
  </w:abstractNum>
  <w:abstractNum w:abstractNumId="438">
    <w:nsid w:val="403C23E6"/>
    <w:multiLevelType w:val="hybridMultilevel"/>
    <w:lvl w:ilvl="0">
      <w:lvlJc w:val="left"/>
      <w:lvlText w:val="(%1)"/>
      <w:numFmt w:val="lowerLetter"/>
      <w:start w:val="2"/>
    </w:lvl>
  </w:abstractNum>
  <w:abstractNum w:abstractNumId="439">
    <w:nsid w:val="58D7F9D7"/>
    <w:multiLevelType w:val="hybridMultilevel"/>
    <w:lvl w:ilvl="0">
      <w:lvlJc w:val="left"/>
      <w:lvlText w:val="(%1)"/>
      <w:numFmt w:val="lowerLetter"/>
      <w:start w:val="1"/>
    </w:lvl>
  </w:abstractNum>
  <w:abstractNum w:abstractNumId="440">
    <w:nsid w:val="24DBF76"/>
    <w:multiLevelType w:val="hybridMultilevel"/>
    <w:lvl w:ilvl="0">
      <w:lvlJc w:val="left"/>
      <w:lvlText w:val="(%1)"/>
      <w:numFmt w:val="lowerLetter"/>
      <w:start w:val="1"/>
    </w:lvl>
  </w:abstractNum>
  <w:abstractNum w:abstractNumId="441">
    <w:nsid w:val="53355960"/>
    <w:multiLevelType w:val="hybridMultilevel"/>
    <w:lvl w:ilvl="0">
      <w:lvlJc w:val="left"/>
      <w:lvlText w:val="(%1)"/>
      <w:numFmt w:val="lowerLetter"/>
      <w:start w:val="1"/>
    </w:lvl>
  </w:abstractNum>
  <w:abstractNum w:abstractNumId="442">
    <w:nsid w:val="4F4AC8FF"/>
    <w:multiLevelType w:val="hybridMultilevel"/>
    <w:lvl w:ilvl="0">
      <w:lvlJc w:val="left"/>
      <w:lvlText w:val="(%1)"/>
      <w:numFmt w:val="lowerLetter"/>
      <w:start w:val="11"/>
    </w:lvl>
    <w:lvl w:ilvl="1">
      <w:lvlJc w:val="left"/>
      <w:lvlText w:val="(%2)"/>
      <w:numFmt w:val="lowerRoman"/>
      <w:start w:val="1"/>
    </w:lvl>
  </w:abstractNum>
  <w:abstractNum w:abstractNumId="443">
    <w:nsid w:val="58CAE6D9"/>
    <w:multiLevelType w:val="hybridMultilevel"/>
    <w:lvl w:ilvl="0">
      <w:lvlJc w:val="left"/>
      <w:lvlText w:val="(%1)"/>
      <w:numFmt w:val="lowerLetter"/>
      <w:start w:val="1"/>
    </w:lvl>
    <w:lvl w:ilvl="1">
      <w:lvlJc w:val="left"/>
      <w:lvlText w:val="(%2)"/>
      <w:numFmt w:val="lowerRoman"/>
      <w:start w:val="1"/>
    </w:lvl>
  </w:abstractNum>
  <w:abstractNum w:abstractNumId="444">
    <w:nsid w:val="42933C4F"/>
    <w:multiLevelType w:val="hybridMultilevel"/>
    <w:lvl w:ilvl="0">
      <w:lvlJc w:val="left"/>
      <w:lvlText w:val="(%1)"/>
      <w:numFmt w:val="lowerLetter"/>
      <w:start w:val="6"/>
    </w:lvl>
  </w:abstractNum>
  <w:abstractNum w:abstractNumId="445">
    <w:nsid w:val="729AF360"/>
    <w:multiLevelType w:val="hybridMultilevel"/>
    <w:lvl w:ilvl="0">
      <w:lvlJc w:val="left"/>
      <w:lvlText w:val="(%1)"/>
      <w:numFmt w:val="lowerLetter"/>
      <w:start w:val="1"/>
    </w:lvl>
  </w:abstractNum>
  <w:abstractNum w:abstractNumId="446">
    <w:nsid w:val="1EE6AF0D"/>
    <w:multiLevelType w:val="hybridMultilevel"/>
    <w:lvl w:ilvl="0">
      <w:lvlJc w:val="left"/>
      <w:lvlText w:val="(%1)"/>
      <w:numFmt w:val="lowerLetter"/>
      <w:start w:val="2"/>
    </w:lvl>
    <w:lvl w:ilvl="1">
      <w:lvlJc w:val="left"/>
      <w:lvlText w:val="(%2)"/>
      <w:numFmt w:val="lowerRoman"/>
      <w:start w:val="1"/>
    </w:lvl>
  </w:abstractNum>
  <w:abstractNum w:abstractNumId="447">
    <w:nsid w:val="5670E3ED"/>
    <w:multiLevelType w:val="hybridMultilevel"/>
    <w:lvl w:ilvl="0">
      <w:lvlJc w:val="left"/>
      <w:lvlText w:val="(%1)"/>
      <w:numFmt w:val="lowerLetter"/>
      <w:start w:val="1"/>
    </w:lvl>
  </w:abstractNum>
  <w:abstractNum w:abstractNumId="448">
    <w:nsid w:val="5CAB38C6"/>
    <w:multiLevelType w:val="hybridMultilevel"/>
    <w:lvl w:ilvl="0">
      <w:lvlJc w:val="left"/>
      <w:lvlText w:val="(%1)"/>
      <w:numFmt w:val="lowerLetter"/>
      <w:start w:val="4"/>
    </w:lvl>
  </w:abstractNum>
  <w:abstractNum w:abstractNumId="449">
    <w:nsid w:val="3B7139DD"/>
    <w:multiLevelType w:val="hybridMultilevel"/>
    <w:lvl w:ilvl="0">
      <w:lvlJc w:val="left"/>
      <w:lvlText w:val="(%1)"/>
      <w:numFmt w:val="lowerLetter"/>
      <w:start w:val="1"/>
    </w:lvl>
  </w:abstractNum>
  <w:abstractNum w:abstractNumId="450">
    <w:nsid w:val="64E4C3CD"/>
    <w:multiLevelType w:val="hybridMultilevel"/>
    <w:lvl w:ilvl="0">
      <w:lvlJc w:val="left"/>
      <w:lvlText w:val="(%1)"/>
      <w:numFmt w:val="lowerLetter"/>
      <w:start w:val="2"/>
    </w:lvl>
  </w:abstractNum>
  <w:abstractNum w:abstractNumId="451">
    <w:nsid w:val="169CAD8D"/>
    <w:multiLevelType w:val="hybridMultilevel"/>
    <w:lvl w:ilvl="0">
      <w:lvlJc w:val="left"/>
      <w:lvlText w:val="(%1)"/>
      <w:numFmt w:val="lowerLetter"/>
      <w:start w:val="3"/>
    </w:lvl>
  </w:abstractNum>
  <w:abstractNum w:abstractNumId="452">
    <w:nsid w:val="299F6730"/>
    <w:multiLevelType w:val="hybridMultilevel"/>
    <w:lvl w:ilvl="0">
      <w:lvlJc w:val="left"/>
      <w:lvlText w:val="(%1)"/>
      <w:numFmt w:val="lowerLetter"/>
      <w:start w:val="2"/>
    </w:lvl>
  </w:abstractNum>
  <w:abstractNum w:abstractNumId="453">
    <w:nsid w:val="2AC1076A"/>
    <w:multiLevelType w:val="hybridMultilevel"/>
    <w:lvl w:ilvl="0">
      <w:lvlJc w:val="left"/>
      <w:lvlText w:val="(%1)"/>
      <w:numFmt w:val="lowerLetter"/>
      <w:start w:val="8"/>
    </w:lvl>
  </w:abstractNum>
  <w:abstractNum w:abstractNumId="454">
    <w:nsid w:val="51A6E915"/>
    <w:multiLevelType w:val="hybridMultilevel"/>
    <w:lvl w:ilvl="0">
      <w:lvlJc w:val="left"/>
      <w:lvlText w:val="(%1)"/>
      <w:numFmt w:val="lowerLetter"/>
      <w:start w:val="2"/>
    </w:lvl>
  </w:abstractNum>
  <w:abstractNum w:abstractNumId="455">
    <w:nsid w:val="174BDE99"/>
    <w:multiLevelType w:val="hybridMultilevel"/>
    <w:lvl w:ilvl="0">
      <w:lvlJc w:val="left"/>
      <w:lvlText w:val="(%1)"/>
      <w:numFmt w:val="lowerLetter"/>
      <w:start w:val="1"/>
    </w:lvl>
  </w:abstractNum>
  <w:abstractNum w:abstractNumId="456">
    <w:nsid w:val="1F2BEA4E"/>
    <w:multiLevelType w:val="hybridMultilevel"/>
    <w:lvl w:ilvl="0">
      <w:lvlJc w:val="left"/>
      <w:lvlText w:val="(%1)"/>
      <w:numFmt w:val="lowerLetter"/>
      <w:start w:val="1"/>
    </w:lvl>
  </w:abstractNum>
  <w:abstractNum w:abstractNumId="457">
    <w:nsid w:val="3254A32"/>
    <w:multiLevelType w:val="hybridMultilevel"/>
    <w:lvl w:ilvl="0">
      <w:lvlJc w:val="left"/>
      <w:lvlText w:val="(%1)"/>
      <w:numFmt w:val="lowerLetter"/>
      <w:start w:val="2"/>
    </w:lvl>
    <w:lvl w:ilvl="1">
      <w:lvlJc w:val="left"/>
      <w:lvlText w:val="*"/>
      <w:numFmt w:val="bullet"/>
      <w:start w:val="1"/>
    </w:lvl>
  </w:abstractNum>
  <w:abstractNum w:abstractNumId="458">
    <w:nsid w:val="11ADB5F4"/>
    <w:multiLevelType w:val="hybridMultilevel"/>
    <w:lvl w:ilvl="0">
      <w:lvlJc w:val="left"/>
      <w:lvlText w:val="%1."/>
      <w:numFmt w:val="decimal"/>
      <w:start w:val="1"/>
    </w:lvl>
    <w:lvl w:ilvl="1">
      <w:lvlJc w:val="left"/>
      <w:lvlText w:val="(%2)"/>
      <w:numFmt w:val="lowerLetter"/>
      <w:start w:val="1"/>
    </w:lvl>
  </w:abstractNum>
  <w:abstractNum w:abstractNumId="459">
    <w:nsid w:val="3575FED1"/>
    <w:multiLevelType w:val="hybridMultilevel"/>
    <w:lvl w:ilvl="0">
      <w:lvlJc w:val="left"/>
      <w:lvlText w:val="(%1)"/>
      <w:numFmt w:val="lowerRoman"/>
      <w:start w:val="1"/>
    </w:lvl>
  </w:abstractNum>
  <w:abstractNum w:abstractNumId="460">
    <w:nsid w:val="1B2B9E9D"/>
    <w:multiLevelType w:val="hybridMultilevel"/>
    <w:lvl w:ilvl="0">
      <w:lvlJc w:val="left"/>
      <w:lvlText w:val="1"/>
      <w:numFmt w:val="bullet"/>
      <w:start w:val="1"/>
    </w:lvl>
  </w:abstractNum>
  <w:abstractNum w:abstractNumId="461">
    <w:nsid w:val="3150E85C"/>
    <w:multiLevelType w:val="hybridMultilevel"/>
    <w:lvl w:ilvl="0">
      <w:lvlJc w:val="left"/>
      <w:lvlText w:val="(%1)"/>
      <w:numFmt w:val="lowerLetter"/>
      <w:start w:val="2"/>
    </w:lvl>
  </w:abstractNum>
  <w:abstractNum w:abstractNumId="462">
    <w:nsid w:val="638FDBD1"/>
    <w:multiLevelType w:val="hybridMultilevel"/>
    <w:lvl w:ilvl="0">
      <w:lvlJc w:val="left"/>
      <w:lvlText w:val="(%1)"/>
      <w:numFmt w:val="lowerRoman"/>
      <w:start w:val="2"/>
    </w:lvl>
  </w:abstractNum>
  <w:abstractNum w:abstractNumId="463">
    <w:nsid w:val="1098CF6E"/>
    <w:multiLevelType w:val="hybridMultilevel"/>
    <w:lvl w:ilvl="0">
      <w:lvlJc w:val="left"/>
      <w:lvlText w:val="2"/>
      <w:numFmt w:val="bullet"/>
      <w:start w:val="1"/>
    </w:lvl>
  </w:abstractNum>
  <w:abstractNum w:abstractNumId="464">
    <w:nsid w:val="1AF465D"/>
    <w:multiLevelType w:val="hybridMultilevel"/>
    <w:lvl w:ilvl="0">
      <w:lvlJc w:val="left"/>
      <w:lvlText w:val="(%1)"/>
      <w:numFmt w:val="lowerRoman"/>
      <w:start w:val="5"/>
    </w:lvl>
    <w:lvl w:ilvl="1">
      <w:lvlJc w:val="left"/>
      <w:lvlText w:val="(%2)"/>
      <w:numFmt w:val="upperLetter"/>
      <w:start w:val="1"/>
    </w:lvl>
  </w:abstractNum>
  <w:abstractNum w:abstractNumId="465">
    <w:nsid w:val="128D98B7"/>
    <w:multiLevelType w:val="hybridMultilevel"/>
    <w:lvl w:ilvl="0">
      <w:lvlJc w:val="left"/>
      <w:lvlText w:val="(%1)"/>
      <w:numFmt w:val="lowerRoman"/>
      <w:start w:val="14"/>
    </w:lvl>
    <w:lvl w:ilvl="1">
      <w:lvlJc w:val="left"/>
      <w:lvlText w:val="(%2)"/>
      <w:numFmt w:val="upperLetter"/>
      <w:start w:val="1"/>
    </w:lvl>
  </w:abstractNum>
  <w:abstractNum w:abstractNumId="466">
    <w:nsid w:val="5F613832"/>
    <w:multiLevelType w:val="hybridMultilevel"/>
    <w:lvl w:ilvl="0">
      <w:lvlJc w:val="left"/>
      <w:lvlText w:val="%1"/>
      <w:numFmt w:val="decimal"/>
      <w:start w:val="1"/>
    </w:lvl>
    <w:lvl w:ilvl="1">
      <w:lvlJc w:val="left"/>
      <w:lvlText w:val="(%2)"/>
      <w:numFmt w:val="lowerLetter"/>
      <w:start w:val="2"/>
    </w:lvl>
  </w:abstractNum>
  <w:abstractNum w:abstractNumId="467">
    <w:nsid w:val="43E92260"/>
    <w:multiLevelType w:val="hybridMultilevel"/>
    <w:lvl w:ilvl="0">
      <w:lvlJc w:val="left"/>
      <w:lvlText w:val="%1."/>
      <w:numFmt w:val="decimal"/>
      <w:start w:val="3"/>
    </w:lvl>
    <w:lvl w:ilvl="1">
      <w:lvlJc w:val="left"/>
      <w:lvlText w:val="%2"/>
      <w:numFmt w:val="lowerLetter"/>
      <w:start w:val="1"/>
    </w:lvl>
  </w:abstractNum>
  <w:abstractNum w:abstractNumId="468">
    <w:nsid w:val="430A1662"/>
    <w:multiLevelType w:val="hybridMultilevel"/>
    <w:lvl w:ilvl="0">
      <w:lvlJc w:val="left"/>
      <w:lvlText w:val="%1."/>
      <w:numFmt w:val="decimal"/>
      <w:start w:val="4"/>
    </w:lvl>
    <w:lvl w:ilvl="1">
      <w:lvlJc w:val="left"/>
      <w:lvlText w:val="(%2)"/>
      <w:numFmt w:val="lowerLetter"/>
      <w:start w:val="1"/>
    </w:lvl>
  </w:abstractNum>
  <w:abstractNum w:abstractNumId="469">
    <w:nsid w:val="1F9D5C1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70">
    <w:nsid w:val="1CC11C3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71">
    <w:nsid w:val="4557D5D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72">
    <w:nsid w:val="72D2B5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73">
    <w:nsid w:val="6C0BE53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4">
    <w:nsid w:val="1E22BCB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5">
    <w:nsid w:val="3565F1C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6">
    <w:nsid w:val="5EA6D89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7">
    <w:nsid w:val="3D096BB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8">
    <w:nsid w:val="BD6D5B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79">
    <w:nsid w:val="3B52115C"/>
    <w:multiLevelType w:val="hybridMultilevel"/>
    <w:lvl w:ilvl="0">
      <w:lvlJc w:val="left"/>
      <w:lvlText w:val="%1."/>
      <w:numFmt w:val="decimal"/>
      <w:start w:val="15"/>
    </w:lvl>
    <w:lvl w:ilvl="1">
      <w:lvlJc w:val="left"/>
      <w:lvlText w:val="(%2)"/>
      <w:numFmt w:val="lowerLetter"/>
      <w:start w:val="1"/>
    </w:lvl>
  </w:abstractNum>
  <w:abstractNum w:abstractNumId="480">
    <w:nsid w:val="787AA59C"/>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81">
    <w:nsid w:val="70BB9983"/>
    <w:multiLevelType w:val="hybridMultilevel"/>
    <w:lvl w:ilvl="0">
      <w:lvlJc w:val="left"/>
      <w:lvlText w:val="%1"/>
      <w:numFmt w:val="lowerLetter"/>
      <w:start w:val="1"/>
    </w:lvl>
    <w:lvl w:ilvl="1">
      <w:lvlJc w:val="left"/>
      <w:lvlText w:val="(%2)"/>
      <w:numFmt w:val="lowerRoman"/>
      <w:start w:val="3"/>
    </w:lvl>
  </w:abstractNum>
  <w:abstractNum w:abstractNumId="482">
    <w:nsid w:val="51EEBEEA"/>
    <w:multiLevelType w:val="hybridMultilevel"/>
    <w:lvl w:ilvl="0">
      <w:lvlJc w:val="left"/>
      <w:lvlText w:val="(%1)"/>
      <w:numFmt w:val="lowerLetter"/>
      <w:start w:val="3"/>
    </w:lvl>
    <w:lvl w:ilvl="1">
      <w:lvlJc w:val="left"/>
      <w:lvlText w:val="%2"/>
      <w:numFmt w:val="lowerRoman"/>
      <w:start w:val="1"/>
    </w:lvl>
  </w:abstractNum>
  <w:abstractNum w:abstractNumId="483">
    <w:nsid w:val="221A0CCD"/>
    <w:multiLevelType w:val="hybridMultilevel"/>
    <w:lvl w:ilvl="0">
      <w:lvlJc w:val="left"/>
      <w:lvlText w:val="(%1)"/>
      <w:numFmt w:val="lowerLetter"/>
      <w:start w:val="4"/>
    </w:lvl>
  </w:abstractNum>
  <w:abstractNum w:abstractNumId="484">
    <w:nsid w:val="1B7CA0ED"/>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485">
    <w:nsid w:val="2395A7FF"/>
    <w:multiLevelType w:val="hybridMultilevel"/>
    <w:lvl w:ilvl="0">
      <w:lvlJc w:val="left"/>
      <w:lvlText w:val="%1."/>
      <w:numFmt w:val="decimal"/>
      <w:start w:val="19"/>
    </w:lvl>
  </w:abstractNum>
  <w:abstractNum w:abstractNumId="486">
    <w:nsid w:val="3965EB66"/>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487">
    <w:nsid w:val="3AA88B3C"/>
    <w:multiLevelType w:val="hybridMultilevel"/>
    <w:lvl w:ilvl="0">
      <w:lvlJc w:val="left"/>
      <w:lvlText w:val="%1"/>
      <w:numFmt w:val="decimal"/>
      <w:start w:val="1"/>
    </w:lvl>
    <w:lvl w:ilvl="1">
      <w:lvlJc w:val="left"/>
      <w:lvlText w:val="(%2)"/>
      <w:numFmt w:val="lowerLetter"/>
      <w:start w:val="4"/>
    </w:lvl>
  </w:abstractNum>
  <w:abstractNum w:abstractNumId="488">
    <w:nsid w:val="26BAF231"/>
    <w:multiLevelType w:val="hybridMultilevel"/>
    <w:lvl w:ilvl="0">
      <w:lvlJc w:val="left"/>
      <w:lvlText w:val="%1."/>
      <w:numFmt w:val="decimal"/>
      <w:start w:val="22"/>
    </w:lvl>
    <w:lvl w:ilvl="1">
      <w:lvlJc w:val="left"/>
      <w:lvlText w:val="(%2)"/>
      <w:numFmt w:val="lowerLetter"/>
      <w:start w:val="1"/>
    </w:lvl>
  </w:abstractNum>
  <w:abstractNum w:abstractNumId="489">
    <w:nsid w:val="4B13A15A"/>
    <w:multiLevelType w:val="hybridMultilevel"/>
    <w:lvl w:ilvl="0">
      <w:lvlJc w:val="left"/>
      <w:lvlText w:val="%1."/>
      <w:numFmt w:val="decimal"/>
      <w:start w:val="24"/>
    </w:lvl>
    <w:lvl w:ilvl="1">
      <w:lvlJc w:val="left"/>
      <w:lvlText w:val="(%2)"/>
      <w:numFmt w:val="lowerLetter"/>
      <w:start w:val="1"/>
    </w:lvl>
  </w:abstractNum>
  <w:abstractNum w:abstractNumId="490">
    <w:nsid w:val="701E8A0D"/>
    <w:multiLevelType w:val="hybridMultilevel"/>
    <w:lvl w:ilvl="0">
      <w:lvlJc w:val="left"/>
      <w:lvlText w:val="%1."/>
      <w:numFmt w:val="decimal"/>
      <w:start w:val="27"/>
    </w:lvl>
    <w:lvl w:ilvl="1">
      <w:lvlJc w:val="left"/>
      <w:lvlText w:val="(%2)"/>
      <w:numFmt w:val="lowerLetter"/>
      <w:start w:val="1"/>
    </w:lvl>
  </w:abstractNum>
  <w:abstractNum w:abstractNumId="491">
    <w:nsid w:val="41E690C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2">
    <w:nsid w:val="7C6489B6"/>
    <w:multiLevelType w:val="hybridMultilevel"/>
    <w:lvl w:ilvl="0">
      <w:lvlJc w:val="left"/>
      <w:lvlText w:val="%1."/>
      <w:numFmt w:val="upperLetter"/>
      <w:start w:val="9"/>
    </w:lvl>
  </w:abstractNum>
  <w:abstractNum w:abstractNumId="493">
    <w:nsid w:val="53AE65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35"/>
    </w:lvl>
  </w:abstractNum>
  <w:abstractNum w:abstractNumId="494">
    <w:nsid w:val="527F603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495">
    <w:nsid w:val="7E13D013"/>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496">
    <w:nsid w:val="663BFE95"/>
    <w:multiLevelType w:val="hybridMultilevel"/>
    <w:lvl w:ilvl="0">
      <w:lvlJc w:val="left"/>
      <w:lvlText w:val="%1"/>
      <w:numFmt w:val="decimal"/>
      <w:start w:val="1"/>
    </w:lvl>
    <w:lvl w:ilvl="1">
      <w:lvlJc w:val="left"/>
      <w:lvlText w:val="(%2)"/>
      <w:numFmt w:val="lowerLetter"/>
      <w:start w:val="2"/>
    </w:lvl>
  </w:abstractNum>
  <w:abstractNum w:abstractNumId="497">
    <w:nsid w:val="31E0986F"/>
    <w:multiLevelType w:val="hybridMultilevel"/>
    <w:lvl w:ilvl="0">
      <w:lvlJc w:val="left"/>
      <w:lvlText w:val="%1."/>
      <w:numFmt w:val="decimal"/>
      <w:start w:val="29"/>
    </w:lvl>
    <w:lvl w:ilvl="1">
      <w:lvlJc w:val="left"/>
      <w:lvlText w:val="(%2)"/>
      <w:numFmt w:val="lowerLetter"/>
      <w:start w:val="1"/>
    </w:lvl>
  </w:abstractNum>
  <w:abstractNum w:abstractNumId="498">
    <w:nsid w:val="41FCF274"/>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499">
    <w:nsid w:val="294614F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500">
    <w:nsid w:val="517DF487"/>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01">
    <w:nsid w:val="5EBE0E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2">
    <w:nsid w:val="6E9DEAD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3">
    <w:nsid w:val="4450AA00"/>
    <w:multiLevelType w:val="hybridMultilevel"/>
    <w:lvl w:ilvl="0">
      <w:lvlJc w:val="left"/>
      <w:lvlText w:val="%1."/>
      <w:numFmt w:val="decimal"/>
      <w:start w:val="35"/>
    </w:lvl>
    <w:lvl w:ilvl="1">
      <w:lvlJc w:val="left"/>
      <w:lvlText w:val="(%2)"/>
      <w:numFmt w:val="lowerLetter"/>
      <w:start w:val="1"/>
    </w:lvl>
    <w:lvl w:ilvl="2">
      <w:lvlJc w:val="left"/>
      <w:lvlText w:val="%3"/>
      <w:numFmt w:val="lowerRoman"/>
      <w:start w:val="1"/>
    </w:lvl>
  </w:abstractNum>
  <w:abstractNum w:abstractNumId="504">
    <w:nsid w:val="4AC9F3E2"/>
    <w:multiLevelType w:val="hybridMultilevel"/>
    <w:lvl w:ilvl="0">
      <w:lvlJc w:val="left"/>
      <w:lvlText w:val="%1."/>
      <w:numFmt w:val="decimal"/>
      <w:start w:val="38"/>
    </w:lvl>
    <w:lvl w:ilvl="1">
      <w:lvlJc w:val="left"/>
      <w:lvlText w:val="(%2)"/>
      <w:numFmt w:val="lowerLetter"/>
      <w:start w:val="1"/>
    </w:lvl>
  </w:abstractNum>
  <w:abstractNum w:abstractNumId="505">
    <w:nsid w:val="CC0A782"/>
    <w:multiLevelType w:val="hybridMultilevel"/>
    <w:lvl w:ilvl="0">
      <w:lvlJc w:val="left"/>
      <w:lvlText w:val="%1"/>
      <w:numFmt w:val="decimal"/>
      <w:start w:val="1"/>
    </w:lvl>
    <w:lvl w:ilvl="1">
      <w:lvlJc w:val="left"/>
      <w:lvlText w:val="(%2)"/>
      <w:numFmt w:val="lowerLetter"/>
      <w:start w:val="3"/>
    </w:lvl>
  </w:abstractNum>
  <w:abstractNum w:abstractNumId="506">
    <w:nsid w:val="79B69BC9"/>
    <w:multiLevelType w:val="hybridMultilevel"/>
    <w:lvl w:ilvl="0">
      <w:lvlJc w:val="left"/>
      <w:lvlText w:val="%1."/>
      <w:numFmt w:val="decimal"/>
      <w:start w:val="39"/>
    </w:lvl>
    <w:lvl w:ilvl="1">
      <w:lvlJc w:val="left"/>
      <w:lvlText w:val="%2"/>
      <w:numFmt w:val="lowerLetter"/>
      <w:start w:val="1"/>
    </w:lvl>
  </w:abstractNum>
  <w:abstractNum w:abstractNumId="507">
    <w:nsid w:val="2970CC78"/>
    <w:multiLevelType w:val="hybridMultilevel"/>
    <w:lvl w:ilvl="0">
      <w:lvlJc w:val="left"/>
      <w:lvlText w:val="%1."/>
      <w:numFmt w:val="decimal"/>
      <w:start w:val="40"/>
    </w:lvl>
  </w:abstractNum>
  <w:abstractNum w:abstractNumId="508">
    <w:nsid w:val="49CA1341"/>
    <w:multiLevelType w:val="hybridMultilevel"/>
    <w:lvl w:ilvl="0">
      <w:lvlJc w:val="left"/>
      <w:lvlText w:val="(%1)"/>
      <w:numFmt w:val="lowerLetter"/>
      <w:start w:val="1"/>
    </w:lvl>
  </w:abstractNum>
  <w:abstractNum w:abstractNumId="509">
    <w:nsid w:val="58D717E"/>
    <w:multiLevelType w:val="hybridMultilevel"/>
    <w:lvl w:ilvl="0">
      <w:lvlJc w:val="left"/>
      <w:lvlText w:val="%1."/>
      <w:numFmt w:val="decimal"/>
      <w:start w:val="41"/>
    </w:lvl>
  </w:abstractNum>
  <w:abstractNum w:abstractNumId="510">
    <w:nsid w:val="64C2DDD5"/>
    <w:multiLevelType w:val="hybridMultilevel"/>
    <w:lvl w:ilvl="0">
      <w:lvlJc w:val="left"/>
      <w:lvlText w:val="(%1)"/>
      <w:numFmt w:val="lowerLetter"/>
      <w:start w:val="1"/>
    </w:lvl>
    <w:lvl w:ilvl="1">
      <w:lvlJc w:val="left"/>
      <w:lvlText w:val="(%2)"/>
      <w:numFmt w:val="lowerRoman"/>
      <w:start w:val="1"/>
    </w:lvl>
  </w:abstractNum>
  <w:abstractNum w:abstractNumId="511">
    <w:nsid w:val="4244B8DE"/>
    <w:multiLevelType w:val="hybridMultilevel"/>
    <w:lvl w:ilvl="0">
      <w:lvlJc w:val="left"/>
      <w:lvlText w:val="%1."/>
      <w:numFmt w:val="decimal"/>
      <w:start w:val="42"/>
    </w:lvl>
  </w:abstractNum>
  <w:abstractNum w:abstractNumId="512">
    <w:nsid w:val="76490B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3">
    <w:nsid w:val="36B19CBF"/>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514">
    <w:nsid w:val="645EC5AB"/>
    <w:multiLevelType w:val="hybridMultilevel"/>
    <w:lvl w:ilvl="0">
      <w:lvlJc w:val="left"/>
      <w:lvlText w:val="(%1)"/>
      <w:numFmt w:val="lowerRoman"/>
      <w:start w:val="2"/>
    </w:lvl>
  </w:abstractNum>
  <w:abstractNum w:abstractNumId="515">
    <w:nsid w:val="11C5ABEF"/>
    <w:multiLevelType w:val="hybridMultilevel"/>
    <w:lvl w:ilvl="0">
      <w:lvlJc w:val="left"/>
      <w:lvlText w:val="%1"/>
      <w:numFmt w:val="decimal"/>
      <w:start w:val="1"/>
    </w:lvl>
    <w:lvl w:ilvl="1">
      <w:lvlJc w:val="left"/>
      <w:lvlText w:val="(%2)"/>
      <w:numFmt w:val="lowerLetter"/>
      <w:start w:val="4"/>
    </w:lvl>
  </w:abstractNum>
  <w:abstractNum w:abstractNumId="516">
    <w:nsid w:val="5A4744BE"/>
    <w:multiLevelType w:val="hybridMultilevel"/>
    <w:lvl w:ilvl="0">
      <w:lvlJc w:val="left"/>
      <w:lvlText w:val="%1."/>
      <w:numFmt w:val="decimal"/>
      <w:start w:val="45"/>
    </w:lvl>
    <w:lvl w:ilvl="1">
      <w:lvlJc w:val="left"/>
      <w:lvlText w:val="(%2)"/>
      <w:numFmt w:val="lowerLetter"/>
      <w:start w:val="1"/>
    </w:lvl>
  </w:abstractNum>
  <w:abstractNum w:abstractNumId="517">
    <w:nsid w:val="1DC4B111"/>
    <w:multiLevelType w:val="hybridMultilevel"/>
    <w:lvl w:ilvl="0">
      <w:lvlJc w:val="left"/>
      <w:lvlText w:val="%1"/>
      <w:numFmt w:val="decimal"/>
      <w:start w:val="1"/>
    </w:lvl>
    <w:lvl w:ilvl="1">
      <w:lvlJc w:val="left"/>
      <w:lvlText w:val="(%2)"/>
      <w:numFmt w:val="lowerLetter"/>
      <w:start w:val="3"/>
    </w:lvl>
  </w:abstractNum>
  <w:abstractNum w:abstractNumId="518">
    <w:nsid w:val="4C6E372B"/>
    <w:multiLevelType w:val="hybridMultilevel"/>
    <w:lvl w:ilvl="0">
      <w:lvlJc w:val="left"/>
      <w:lvlText w:val="%1."/>
      <w:numFmt w:val="decimal"/>
      <w:start w:val="47"/>
    </w:lvl>
    <w:lvl w:ilvl="1">
      <w:lvlJc w:val="left"/>
      <w:lvlText w:val="(%2)"/>
      <w:numFmt w:val="lowerLetter"/>
      <w:start w:val="1"/>
    </w:lvl>
  </w:abstractNum>
  <w:abstractNum w:abstractNumId="519">
    <w:nsid w:val="10236EF"/>
    <w:multiLevelType w:val="hybridMultilevel"/>
    <w:lvl w:ilvl="0">
      <w:lvlJc w:val="left"/>
      <w:lvlText w:val="%1."/>
      <w:numFmt w:val="decimal"/>
      <w:start w:val="4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20">
    <w:nsid w:val="68D852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521">
    <w:nsid w:val="3C8CC1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522">
    <w:nsid w:val="42E8C7B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523">
    <w:nsid w:val="653CDC22"/>
    <w:multiLevelType w:val="hybridMultilevel"/>
    <w:lvl w:ilvl="0">
      <w:lvlJc w:val="left"/>
      <w:lvlText w:val="%1."/>
      <w:numFmt w:val="decimal"/>
      <w:start w:val="50"/>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524">
    <w:nsid w:val="103B2716"/>
    <w:multiLevelType w:val="hybridMultilevel"/>
    <w:lvl w:ilvl="0">
      <w:lvlJc w:val="left"/>
      <w:lvlText w:val="%1."/>
      <w:numFmt w:val="decimal"/>
      <w:start w:val="55"/>
    </w:lvl>
  </w:abstractNum>
  <w:abstractNum w:abstractNumId="525">
    <w:nsid w:val="156827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26">
    <w:nsid w:val="6350AC35"/>
    <w:multiLevelType w:val="hybridMultilevel"/>
    <w:lvl w:ilvl="0">
      <w:lvlJc w:val="left"/>
      <w:lvlText w:val="%1."/>
      <w:numFmt w:val="decimal"/>
      <w:start w:val="5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27">
    <w:nsid w:val="767725AB"/>
    <w:multiLevelType w:val="hybridMultilevel"/>
    <w:lvl w:ilvl="0">
      <w:lvlJc w:val="left"/>
      <w:lvlText w:val="(%1)"/>
      <w:numFmt w:val="upperLetter"/>
      <w:start w:val="2"/>
    </w:lvl>
  </w:abstractNum>
  <w:abstractNum w:abstractNumId="528">
    <w:nsid w:val="4748C06A"/>
    <w:multiLevelType w:val="hybridMultilevel"/>
    <w:lvl w:ilvl="0">
      <w:lvlJc w:val="left"/>
      <w:lvlText w:val="%1"/>
      <w:numFmt w:val="decimal"/>
      <w:start w:val="1"/>
    </w:lvl>
    <w:lvl w:ilvl="1">
      <w:lvlJc w:val="left"/>
      <w:lvlText w:val="(%2)"/>
      <w:numFmt w:val="lowerLetter"/>
      <w:start w:val="2"/>
    </w:lvl>
  </w:abstractNum>
  <w:abstractNum w:abstractNumId="529">
    <w:nsid w:val="254D9EA9"/>
    <w:multiLevelType w:val="hybridMultilevel"/>
    <w:lvl w:ilvl="0">
      <w:lvlJc w:val="left"/>
      <w:lvlText w:val="%1."/>
      <w:numFmt w:val="decimal"/>
      <w:start w:val="58"/>
    </w:lvl>
    <w:lvl w:ilvl="1">
      <w:lvlJc w:val="left"/>
      <w:lvlText w:val="(%2)"/>
      <w:numFmt w:val="lowerLetter"/>
      <w:start w:val="1"/>
    </w:lvl>
  </w:abstractNum>
  <w:abstractNum w:abstractNumId="530">
    <w:nsid w:val="1FBD3AA3"/>
    <w:multiLevelType w:val="hybridMultilevel"/>
    <w:lvl w:ilvl="0">
      <w:lvlJc w:val="left"/>
      <w:lvlText w:val="%1."/>
      <w:numFmt w:val="decimal"/>
      <w:start w:val="59"/>
    </w:lvl>
    <w:lvl w:ilvl="1">
      <w:lvlJc w:val="left"/>
      <w:lvlText w:val="(%2)"/>
      <w:numFmt w:val="lowerLetter"/>
      <w:start w:val="1"/>
    </w:lvl>
  </w:abstractNum>
  <w:abstractNum w:abstractNumId="531">
    <w:nsid w:val="18C6B4F2"/>
    <w:multiLevelType w:val="hybridMultilevel"/>
    <w:lvl w:ilvl="0">
      <w:lvlJc w:val="left"/>
      <w:lvlText w:val="%1"/>
      <w:numFmt w:val="decimal"/>
      <w:start w:val="1"/>
    </w:lvl>
    <w:lvl w:ilvl="1">
      <w:lvlJc w:val="left"/>
      <w:lvlText w:val="(%2)"/>
      <w:numFmt w:val="lowerLetter"/>
      <w:start w:val="3"/>
    </w:lvl>
  </w:abstractNum>
  <w:abstractNum w:abstractNumId="532">
    <w:nsid w:val="40BAD55"/>
    <w:multiLevelType w:val="hybridMultilevel"/>
    <w:lvl w:ilvl="0">
      <w:lvlJc w:val="left"/>
      <w:lvlText w:val="%1."/>
      <w:numFmt w:val="decimal"/>
      <w:start w:val="60"/>
    </w:lvl>
    <w:lvl w:ilvl="1">
      <w:lvlJc w:val="left"/>
      <w:lvlText w:val="%2"/>
      <w:numFmt w:val="lowerLetter"/>
      <w:start w:val="1"/>
    </w:lvl>
  </w:abstractNum>
  <w:abstractNum w:abstractNumId="533">
    <w:nsid w:val="E5B2573"/>
    <w:multiLevelType w:val="hybridMultilevel"/>
    <w:lvl w:ilvl="0">
      <w:lvlJc w:val="left"/>
      <w:lvlText w:val="%1."/>
      <w:numFmt w:val="decimal"/>
      <w:start w:val="61"/>
    </w:lvl>
    <w:lvl w:ilvl="1">
      <w:lvlJc w:val="left"/>
      <w:lvlText w:val="(%2)"/>
      <w:numFmt w:val="lowerLetter"/>
      <w:start w:val="1"/>
    </w:lvl>
    <w:lvl w:ilvl="2">
      <w:lvlJc w:val="left"/>
      <w:lvlText w:val="(%3)"/>
      <w:numFmt w:val="lowerRoman"/>
      <w:start w:val="1"/>
    </w:lvl>
  </w:abstractNum>
  <w:abstractNum w:abstractNumId="534">
    <w:nsid w:val="5D175EF2"/>
    <w:multiLevelType w:val="hybridMultilevel"/>
    <w:lvl w:ilvl="0">
      <w:lvlJc w:val="left"/>
      <w:lvlText w:val="(%1)"/>
      <w:numFmt w:val="lowerRoman"/>
      <w:start w:val="2"/>
    </w:lvl>
  </w:abstractNum>
  <w:abstractNum w:abstractNumId="535">
    <w:nsid w:val="4ED5A13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36">
    <w:nsid w:val="1B1BCCF5"/>
    <w:multiLevelType w:val="hybridMultilevel"/>
    <w:lvl w:ilvl="0">
      <w:lvlJc w:val="left"/>
      <w:lvlText w:val="%1."/>
      <w:numFmt w:val="decimal"/>
      <w:start w:val="65"/>
    </w:lvl>
    <w:lvl w:ilvl="1">
      <w:lvlJc w:val="left"/>
      <w:lvlText w:val="(%2)"/>
      <w:numFmt w:val="lowerLetter"/>
      <w:start w:val="1"/>
    </w:lvl>
    <w:lvl w:ilvl="2">
      <w:lvlJc w:val="left"/>
      <w:lvlText w:val="(%3)"/>
      <w:numFmt w:val="lowerRoman"/>
      <w:start w:val="1"/>
    </w:lvl>
  </w:abstractNum>
  <w:abstractNum w:abstractNumId="537">
    <w:nsid w:val="56CDFABB"/>
    <w:multiLevelType w:val="hybridMultilevel"/>
    <w:lvl w:ilvl="0">
      <w:lvlJc w:val="left"/>
      <w:lvlText w:val="%1."/>
      <w:numFmt w:val="decimal"/>
      <w:start w:val="67"/>
    </w:lvl>
    <w:lvl w:ilvl="1">
      <w:lvlJc w:val="left"/>
      <w:lvlText w:val="(%2)"/>
      <w:numFmt w:val="lowerLetter"/>
      <w:start w:val="1"/>
    </w:lvl>
  </w:abstractNum>
  <w:abstractNum w:abstractNumId="538">
    <w:nsid w:val="78466DAF"/>
    <w:multiLevelType w:val="hybridMultilevel"/>
    <w:lvl w:ilvl="0">
      <w:lvlJc w:val="left"/>
      <w:lvlText w:val="%1."/>
      <w:numFmt w:val="decimal"/>
      <w:start w:val="69"/>
    </w:lvl>
    <w:lvl w:ilvl="1">
      <w:lvlJc w:val="left"/>
      <w:lvlText w:val="(%2)"/>
      <w:numFmt w:val="lowerLetter"/>
      <w:start w:val="1"/>
    </w:lvl>
  </w:abstractNum>
  <w:abstractNum w:abstractNumId="539">
    <w:nsid w:val="64E5E036"/>
    <w:multiLevelType w:val="hybridMultilevel"/>
    <w:lvl w:ilvl="0">
      <w:lvlJc w:val="left"/>
      <w:lvlText w:val="%1."/>
      <w:numFmt w:val="decimal"/>
      <w:start w:val="74"/>
    </w:lvl>
    <w:lvl w:ilvl="1">
      <w:lvlJc w:val="left"/>
      <w:lvlText w:val="(%2)"/>
      <w:numFmt w:val="lowerLetter"/>
      <w:start w:val="1"/>
    </w:lvl>
  </w:abstractNum>
  <w:abstractNum w:abstractNumId="540">
    <w:nsid w:val="5C5B6C3A"/>
    <w:multiLevelType w:val="hybridMultilevel"/>
    <w:lvl w:ilvl="0">
      <w:lvlJc w:val="left"/>
      <w:lvlText w:val="%1."/>
      <w:numFmt w:val="decimal"/>
      <w:start w:val="77"/>
    </w:lvl>
    <w:lvl w:ilvl="1">
      <w:lvlJc w:val="left"/>
      <w:lvlText w:val="(%2)"/>
      <w:numFmt w:val="lowerLetter"/>
      <w:start w:val="1"/>
    </w:lvl>
  </w:abstractNum>
  <w:abstractNum w:abstractNumId="541">
    <w:nsid w:val="5D094B84"/>
    <w:multiLevelType w:val="hybridMultilevel"/>
    <w:lvl w:ilvl="0">
      <w:lvlJc w:val="left"/>
      <w:lvlText w:val="%1"/>
      <w:numFmt w:val="decimal"/>
      <w:start w:val="1"/>
    </w:lvl>
    <w:lvl w:ilvl="1">
      <w:lvlJc w:val="left"/>
      <w:lvlText w:val="(%2)"/>
      <w:numFmt w:val="lowerLetter"/>
      <w:start w:val="2"/>
    </w:lvl>
  </w:abstractNum>
  <w:abstractNum w:abstractNumId="542">
    <w:nsid w:val="272A9914"/>
    <w:multiLevelType w:val="hybridMultilevel"/>
    <w:lvl w:ilvl="0">
      <w:lvlJc w:val="left"/>
      <w:lvlText w:val="%1."/>
      <w:numFmt w:val="decimal"/>
      <w:start w:val="78"/>
    </w:lvl>
    <w:lvl w:ilvl="1">
      <w:lvlJc w:val="left"/>
      <w:lvlText w:val="%2"/>
      <w:numFmt w:val="lowerLetter"/>
      <w:start w:val="1"/>
    </w:lvl>
  </w:abstractNum>
  <w:abstractNum w:abstractNumId="543">
    <w:nsid w:val="52A4773B"/>
    <w:multiLevelType w:val="hybridMultilevel"/>
    <w:lvl w:ilvl="0">
      <w:lvlJc w:val="left"/>
      <w:lvlText w:val="%1."/>
      <w:numFmt w:val="decimal"/>
      <w:start w:val="82"/>
    </w:lvl>
    <w:lvl w:ilvl="1">
      <w:lvlJc w:val="left"/>
      <w:lvlText w:val="(%2)"/>
      <w:numFmt w:val="lowerLetter"/>
      <w:start w:val="1"/>
    </w:lvl>
  </w:abstractNum>
  <w:abstractNum w:abstractNumId="544">
    <w:nsid w:val="13BAE84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5">
    <w:nsid w:val="B895EBF"/>
    <w:multiLevelType w:val="hybridMultilevel"/>
    <w:lvl w:ilvl="0">
      <w:lvlJc w:val="left"/>
      <w:lvlText w:val="%1."/>
      <w:numFmt w:val="decimal"/>
      <w:start w:val="84"/>
    </w:lvl>
    <w:lvl w:ilvl="1">
      <w:lvlJc w:val="left"/>
      <w:lvlText w:val="(%2)"/>
      <w:numFmt w:val="lowerLetter"/>
      <w:start w:val="1"/>
    </w:lvl>
    <w:lvl w:ilvl="2">
      <w:lvlJc w:val="left"/>
      <w:lvlText w:val="(%3)"/>
      <w:numFmt w:val="lowerRoman"/>
      <w:start w:val="1"/>
    </w:lvl>
  </w:abstractNum>
  <w:abstractNum w:abstractNumId="546">
    <w:nsid w:val="646A232A"/>
    <w:multiLevelType w:val="hybridMultilevel"/>
    <w:lvl w:ilvl="0">
      <w:lvlJc w:val="left"/>
      <w:lvlText w:val="%1."/>
      <w:numFmt w:val="decimal"/>
      <w:start w:val="86"/>
    </w:lvl>
    <w:lvl w:ilvl="1">
      <w:lvlJc w:val="left"/>
      <w:lvlText w:val="(%2)"/>
      <w:numFmt w:val="lowerLetter"/>
      <w:start w:val="1"/>
    </w:lvl>
  </w:abstractNum>
  <w:abstractNum w:abstractNumId="547">
    <w:nsid w:val="6E022D0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48">
    <w:nsid w:val="294E0FD0"/>
    <w:multiLevelType w:val="hybridMultilevel"/>
    <w:lvl w:ilvl="0">
      <w:lvlJc w:val="left"/>
      <w:lvlText w:val="%1."/>
      <w:numFmt w:val="decimal"/>
      <w:start w:val="87"/>
    </w:lvl>
    <w:lvl w:ilvl="1">
      <w:lvlJc w:val="left"/>
      <w:lvlText w:val="(%2)"/>
      <w:numFmt w:val="lowerLetter"/>
      <w:start w:val="1"/>
    </w:lvl>
    <w:lvl w:ilvl="2">
      <w:lvlJc w:val="left"/>
      <w:lvlText w:val="(%3)"/>
      <w:numFmt w:val="lowerRoman"/>
      <w:start w:val="1"/>
    </w:lvl>
  </w:abstractNum>
  <w:abstractNum w:abstractNumId="549">
    <w:nsid w:val="30D85A55"/>
    <w:multiLevelType w:val="hybridMultilevel"/>
    <w:lvl w:ilvl="0">
      <w:lvlJc w:val="left"/>
      <w:lvlText w:val="%1."/>
      <w:numFmt w:val="decimal"/>
      <w:start w:val="89"/>
    </w:lvl>
    <w:lvl w:ilvl="1">
      <w:lvlJc w:val="left"/>
      <w:lvlText w:val="(%2)"/>
      <w:numFmt w:val="lowerLetter"/>
      <w:start w:val="1"/>
    </w:lvl>
    <w:lvl w:ilvl="2">
      <w:lvlJc w:val="left"/>
      <w:lvlText w:val="(%3)"/>
      <w:numFmt w:val="lowerRoman"/>
      <w:start w:val="1"/>
    </w:lvl>
  </w:abstractNum>
  <w:abstractNum w:abstractNumId="550">
    <w:nsid w:val="6F0463F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51">
    <w:nsid w:val="1226623C"/>
    <w:multiLevelType w:val="hybridMultilevel"/>
    <w:lvl w:ilvl="0">
      <w:lvlJc w:val="left"/>
      <w:lvlText w:val="%1."/>
      <w:numFmt w:val="decimal"/>
      <w:start w:val="90"/>
    </w:lvl>
    <w:lvl w:ilvl="1">
      <w:lvlJc w:val="left"/>
      <w:lvlText w:val="(%2)"/>
      <w:numFmt w:val="lowerLetter"/>
      <w:start w:val="1"/>
    </w:lvl>
  </w:abstractNum>
  <w:abstractNum w:abstractNumId="552">
    <w:nsid w:val="6D651B8D"/>
    <w:multiLevelType w:val="hybridMultilevel"/>
    <w:lvl w:ilvl="0">
      <w:lvlJc w:val="left"/>
      <w:lvlText w:val="%1."/>
      <w:numFmt w:val="decimal"/>
      <w:start w:val="91"/>
    </w:lvl>
    <w:lvl w:ilvl="1">
      <w:lvlJc w:val="left"/>
      <w:lvlText w:val="(%2)"/>
      <w:numFmt w:val="lowerLetter"/>
      <w:start w:val="1"/>
    </w:lvl>
  </w:abstractNum>
  <w:abstractNum w:abstractNumId="553">
    <w:nsid w:val="31ED2BAF"/>
    <w:multiLevelType w:val="hybridMultilevel"/>
    <w:lvl w:ilvl="0">
      <w:lvlJc w:val="left"/>
      <w:lvlText w:val="%1."/>
      <w:numFmt w:val="decimal"/>
      <w:start w:val="95"/>
    </w:lvl>
    <w:lvl w:ilvl="1">
      <w:lvlJc w:val="left"/>
      <w:lvlText w:val="(%2)"/>
      <w:numFmt w:val="lowerLetter"/>
      <w:start w:val="1"/>
    </w:lvl>
    <w:lvl w:ilvl="2">
      <w:lvlJc w:val="left"/>
      <w:lvlText w:val="(%3)"/>
      <w:numFmt w:val="lowerRoman"/>
      <w:start w:val="1"/>
    </w:lvl>
  </w:abstractNum>
  <w:abstractNum w:abstractNumId="554">
    <w:nsid w:val="77633E5E"/>
    <w:multiLevelType w:val="hybridMultilevel"/>
    <w:lvl w:ilvl="0">
      <w:lvlJc w:val="left"/>
      <w:lvlText w:val="%1."/>
      <w:numFmt w:val="decimal"/>
      <w:start w:val="100"/>
    </w:lvl>
    <w:lvl w:ilvl="1">
      <w:lvlJc w:val="left"/>
      <w:lvlText w:val="(%2)"/>
      <w:numFmt w:val="lowerLetter"/>
      <w:start w:val="1"/>
    </w:lvl>
    <w:lvl w:ilvl="2">
      <w:lvlJc w:val="left"/>
      <w:lvlText w:val="(%3)"/>
      <w:numFmt w:val="lowerRoman"/>
      <w:start w:val="1"/>
    </w:lvl>
  </w:abstractNum>
  <w:abstractNum w:abstractNumId="555">
    <w:nsid w:val="7DA042A3"/>
    <w:multiLevelType w:val="hybridMultilevel"/>
    <w:lvl w:ilvl="0">
      <w:lvlJc w:val="left"/>
      <w:lvlText w:val="%1."/>
      <w:numFmt w:val="decimal"/>
      <w:start w:val="103"/>
    </w:lvl>
    <w:lvl w:ilvl="1">
      <w:lvlJc w:val="left"/>
      <w:lvlText w:val="(%2)"/>
      <w:numFmt w:val="lowerLetter"/>
      <w:start w:val="1"/>
    </w:lvl>
  </w:abstractNum>
  <w:abstractNum w:abstractNumId="556">
    <w:nsid w:val="475553AB"/>
    <w:multiLevelType w:val="hybridMultilevel"/>
    <w:lvl w:ilvl="0">
      <w:lvlJc w:val="left"/>
      <w:lvlText w:val="%1"/>
      <w:numFmt w:val="decimal"/>
      <w:start w:val="1"/>
    </w:lvl>
    <w:lvl w:ilvl="1">
      <w:lvlJc w:val="left"/>
      <w:lvlText w:val="(%2)"/>
      <w:numFmt w:val="lowerLetter"/>
      <w:start w:val="3"/>
    </w:lvl>
  </w:abstractNum>
  <w:abstractNum w:abstractNumId="557">
    <w:nsid w:val="5AB3EA93"/>
    <w:multiLevelType w:val="hybridMultilevel"/>
    <w:lvl w:ilvl="0">
      <w:lvlJc w:val="left"/>
      <w:lvlText w:val="%1."/>
      <w:numFmt w:val="decimal"/>
      <w:start w:val="104"/>
    </w:lvl>
    <w:lvl w:ilvl="1">
      <w:lvlJc w:val="left"/>
      <w:lvlText w:val="(%2)"/>
      <w:numFmt w:val="lowerLetter"/>
      <w:start w:val="1"/>
    </w:lvl>
  </w:abstractNum>
  <w:abstractNum w:abstractNumId="558">
    <w:nsid w:val="7417684F"/>
    <w:multiLevelType w:val="hybridMultilevel"/>
    <w:lvl w:ilvl="0">
      <w:lvlJc w:val="left"/>
      <w:lvlText w:val="%1."/>
      <w:numFmt w:val="decimal"/>
      <w:start w:val="105"/>
    </w:lvl>
    <w:lvl w:ilvl="1">
      <w:lvlJc w:val="left"/>
      <w:lvlText w:val="(%2)"/>
      <w:numFmt w:val="lowerLetter"/>
      <w:start w:val="1"/>
    </w:lvl>
  </w:abstractNum>
  <w:abstractNum w:abstractNumId="559">
    <w:nsid w:val="E9E1415"/>
    <w:multiLevelType w:val="hybridMultilevel"/>
    <w:lvl w:ilvl="0">
      <w:lvlJc w:val="left"/>
      <w:lvlText w:val="(%1)"/>
      <w:numFmt w:val="lowerLetter"/>
      <w:start w:val="2"/>
    </w:lvl>
  </w:abstractNum>
  <w:abstractNum w:abstractNumId="560">
    <w:nsid w:val="1893D"/>
    <w:multiLevelType w:val="hybridMultilevel"/>
    <w:lvl w:ilvl="0">
      <w:lvlJc w:val="left"/>
      <w:lvlText w:val="%1."/>
      <w:numFmt w:val="decimal"/>
      <w:start w:val="107"/>
    </w:lvl>
  </w:abstractNum>
  <w:abstractNum w:abstractNumId="561">
    <w:nsid w:val="13D4A2F2"/>
    <w:multiLevelType w:val="hybridMultilevel"/>
    <w:lvl w:ilvl="0">
      <w:lvlJc w:val="left"/>
      <w:lvlText w:val="%1"/>
      <w:numFmt w:val="decimal"/>
      <w:start w:val="1"/>
    </w:lvl>
    <w:lvl w:ilvl="1">
      <w:lvlJc w:val="left"/>
      <w:lvlText w:val="(%2)"/>
      <w:numFmt w:val="lowerLetter"/>
      <w:start w:val="1"/>
    </w:lvl>
  </w:abstractNum>
  <w:abstractNum w:abstractNumId="562">
    <w:nsid w:val="2764C907"/>
    <w:multiLevelType w:val="hybridMultilevel"/>
    <w:lvl w:ilvl="0">
      <w:lvlJc w:val="left"/>
      <w:lvlText w:val="%1."/>
      <w:numFmt w:val="decimal"/>
      <w:start w:val="108"/>
    </w:lvl>
    <w:lvl w:ilvl="1">
      <w:lvlJc w:val="left"/>
      <w:lvlText w:val="%2"/>
      <w:numFmt w:val="lowerLetter"/>
      <w:start w:val="1"/>
    </w:lvl>
  </w:abstractNum>
  <w:abstractNum w:abstractNumId="563">
    <w:nsid w:val="40D3692"/>
    <w:multiLevelType w:val="hybridMultilevel"/>
    <w:lvl w:ilvl="0">
      <w:lvlJc w:val="left"/>
      <w:lvlText w:val="%1."/>
      <w:numFmt w:val="decimal"/>
      <w:start w:val="112"/>
    </w:lvl>
    <w:lvl w:ilvl="1">
      <w:lvlJc w:val="left"/>
      <w:lvlText w:val="(%2)"/>
      <w:numFmt w:val="lowerLetter"/>
      <w:start w:val="1"/>
    </w:lvl>
  </w:abstractNum>
  <w:abstractNum w:abstractNumId="564">
    <w:nsid w:val="222FC865"/>
    <w:multiLevelType w:val="hybridMultilevel"/>
    <w:lvl w:ilvl="0">
      <w:lvlJc w:val="left"/>
      <w:lvlText w:val="%1."/>
      <w:numFmt w:val="decimal"/>
      <w:start w:val="116"/>
    </w:lvl>
  </w:abstractNum>
  <w:abstractNum w:abstractNumId="565">
    <w:nsid w:val="47C27FA"/>
    <w:multiLevelType w:val="hybridMultilevel"/>
    <w:lvl w:ilvl="0">
      <w:lvlJc w:val="left"/>
      <w:lvlText w:val="%1."/>
      <w:numFmt w:val="decimal"/>
      <w:start w:val="117"/>
    </w:lvl>
  </w:abstractNum>
  <w:abstractNum w:abstractNumId="566">
    <w:nsid w:val="52E2D7C9"/>
    <w:multiLevelType w:val="hybridMultilevel"/>
    <w:lvl w:ilvl="0">
      <w:lvlJc w:val="left"/>
      <w:lvlText w:val="(%1)"/>
      <w:numFmt w:val="lowerLetter"/>
      <w:start w:val="1"/>
    </w:lvl>
    <w:lvl w:ilvl="1">
      <w:lvlJc w:val="left"/>
      <w:lvlText w:val="(%2)"/>
      <w:numFmt w:val="lowerRoman"/>
      <w:start w:val="1"/>
    </w:lvl>
  </w:abstractNum>
  <w:abstractNum w:abstractNumId="567">
    <w:nsid w:val="3D4B955A"/>
    <w:multiLevelType w:val="hybridMultilevel"/>
    <w:lvl w:ilvl="0">
      <w:lvlJc w:val="left"/>
      <w:lvlText w:val="%1."/>
      <w:numFmt w:val="decimal"/>
      <w:start w:val="118"/>
    </w:lvl>
  </w:abstractNum>
  <w:abstractNum w:abstractNumId="568">
    <w:nsid w:val="5B4A22B5"/>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1"/>
    </w:lvl>
  </w:abstractNum>
  <w:abstractNum w:abstractNumId="569">
    <w:nsid w:val="4B29457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70">
    <w:nsid w:val="22317590"/>
    <w:multiLevelType w:val="hybridMultilevel"/>
    <w:lvl w:ilvl="0">
      <w:lvlJc w:val="left"/>
      <w:lvlText w:val="%1."/>
      <w:numFmt w:val="decimal"/>
      <w:start w:val="122"/>
    </w:lvl>
    <w:lvl w:ilvl="1">
      <w:lvlJc w:val="left"/>
      <w:lvlText w:val="(%2)"/>
      <w:numFmt w:val="lowerLetter"/>
      <w:start w:val="1"/>
    </w:lvl>
    <w:lvl w:ilvl="2">
      <w:lvlJc w:val="left"/>
      <w:lvlText w:val="(%3)"/>
      <w:numFmt w:val="lowerRoman"/>
      <w:start w:val="1"/>
    </w:lvl>
  </w:abstractNum>
  <w:abstractNum w:abstractNumId="571">
    <w:nsid w:val="37A58EEF"/>
    <w:multiLevelType w:val="hybridMultilevel"/>
    <w:lvl w:ilvl="0">
      <w:lvlJc w:val="left"/>
      <w:lvlText w:val="%1."/>
      <w:numFmt w:val="decimal"/>
      <w:start w:val="12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72">
    <w:nsid w:val="283290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73">
    <w:nsid w:val="495C0EA5"/>
    <w:multiLevelType w:val="hybridMultilevel"/>
    <w:lvl w:ilvl="0">
      <w:lvlJc w:val="left"/>
      <w:lvlText w:val="%1."/>
      <w:numFmt w:val="decimal"/>
      <w:start w:val="12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74">
    <w:nsid w:val="A4A062B"/>
    <w:multiLevelType w:val="hybridMultilevel"/>
    <w:lvl w:ilvl="0">
      <w:lvlJc w:val="left"/>
      <w:lvlText w:val="(%1)"/>
      <w:numFmt w:val="lowerLetter"/>
      <w:start w:val="9"/>
    </w:lvl>
  </w:abstractNum>
  <w:abstractNum w:abstractNumId="575">
    <w:nsid w:val="3BED7940"/>
    <w:multiLevelType w:val="hybridMultilevel"/>
    <w:lvl w:ilvl="0">
      <w:lvlJc w:val="left"/>
      <w:lvlText w:val="%1."/>
      <w:numFmt w:val="decimal"/>
      <w:start w:val="128"/>
    </w:lvl>
    <w:lvl w:ilvl="1">
      <w:lvlJc w:val="left"/>
      <w:lvlText w:val="(%2)"/>
      <w:numFmt w:val="lowerLetter"/>
      <w:start w:val="1"/>
    </w:lvl>
    <w:lvl w:ilvl="2">
      <w:lvlJc w:val="left"/>
      <w:lvlText w:val="(%3)"/>
      <w:numFmt w:val="lowerRoman"/>
      <w:start w:val="1"/>
    </w:lvl>
  </w:abstractNum>
  <w:abstractNum w:abstractNumId="576">
    <w:nsid w:val="54E56D64"/>
    <w:multiLevelType w:val="hybridMultilevel"/>
    <w:lvl w:ilvl="0">
      <w:lvlJc w:val="left"/>
      <w:lvlText w:val="(%1)"/>
      <w:numFmt w:val="lowerLetter"/>
      <w:start w:val="2"/>
    </w:lvl>
  </w:abstractNum>
  <w:abstractNum w:abstractNumId="577">
    <w:nsid w:val="6EB42955"/>
    <w:multiLevelType w:val="hybridMultilevel"/>
    <w:lvl w:ilvl="0">
      <w:lvlJc w:val="left"/>
      <w:lvlText w:val="%1."/>
      <w:numFmt w:val="decimal"/>
      <w:start w:val="129"/>
    </w:lvl>
    <w:lvl w:ilvl="1">
      <w:lvlJc w:val="left"/>
      <w:lvlText w:val="(%2)"/>
      <w:numFmt w:val="lowerLetter"/>
      <w:start w:val="1"/>
    </w:lvl>
  </w:abstractNum>
  <w:abstractNum w:abstractNumId="578">
    <w:nsid w:val="29EFA642"/>
    <w:multiLevelType w:val="hybridMultilevel"/>
    <w:lvl w:ilvl="0">
      <w:lvlJc w:val="left"/>
      <w:lvlText w:val="%1."/>
      <w:numFmt w:val="decimal"/>
      <w:start w:val="130"/>
    </w:lvl>
    <w:lvl w:ilvl="1">
      <w:lvlJc w:val="left"/>
      <w:lvlText w:val="(%2)"/>
      <w:numFmt w:val="lowerLetter"/>
      <w:start w:val="1"/>
    </w:lvl>
  </w:abstractNum>
  <w:abstractNum w:abstractNumId="579">
    <w:nsid w:val="7E337D35"/>
    <w:multiLevelType w:val="hybridMultilevel"/>
    <w:lvl w:ilvl="0">
      <w:lvlJc w:val="left"/>
      <w:lvlText w:val="%1."/>
      <w:numFmt w:val="decimal"/>
      <w:start w:val="131"/>
    </w:lvl>
  </w:abstractNum>
  <w:abstractNum w:abstractNumId="580">
    <w:nsid w:val="1F8C83AB"/>
    <w:multiLevelType w:val="hybridMultilevel"/>
    <w:lvl w:ilvl="0">
      <w:lvlJc w:val="left"/>
      <w:lvlText w:val="%1."/>
      <w:numFmt w:val="decimal"/>
      <w:start w:val="13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81">
    <w:nsid w:val="18F40A33"/>
    <w:multiLevelType w:val="hybridMultilevel"/>
    <w:lvl w:ilvl="0">
      <w:lvlJc w:val="left"/>
      <w:lvlText w:val="(%1)"/>
      <w:numFmt w:val="lowerLetter"/>
      <w:start w:val="4"/>
    </w:lvl>
    <w:lvl w:ilvl="1">
      <w:lvlJc w:val="left"/>
      <w:lvlText w:val="(%2)"/>
      <w:numFmt w:val="lowerRoman"/>
      <w:start w:val="1"/>
    </w:lvl>
  </w:abstractNum>
  <w:abstractNum w:abstractNumId="582">
    <w:nsid w:val="1059DF71"/>
    <w:multiLevelType w:val="hybridMultilevel"/>
    <w:lvl w:ilvl="0">
      <w:lvlJc w:val="left"/>
      <w:lvlText w:val="%1."/>
      <w:numFmt w:val="decimal"/>
      <w:start w:val="134"/>
    </w:lvl>
    <w:lvl w:ilvl="1">
      <w:lvlJc w:val="left"/>
      <w:lvlText w:val="(%2)"/>
      <w:numFmt w:val="lowerLetter"/>
      <w:start w:val="1"/>
    </w:lvl>
  </w:abstractNum>
  <w:abstractNum w:abstractNumId="583">
    <w:nsid w:val="CF19F38"/>
    <w:multiLevelType w:val="hybridMultilevel"/>
    <w:lvl w:ilvl="0">
      <w:lvlJc w:val="left"/>
      <w:lvlText w:val="%1."/>
      <w:numFmt w:val="decimal"/>
      <w:start w:val="140"/>
    </w:lvl>
    <w:lvl w:ilvl="1">
      <w:lvlJc w:val="left"/>
      <w:lvlText w:val="(%2)"/>
      <w:numFmt w:val="lowerLetter"/>
      <w:start w:val="1"/>
    </w:lvl>
  </w:abstractNum>
  <w:abstractNum w:abstractNumId="584">
    <w:nsid w:val="4AE135E2"/>
    <w:multiLevelType w:val="hybridMultilevel"/>
    <w:lvl w:ilvl="0">
      <w:lvlJc w:val="left"/>
      <w:lvlText w:val="%1."/>
      <w:numFmt w:val="decimal"/>
      <w:start w:val="143"/>
    </w:lvl>
    <w:lvl w:ilvl="1">
      <w:lvlJc w:val="left"/>
      <w:lvlText w:val="(%2)"/>
      <w:numFmt w:val="lowerLetter"/>
      <w:start w:val="1"/>
    </w:lvl>
  </w:abstractNum>
  <w:abstractNum w:abstractNumId="585">
    <w:nsid w:val="7BD1DCF"/>
    <w:multiLevelType w:val="hybridMultilevel"/>
    <w:lvl w:ilvl="0">
      <w:lvlJc w:val="left"/>
      <w:lvlText w:val="%1."/>
      <w:numFmt w:val="decimal"/>
      <w:start w:val="144"/>
    </w:lvl>
    <w:lvl w:ilvl="1">
      <w:lvlJc w:val="left"/>
      <w:lvlText w:val="(%2)"/>
      <w:numFmt w:val="lowerLetter"/>
      <w:start w:val="1"/>
    </w:lvl>
    <w:lvl w:ilvl="2">
      <w:lvlJc w:val="left"/>
      <w:lvlText w:val="(%3)"/>
      <w:numFmt w:val="lowerRoman"/>
      <w:start w:val="1"/>
    </w:lvl>
  </w:abstractNum>
  <w:abstractNum w:abstractNumId="586">
    <w:nsid w:val="A91E1DC"/>
    <w:multiLevelType w:val="hybridMultilevel"/>
    <w:lvl w:ilvl="0">
      <w:lvlJc w:val="left"/>
      <w:lvlText w:val="%1"/>
      <w:numFmt w:val="lowerLetter"/>
      <w:start w:val="1"/>
    </w:lvl>
    <w:lvl w:ilvl="1">
      <w:lvlJc w:val="left"/>
      <w:lvlText w:val="(%2)"/>
      <w:numFmt w:val="lowerRoman"/>
      <w:start w:val="3"/>
    </w:lvl>
  </w:abstractNum>
  <w:abstractNum w:abstractNumId="587">
    <w:nsid w:val="1236898D"/>
    <w:multiLevelType w:val="hybridMultilevel"/>
    <w:lvl w:ilvl="0">
      <w:lvlJc w:val="left"/>
      <w:lvlText w:val="(%1)"/>
      <w:numFmt w:val="lowerLetter"/>
      <w:start w:val="2"/>
    </w:lvl>
    <w:lvl w:ilvl="1">
      <w:lvlJc w:val="left"/>
      <w:lvlText w:val="(%2)"/>
      <w:numFmt w:val="lowerRoman"/>
      <w:start w:val="1"/>
    </w:lvl>
  </w:abstractNum>
  <w:abstractNum w:abstractNumId="588">
    <w:nsid w:val="62710862"/>
    <w:multiLevelType w:val="hybridMultilevel"/>
    <w:lvl w:ilvl="0">
      <w:lvlJc w:val="left"/>
      <w:lvlText w:val="%1."/>
      <w:numFmt w:val="decimal"/>
      <w:start w:val="145"/>
    </w:lvl>
  </w:abstractNum>
  <w:abstractNum w:abstractNumId="589">
    <w:nsid w:val="7EA94A2B"/>
    <w:multiLevelType w:val="hybridMultilevel"/>
    <w:lvl w:ilvl="0">
      <w:lvlJc w:val="left"/>
      <w:lvlText w:val="%1."/>
      <w:numFmt w:val="decimal"/>
      <w:start w:val="146"/>
    </w:lvl>
    <w:lvl w:ilvl="1">
      <w:lvlJc w:val="left"/>
      <w:lvlText w:val="(%2)"/>
      <w:numFmt w:val="lowerLetter"/>
      <w:start w:val="1"/>
    </w:lvl>
    <w:lvl w:ilvl="2">
      <w:lvlJc w:val="left"/>
      <w:lvlText w:val="(%3)"/>
      <w:numFmt w:val="lowerRoman"/>
      <w:start w:val="1"/>
    </w:lvl>
  </w:abstractNum>
  <w:abstractNum w:abstractNumId="590">
    <w:nsid w:val="20D49DA3"/>
    <w:multiLevelType w:val="hybridMultilevel"/>
    <w:lvl w:ilvl="0">
      <w:lvlJc w:val="left"/>
      <w:lvlText w:val="%1"/>
      <w:numFmt w:val="lowerLetter"/>
      <w:start w:val="1"/>
    </w:lvl>
    <w:lvl w:ilvl="1">
      <w:lvlJc w:val="left"/>
      <w:lvlText w:val="(%2)"/>
      <w:numFmt w:val="lowerRoman"/>
      <w:start w:val="2"/>
    </w:lvl>
  </w:abstractNum>
  <w:abstractNum w:abstractNumId="591">
    <w:nsid w:val="6272919F"/>
    <w:multiLevelType w:val="hybridMultilevel"/>
    <w:lvl w:ilvl="0">
      <w:lvlJc w:val="left"/>
      <w:lvlText w:val="(%1)"/>
      <w:numFmt w:val="lowerLetter"/>
      <w:start w:val="2"/>
    </w:lvl>
    <w:lvl w:ilvl="1">
      <w:lvlJc w:val="left"/>
      <w:lvlText w:val="(%2)"/>
      <w:numFmt w:val="lowerRoman"/>
      <w:start w:val="1"/>
    </w:lvl>
  </w:abstractNum>
  <w:abstractNum w:abstractNumId="592">
    <w:nsid w:val="127DED1D"/>
    <w:multiLevelType w:val="hybridMultilevel"/>
    <w:lvl w:ilvl="0">
      <w:lvlJc w:val="left"/>
      <w:lvlText w:val="%1."/>
      <w:numFmt w:val="decimal"/>
      <w:start w:val="147"/>
    </w:lvl>
    <w:lvl w:ilvl="1">
      <w:lvlJc w:val="left"/>
      <w:lvlText w:val="(%2)"/>
      <w:numFmt w:val="lowerRoman"/>
      <w:start w:val="1"/>
    </w:lvl>
  </w:abstractNum>
  <w:abstractNum w:abstractNumId="593">
    <w:nsid w:val="483966AA"/>
    <w:multiLevelType w:val="hybridMultilevel"/>
    <w:lvl w:ilvl="0">
      <w:lvlJc w:val="left"/>
      <w:lvlText w:val="%1."/>
      <w:numFmt w:val="decimal"/>
      <w:start w:val="148"/>
    </w:lvl>
    <w:lvl w:ilvl="1">
      <w:lvlJc w:val="left"/>
      <w:lvlText w:val="(%2)"/>
      <w:numFmt w:val="lowerLetter"/>
      <w:start w:val="1"/>
    </w:lvl>
    <w:lvl w:ilvl="2">
      <w:lvlJc w:val="left"/>
      <w:lvlText w:val="(%3)"/>
      <w:numFmt w:val="lowerRoman"/>
      <w:start w:val="1"/>
    </w:lvl>
  </w:abstractNum>
  <w:abstractNum w:abstractNumId="594">
    <w:nsid w:val="667FC831"/>
    <w:multiLevelType w:val="hybridMultilevel"/>
    <w:lvl w:ilvl="0">
      <w:lvlJc w:val="left"/>
      <w:lvlText w:val="%1."/>
      <w:numFmt w:val="decimal"/>
      <w:start w:val="149"/>
    </w:lvl>
    <w:lvl w:ilvl="1">
      <w:lvlJc w:val="left"/>
      <w:lvlText w:val="(%2)"/>
      <w:numFmt w:val="lowerLetter"/>
      <w:start w:val="1"/>
    </w:lvl>
    <w:lvl w:ilvl="2">
      <w:lvlJc w:val="left"/>
      <w:lvlText w:val="(%3)"/>
      <w:numFmt w:val="lowerRoman"/>
      <w:start w:val="1"/>
    </w:lvl>
  </w:abstractNum>
  <w:abstractNum w:abstractNumId="595">
    <w:nsid w:val="34ADB582"/>
    <w:multiLevelType w:val="hybridMultilevel"/>
    <w:lvl w:ilvl="0">
      <w:lvlJc w:val="left"/>
      <w:lvlText w:val="(%1)"/>
      <w:numFmt w:val="lowerLetter"/>
      <w:start w:val="3"/>
    </w:lvl>
  </w:abstractNum>
  <w:abstractNum w:abstractNumId="596">
    <w:nsid w:val="4CB58EA4"/>
    <w:multiLevelType w:val="hybridMultilevel"/>
    <w:lvl w:ilvl="0">
      <w:lvlJc w:val="left"/>
      <w:lvlText w:val="%1."/>
      <w:numFmt w:val="decimal"/>
      <w:start w:val="1"/>
    </w:lvl>
  </w:abstractNum>
  <w:abstractNum w:abstractNumId="597">
    <w:nsid w:val="39629FFA"/>
    <w:multiLevelType w:val="hybridMultilevel"/>
    <w:lvl w:ilvl="0">
      <w:lvlJc w:val="left"/>
      <w:lvlText w:val="(%1)"/>
      <w:numFmt w:val="upperLetter"/>
      <w:start w:val="1"/>
    </w:lvl>
  </w:abstractNum>
  <w:abstractNum w:abstractNumId="598">
    <w:nsid w:val="71F94ADC"/>
    <w:multiLevelType w:val="hybridMultilevel"/>
    <w:lvl w:ilvl="0">
      <w:lvlJc w:val="left"/>
      <w:lvlText w:val="(%1)"/>
      <w:numFmt w:val="lowerRoman"/>
      <w:start w:val="1"/>
    </w:lvl>
  </w:abstractNum>
  <w:abstractNum w:abstractNumId="599">
    <w:nsid w:val="27FFB15A"/>
    <w:multiLevelType w:val="hybridMultilevel"/>
    <w:lvl w:ilvl="0">
      <w:lvlJc w:val="left"/>
      <w:lvlText w:val="%1."/>
      <w:numFmt w:val="decimal"/>
      <w:start w:val="1"/>
    </w:lvl>
  </w:abstractNum>
  <w:abstractNum w:abstractNumId="600">
    <w:nsid w:val="48BE573"/>
    <w:multiLevelType w:val="hybridMultilevel"/>
    <w:lvl w:ilvl="0">
      <w:lvlJc w:val="left"/>
      <w:lvlText w:val="•"/>
      <w:numFmt w:val="bullet"/>
      <w:start w:val="1"/>
    </w:lvl>
  </w:abstractNum>
  <w:abstractNum w:abstractNumId="601">
    <w:nsid w:val="142AC06C"/>
    <w:multiLevelType w:val="hybridMultilevel"/>
    <w:lvl w:ilvl="0">
      <w:lvlJc w:val="left"/>
      <w:lvlText w:val="1"/>
      <w:numFmt w:val="bullet"/>
      <w:start w:val="1"/>
    </w:lvl>
  </w:abstractNum>
  <w:abstractNum w:abstractNumId="602">
    <w:nsid w:val="5FA54049"/>
    <w:multiLevelType w:val="hybridMultilevel"/>
    <w:lvl w:ilvl="0">
      <w:lvlJc w:val="left"/>
      <w:lvlText w:val="*"/>
      <w:numFmt w:val="bullet"/>
      <w:start w:val="1"/>
    </w:lvl>
  </w:abstractNum>
  <w:abstractNum w:abstractNumId="603">
    <w:nsid w:val="2CBE7670"/>
    <w:multiLevelType w:val="hybridMultilevel"/>
    <w:lvl w:ilvl="0">
      <w:lvlJc w:val="left"/>
      <w:lvlText w:val="(%1)"/>
      <w:numFmt w:val="decimal"/>
      <w:start w:val="1"/>
    </w:lvl>
    <w:lvl w:ilvl="1">
      <w:lvlJc w:val="left"/>
      <w:lvlText w:val="(%2)"/>
      <w:numFmt w:val="lowerRoman"/>
      <w:start w:val="1"/>
    </w:lvl>
  </w:abstractNum>
  <w:abstractNum w:abstractNumId="604">
    <w:nsid w:val="5D86CF11"/>
    <w:multiLevelType w:val="hybridMultilevel"/>
    <w:lvl w:ilvl="0">
      <w:lvlJc w:val="left"/>
      <w:lvlText w:val="(%1)"/>
      <w:numFmt w:val="decimal"/>
      <w:start w:val="5"/>
    </w:lvl>
  </w:abstractNum>
  <w:abstractNum w:abstractNumId="605">
    <w:nsid w:val="69EF4674"/>
    <w:multiLevelType w:val="hybridMultilevel"/>
    <w:lvl w:ilvl="0">
      <w:lvlJc w:val="left"/>
      <w:lvlText w:val="%1"/>
      <w:numFmt w:val="decimal"/>
      <w:start w:val="1"/>
    </w:lvl>
    <w:lvl w:ilvl="1">
      <w:lvlJc w:val="left"/>
      <w:lvlText w:val="(%2)"/>
      <w:numFmt w:val="lowerRoman"/>
      <w:start w:val="1"/>
    </w:lvl>
  </w:abstractNum>
  <w:abstractNum w:abstractNumId="606">
    <w:nsid w:val="68ABEFB0"/>
    <w:multiLevelType w:val="hybridMultilevel"/>
    <w:lvl w:ilvl="0">
      <w:lvlJc w:val="left"/>
      <w:lvlText w:val="(%1)"/>
      <w:numFmt w:val="decimal"/>
      <w:start w:val="8"/>
    </w:lvl>
    <w:lvl w:ilvl="1">
      <w:lvlJc w:val="left"/>
      <w:lvlText w:val="%2"/>
      <w:numFmt w:val="lowerRoman"/>
      <w:start w:val="1"/>
    </w:lvl>
  </w:abstractNum>
  <w:abstractNum w:abstractNumId="607">
    <w:nsid w:val="326C3C76"/>
    <w:multiLevelType w:val="hybridMultilevel"/>
    <w:lvl w:ilvl="0">
      <w:lvlJc w:val="left"/>
      <w:lvlText w:val="(%1)"/>
      <w:numFmt w:val="decimal"/>
      <w:start w:val="11"/>
    </w:lvl>
  </w:abstractNum>
  <w:abstractNum w:abstractNumId="608">
    <w:nsid w:val="58A36FCA"/>
    <w:multiLevelType w:val="hybridMultilevel"/>
    <w:lvl w:ilvl="0">
      <w:lvlJc w:val="left"/>
      <w:lvlText w:val="%1."/>
      <w:numFmt w:val="decimal"/>
      <w:start w:val="1"/>
    </w:lvl>
  </w:abstractNum>
  <w:abstractNum w:abstractNumId="609">
    <w:nsid w:val="129B95F2"/>
    <w:multiLevelType w:val="hybridMultilevel"/>
    <w:lvl w:ilvl="0">
      <w:lvlJc w:val="left"/>
      <w:lvlText w:val="(%1)"/>
      <w:numFmt w:val="lowerLetter"/>
      <w:start w:val="1"/>
    </w:lvl>
    <w:lvl w:ilvl="1">
      <w:lvlJc w:val="left"/>
      <w:lvlText w:val="(%2)"/>
      <w:numFmt w:val="lowerRoman"/>
      <w:start w:val="1"/>
    </w:lvl>
  </w:abstractNum>
  <w:abstractNum w:abstractNumId="610">
    <w:nsid w:val="309FB9AB"/>
    <w:multiLevelType w:val="hybridMultilevel"/>
    <w:lvl w:ilvl="0">
      <w:lvlJc w:val="left"/>
      <w:lvlText w:val="(%1)"/>
      <w:numFmt w:val="lowerLetter"/>
      <w:start w:val="5"/>
    </w:lvl>
  </w:abstractNum>
  <w:abstractNum w:abstractNumId="611">
    <w:nsid w:val="782FF375"/>
    <w:multiLevelType w:val="hybridMultilevel"/>
    <w:lvl w:ilvl="0">
      <w:lvlJc w:val="left"/>
      <w:lvlText w:val="(%1)"/>
      <w:numFmt w:val="lowerLetter"/>
      <w:start w:val="14"/>
    </w:lvl>
  </w:abstractNum>
  <w:abstractNum w:abstractNumId="612">
    <w:nsid w:val="2B8FA025"/>
    <w:multiLevelType w:val="hybridMultilevel"/>
    <w:lvl w:ilvl="0">
      <w:lvlJc w:val="left"/>
      <w:lvlText w:val="%1."/>
      <w:numFmt w:val="decimal"/>
      <w:start w:val="3"/>
    </w:lvl>
  </w:abstractNum>
  <w:abstractNum w:abstractNumId="613">
    <w:nsid w:val="40F9991C"/>
    <w:multiLevelType w:val="hybridMultilevel"/>
    <w:lvl w:ilvl="0">
      <w:lvlJc w:val="left"/>
      <w:lvlText w:val="%1."/>
      <w:numFmt w:val="decimal"/>
      <w:start w:val="4"/>
    </w:lvl>
  </w:abstractNum>
  <w:abstractNum w:abstractNumId="614">
    <w:nsid w:val="52192AD"/>
    <w:multiLevelType w:val="hybridMultilevel"/>
    <w:lvl w:ilvl="0">
      <w:lvlJc w:val="left"/>
      <w:lvlText w:val="%1."/>
      <w:numFmt w:val="decimal"/>
      <w:start w:val="5"/>
    </w:lvl>
  </w:abstractNum>
  <w:abstractNum w:abstractNumId="615">
    <w:nsid w:val="7670D608"/>
    <w:multiLevelType w:val="hybridMultilevel"/>
    <w:lvl w:ilvl="0">
      <w:lvlJc w:val="left"/>
      <w:lvlText w:val="%1."/>
      <w:numFmt w:val="decimal"/>
      <w:start w:val="6"/>
    </w:lvl>
  </w:abstractNum>
  <w:abstractNum w:abstractNumId="616">
    <w:nsid w:val="48B6B6EB"/>
    <w:multiLevelType w:val="hybridMultilevel"/>
    <w:lvl w:ilvl="0">
      <w:lvlJc w:val="left"/>
      <w:lvlText w:val="%1."/>
      <w:numFmt w:val="decimal"/>
      <w:start w:val="7"/>
    </w:lvl>
  </w:abstractNum>
  <w:abstractNum w:abstractNumId="617">
    <w:nsid w:val="FB37489"/>
    <w:multiLevelType w:val="hybridMultilevel"/>
    <w:lvl w:ilvl="0">
      <w:lvlJc w:val="left"/>
      <w:lvlText w:val="%1."/>
      <w:numFmt w:val="decimal"/>
      <w:start w:val="8"/>
    </w:lvl>
  </w:abstractNum>
  <w:abstractNum w:abstractNumId="618">
    <w:nsid w:val="8A75F95"/>
    <w:multiLevelType w:val="hybridMultilevel"/>
    <w:lvl w:ilvl="0">
      <w:lvlJc w:val="left"/>
      <w:lvlText w:val="(%1)"/>
      <w:numFmt w:val="lowerLetter"/>
      <w:start w:val="1"/>
    </w:lvl>
  </w:abstractNum>
  <w:abstractNum w:abstractNumId="619">
    <w:nsid w:val="2B27BF4D"/>
    <w:multiLevelType w:val="hybridMultilevel"/>
    <w:lvl w:ilvl="0">
      <w:lvlJc w:val="left"/>
      <w:lvlText w:val="(%1)"/>
      <w:numFmt w:val="lowerLetter"/>
      <w:start w:val="3"/>
    </w:lvl>
  </w:abstractNum>
  <w:abstractNum w:abstractNumId="620">
    <w:nsid w:val="E5CBEB4"/>
    <w:multiLevelType w:val="hybridMultilevel"/>
    <w:lvl w:ilvl="0">
      <w:lvlJc w:val="left"/>
      <w:lvlText w:val="%1."/>
      <w:numFmt w:val="decimal"/>
      <w:start w:val="9"/>
    </w:lvl>
  </w:abstractNum>
  <w:abstractNum w:abstractNumId="621">
    <w:nsid w:val="297BFD38"/>
    <w:multiLevelType w:val="hybridMultilevel"/>
    <w:lvl w:ilvl="0">
      <w:lvlJc w:val="left"/>
      <w:lvlText w:val="(%1)"/>
      <w:numFmt w:val="lowerLetter"/>
      <w:start w:val="1"/>
    </w:lvl>
  </w:abstractNum>
  <w:abstractNum w:abstractNumId="622">
    <w:nsid w:val="D9A50ED"/>
    <w:multiLevelType w:val="hybridMultilevel"/>
    <w:lvl w:ilvl="0">
      <w:lvlJc w:val="left"/>
      <w:lvlText w:val="%1."/>
      <w:numFmt w:val="decimal"/>
      <w:start w:val="10"/>
    </w:lvl>
  </w:abstractNum>
  <w:abstractNum w:abstractNumId="623">
    <w:nsid w:val="20DAABD1"/>
    <w:multiLevelType w:val="hybridMultilevel"/>
    <w:lvl w:ilvl="0">
      <w:lvlJc w:val="left"/>
      <w:lvlText w:val="(%1)"/>
      <w:numFmt w:val="lowerLetter"/>
      <w:start w:val="1"/>
    </w:lvl>
  </w:abstractNum>
  <w:abstractNum w:abstractNumId="624">
    <w:nsid w:val="71B563E3"/>
    <w:multiLevelType w:val="hybridMultilevel"/>
    <w:lvl w:ilvl="0">
      <w:lvlJc w:val="left"/>
      <w:lvlText w:val="(%1)"/>
      <w:numFmt w:val="lowerLetter"/>
      <w:start w:val="3"/>
    </w:lvl>
  </w:abstractNum>
  <w:abstractNum w:abstractNumId="625">
    <w:nsid w:val="741A191E"/>
    <w:multiLevelType w:val="hybridMultilevel"/>
    <w:lvl w:ilvl="0">
      <w:lvlJc w:val="left"/>
      <w:lvlText w:val="%1."/>
      <w:numFmt w:val="decimal"/>
      <w:start w:val="11"/>
    </w:lvl>
  </w:abstractNum>
  <w:abstractNum w:abstractNumId="626">
    <w:nsid w:val="55886153"/>
    <w:multiLevelType w:val="hybridMultilevel"/>
    <w:lvl w:ilvl="0">
      <w:lvlJc w:val="left"/>
      <w:lvlText w:val="(%1)"/>
      <w:numFmt w:val="lowerLetter"/>
      <w:start w:val="1"/>
    </w:lvl>
  </w:abstractNum>
  <w:abstractNum w:abstractNumId="627">
    <w:nsid w:val="3E6AF287"/>
    <w:multiLevelType w:val="hybridMultilevel"/>
    <w:lvl w:ilvl="0">
      <w:lvlJc w:val="left"/>
      <w:lvlText w:val="%1."/>
      <w:numFmt w:val="decimal"/>
      <w:start w:val="12"/>
    </w:lvl>
  </w:abstractNum>
  <w:abstractNum w:abstractNumId="628">
    <w:nsid w:val="2D7CB919"/>
    <w:multiLevelType w:val="hybridMultilevel"/>
    <w:lvl w:ilvl="0">
      <w:lvlJc w:val="left"/>
      <w:lvlText w:val="(%1)"/>
      <w:numFmt w:val="lowerLetter"/>
      <w:start w:val="1"/>
    </w:lvl>
  </w:abstractNum>
  <w:abstractNum w:abstractNumId="629">
    <w:nsid w:val="4781AC2F"/>
    <w:multiLevelType w:val="hybridMultilevel"/>
    <w:lvl w:ilvl="0">
      <w:lvlJc w:val="left"/>
      <w:lvlText w:val="(%1)"/>
      <w:numFmt w:val="lowerLetter"/>
      <w:start w:val="3"/>
    </w:lvl>
  </w:abstractNum>
  <w:abstractNum w:abstractNumId="630">
    <w:nsid w:val="666AA3E1"/>
    <w:multiLevelType w:val="hybridMultilevel"/>
    <w:lvl w:ilvl="0">
      <w:lvlJc w:val="left"/>
      <w:lvlText w:val="%1."/>
      <w:numFmt w:val="decimal"/>
      <w:start w:val="13"/>
    </w:lvl>
  </w:abstractNum>
  <w:abstractNum w:abstractNumId="631">
    <w:nsid w:val="32089E8C"/>
    <w:multiLevelType w:val="hybridMultilevel"/>
    <w:lvl w:ilvl="0">
      <w:lvlJc w:val="left"/>
      <w:lvlText w:val="(%1)"/>
      <w:numFmt w:val="lowerLetter"/>
      <w:start w:val="1"/>
    </w:lvl>
  </w:abstractNum>
  <w:abstractNum w:abstractNumId="632">
    <w:nsid w:val="5BAC6C9C"/>
    <w:multiLevelType w:val="hybridMultilevel"/>
    <w:lvl w:ilvl="0">
      <w:lvlJc w:val="left"/>
      <w:lvlText w:val="(%1)"/>
      <w:numFmt w:val="lowerLetter"/>
      <w:start w:val="5"/>
    </w:lvl>
  </w:abstractNum>
  <w:abstractNum w:abstractNumId="633">
    <w:nsid w:val="460FE42B"/>
    <w:multiLevelType w:val="hybridMultilevel"/>
    <w:lvl w:ilvl="0">
      <w:lvlJc w:val="left"/>
      <w:lvlText w:val="%1."/>
      <w:numFmt w:val="decimal"/>
      <w:start w:val="14"/>
    </w:lvl>
  </w:abstractNum>
  <w:abstractNum w:abstractNumId="634">
    <w:nsid w:val="5EC714FC"/>
    <w:multiLevelType w:val="hybridMultilevel"/>
    <w:lvl w:ilvl="0">
      <w:lvlJc w:val="left"/>
      <w:lvlText w:val="(%1)"/>
      <w:numFmt w:val="lowerLetter"/>
      <w:start w:val="1"/>
    </w:lvl>
  </w:abstractNum>
  <w:abstractNum w:abstractNumId="635">
    <w:nsid w:val="39333BAD"/>
    <w:multiLevelType w:val="hybridMultilevel"/>
    <w:lvl w:ilvl="0">
      <w:lvlJc w:val="left"/>
      <w:lvlText w:val="(%1)"/>
      <w:numFmt w:val="lowerLetter"/>
      <w:start w:val="7"/>
    </w:lvl>
  </w:abstractNum>
  <w:abstractNum w:abstractNumId="636">
    <w:nsid w:val="2FFF2A9F"/>
    <w:multiLevelType w:val="hybridMultilevel"/>
    <w:lvl w:ilvl="0">
      <w:lvlJc w:val="left"/>
      <w:lvlText w:val="%1."/>
      <w:numFmt w:val="decimal"/>
      <w:start w:val="15"/>
    </w:lvl>
  </w:abstractNum>
  <w:abstractNum w:abstractNumId="637">
    <w:nsid w:val="477304AC"/>
    <w:multiLevelType w:val="hybridMultilevel"/>
    <w:lvl w:ilvl="0">
      <w:lvlJc w:val="left"/>
      <w:lvlText w:val="%1."/>
      <w:numFmt w:val="decimal"/>
      <w:start w:val="16"/>
    </w:lvl>
  </w:abstractNum>
  <w:abstractNum w:abstractNumId="638">
    <w:nsid w:val="6B9F7823"/>
    <w:multiLevelType w:val="hybridMultilevel"/>
    <w:lvl w:ilvl="0">
      <w:lvlJc w:val="left"/>
      <w:lvlText w:val="(%1)"/>
      <w:numFmt w:val="lowerLetter"/>
      <w:start w:val="1"/>
    </w:lvl>
  </w:abstractNum>
  <w:abstractNum w:abstractNumId="639">
    <w:nsid w:val="8A29A69"/>
    <w:multiLevelType w:val="hybridMultilevel"/>
    <w:lvl w:ilvl="0">
      <w:lvlJc w:val="left"/>
      <w:lvlText w:val="(%1)"/>
      <w:numFmt w:val="lowerLetter"/>
      <w:start w:val="4"/>
    </w:lvl>
  </w:abstractNum>
  <w:abstractNum w:abstractNumId="640">
    <w:nsid w:val="5A0E9A9F"/>
    <w:multiLevelType w:val="hybridMultilevel"/>
    <w:lvl w:ilvl="0">
      <w:lvlJc w:val="left"/>
      <w:lvlText w:val="%1."/>
      <w:numFmt w:val="decimal"/>
      <w:start w:val="17"/>
    </w:lvl>
  </w:abstractNum>
  <w:abstractNum w:abstractNumId="641">
    <w:nsid w:val="1C3F31CE"/>
    <w:multiLevelType w:val="hybridMultilevel"/>
    <w:lvl w:ilvl="0">
      <w:lvlJc w:val="left"/>
      <w:lvlText w:val="%1."/>
      <w:numFmt w:val="decimal"/>
      <w:start w:val="18"/>
    </w:lvl>
  </w:abstractNum>
  <w:abstractNum w:abstractNumId="642">
    <w:nsid w:val="D28DDE"/>
    <w:multiLevelType w:val="hybridMultilevel"/>
    <w:lvl w:ilvl="0">
      <w:lvlJc w:val="left"/>
      <w:lvlText w:val="(%1)"/>
      <w:numFmt w:val="lowerLetter"/>
      <w:start w:val="1"/>
    </w:lvl>
  </w:abstractNum>
  <w:abstractNum w:abstractNumId="643">
    <w:nsid w:val="59E3AC4"/>
    <w:multiLevelType w:val="hybridMultilevel"/>
    <w:lvl w:ilvl="0">
      <w:lvlJc w:val="left"/>
      <w:lvlText w:val="%1."/>
      <w:numFmt w:val="decimal"/>
      <w:start w:val="20"/>
    </w:lvl>
  </w:abstractNum>
  <w:abstractNum w:abstractNumId="644">
    <w:nsid w:val="5D38CAEA"/>
    <w:multiLevelType w:val="hybridMultilevel"/>
    <w:lvl w:ilvl="0">
      <w:lvlJc w:val="left"/>
      <w:lvlText w:val="%1."/>
      <w:numFmt w:val="decimal"/>
      <w:start w:val="21"/>
    </w:lvl>
  </w:abstractNum>
  <w:abstractNum w:abstractNumId="645">
    <w:nsid w:val="5F4208C"/>
    <w:multiLevelType w:val="hybridMultilevel"/>
    <w:lvl w:ilvl="0">
      <w:lvlJc w:val="left"/>
      <w:lvlText w:val="(%1)"/>
      <w:numFmt w:val="lowerRoman"/>
      <w:start w:val="1"/>
    </w:lvl>
  </w:abstractNum>
  <w:abstractNum w:abstractNumId="646">
    <w:nsid w:val="7C0F10CC"/>
    <w:multiLevelType w:val="hybridMultilevel"/>
    <w:lvl w:ilvl="0">
      <w:lvlJc w:val="left"/>
      <w:lvlText w:val="(%1)"/>
      <w:numFmt w:val="lowerLetter"/>
      <w:start w:val="1"/>
    </w:lvl>
  </w:abstractNum>
  <w:abstractNum w:abstractNumId="647">
    <w:nsid w:val="25EF81D5"/>
    <w:multiLevelType w:val="hybridMultilevel"/>
    <w:lvl w:ilvl="0">
      <w:lvlJc w:val="left"/>
      <w:lvlText w:val="(%1)"/>
      <w:numFmt w:val="lowerLetter"/>
      <w:start w:val="2"/>
    </w:lvl>
  </w:abstractNum>
  <w:abstractNum w:abstractNumId="648">
    <w:nsid w:val="15A79515"/>
    <w:multiLevelType w:val="hybridMultilevel"/>
    <w:lvl w:ilvl="0">
      <w:lvlJc w:val="left"/>
      <w:lvlText w:val="%1."/>
      <w:numFmt w:val="decimal"/>
      <w:start w:val="22"/>
    </w:lvl>
  </w:abstractNum>
  <w:abstractNum w:abstractNumId="649">
    <w:nsid w:val="4B67062"/>
    <w:multiLevelType w:val="hybridMultilevel"/>
    <w:lvl w:ilvl="0">
      <w:lvlJc w:val="left"/>
      <w:lvlText w:val="(%1)"/>
      <w:numFmt w:val="lowerLetter"/>
      <w:start w:val="2"/>
    </w:lvl>
  </w:abstractNum>
  <w:abstractNum w:abstractNumId="650">
    <w:nsid w:val="51174123"/>
    <w:multiLevelType w:val="hybridMultilevel"/>
    <w:lvl w:ilvl="0">
      <w:lvlJc w:val="left"/>
      <w:lvlText w:val="%1."/>
      <w:numFmt w:val="decimal"/>
      <w:start w:val="23"/>
    </w:lvl>
  </w:abstractNum>
  <w:abstractNum w:abstractNumId="651">
    <w:nsid w:val="240453CA"/>
    <w:multiLevelType w:val="hybridMultilevel"/>
    <w:lvl w:ilvl="0">
      <w:lvlJc w:val="left"/>
      <w:lvlText w:val="%1."/>
      <w:numFmt w:val="decimal"/>
      <w:start w:val="24"/>
    </w:lvl>
  </w:abstractNum>
  <w:abstractNum w:abstractNumId="652">
    <w:nsid w:val="2E326D9A"/>
    <w:multiLevelType w:val="hybridMultilevel"/>
    <w:lvl w:ilvl="0">
      <w:lvlJc w:val="left"/>
      <w:lvlText w:val="%1."/>
      <w:numFmt w:val="decimal"/>
      <w:start w:val="25"/>
    </w:lvl>
  </w:abstractNum>
  <w:abstractNum w:abstractNumId="653">
    <w:nsid w:val="5EB19210"/>
    <w:multiLevelType w:val="hybridMultilevel"/>
    <w:lvl w:ilvl="0">
      <w:lvlJc w:val="left"/>
      <w:lvlText w:val="%1."/>
      <w:numFmt w:val="decimal"/>
      <w:start w:val="26"/>
    </w:lvl>
  </w:abstractNum>
  <w:abstractNum w:abstractNumId="654">
    <w:nsid w:val="44DEFF9B"/>
    <w:multiLevelType w:val="hybridMultilevel"/>
    <w:lvl w:ilvl="0">
      <w:lvlJc w:val="left"/>
      <w:lvlText w:val="(%1)"/>
      <w:numFmt w:val="decimal"/>
      <w:start w:val="1"/>
    </w:lvl>
  </w:abstractNum>
  <w:abstractNum w:abstractNumId="655">
    <w:nsid w:val="1FE7D17D"/>
    <w:multiLevelType w:val="hybridMultilevel"/>
    <w:lvl w:ilvl="0">
      <w:lvlJc w:val="left"/>
      <w:lvlText w:val="(%1)"/>
      <w:numFmt w:val="upperLetter"/>
      <w:start w:val="1"/>
    </w:lvl>
  </w:abstractNum>
  <w:abstractNum w:abstractNumId="656">
    <w:nsid w:val="52CBAB2E"/>
    <w:multiLevelType w:val="hybridMultilevel"/>
    <w:lvl w:ilvl="0">
      <w:lvlJc w:val="left"/>
      <w:lvlText w:val="%1."/>
      <w:numFmt w:val="decimal"/>
      <w:start w:val="1"/>
    </w:lvl>
  </w:abstractNum>
  <w:abstractNum w:abstractNumId="657">
    <w:nsid w:val="1A6760EF"/>
    <w:multiLevelType w:val="hybridMultilevel"/>
    <w:lvl w:ilvl="0">
      <w:lvlJc w:val="left"/>
      <w:lvlText w:val="%1."/>
      <w:numFmt w:val="decimal"/>
      <w:start w:val="2"/>
    </w:lvl>
  </w:abstractNum>
  <w:abstractNum w:abstractNumId="658">
    <w:nsid w:val="5E52C405"/>
    <w:multiLevelType w:val="hybridMultilevel"/>
    <w:lvl w:ilvl="0">
      <w:lvlJc w:val="left"/>
      <w:lvlText w:val="%1."/>
      <w:numFmt w:val="decimal"/>
      <w:start w:val="3"/>
    </w:lvl>
  </w:abstractNum>
  <w:abstractNum w:abstractNumId="659">
    <w:nsid w:val="486447"/>
    <w:multiLevelType w:val="hybridMultilevel"/>
    <w:lvl w:ilvl="0">
      <w:lvlJc w:val="left"/>
      <w:lvlText w:val="%1."/>
      <w:numFmt w:val="decimal"/>
      <w:start w:val="4"/>
    </w:lvl>
  </w:abstractNum>
  <w:abstractNum w:abstractNumId="660">
    <w:nsid w:val="61E90D1E"/>
    <w:multiLevelType w:val="hybridMultilevel"/>
    <w:lvl w:ilvl="0">
      <w:lvlJc w:val="left"/>
      <w:lvlText w:val="%1"/>
      <w:numFmt w:val="decimal"/>
      <w:start w:val="1"/>
    </w:lvl>
    <w:lvl w:ilvl="1">
      <w:lvlJc w:val="left"/>
      <w:lvlText w:val="(%2)"/>
      <w:numFmt w:val="lowerLetter"/>
      <w:start w:val="1"/>
    </w:lvl>
  </w:abstractNum>
  <w:abstractNum w:abstractNumId="661">
    <w:nsid w:val="44BD67E6"/>
    <w:multiLevelType w:val="hybridMultilevel"/>
    <w:lvl w:ilvl="0">
      <w:lvlJc w:val="left"/>
      <w:lvlText w:val="%1."/>
      <w:numFmt w:val="decimal"/>
      <w:start w:val="5"/>
    </w:lvl>
    <w:lvl w:ilvl="1">
      <w:lvlJc w:val="left"/>
      <w:lvlText w:val="%2"/>
      <w:numFmt w:val="lowerLetter"/>
      <w:start w:val="1"/>
    </w:lvl>
  </w:abstractNum>
  <w:abstractNum w:abstractNumId="662">
    <w:nsid w:val="325102D3"/>
    <w:multiLevelType w:val="hybridMultilevel"/>
    <w:lvl w:ilvl="0">
      <w:lvlJc w:val="left"/>
      <w:lvlText w:val="(%1)"/>
      <w:numFmt w:val="upperLetter"/>
      <w:start w:val="1"/>
    </w:lvl>
    <w:lvl w:ilvl="1">
      <w:lvlJc w:val="left"/>
      <w:lvlText w:val="(%2)"/>
      <w:numFmt w:val="lowerRoman"/>
      <w:start w:val="1"/>
    </w:lvl>
  </w:abstractNum>
  <w:abstractNum w:abstractNumId="663">
    <w:nsid w:val="3D9579BA"/>
    <w:multiLevelType w:val="hybridMultilevel"/>
    <w:lvl w:ilvl="0">
      <w:lvlJc w:val="left"/>
      <w:lvlText w:val="%1."/>
      <w:numFmt w:val="decimal"/>
      <w:start w:val="1"/>
    </w:lvl>
  </w:abstractNum>
  <w:abstractNum w:abstractNumId="664">
    <w:nsid w:val="ACD4C11"/>
    <w:multiLevelType w:val="hybridMultilevel"/>
    <w:lvl w:ilvl="0">
      <w:lvlJc w:val="left"/>
      <w:lvlText w:val="(%1)"/>
      <w:numFmt w:val="lowerLetter"/>
      <w:start w:val="1"/>
    </w:lvl>
  </w:abstractNum>
  <w:abstractNum w:abstractNumId="665">
    <w:nsid w:val="111817CF"/>
    <w:multiLevelType w:val="hybridMultilevel"/>
    <w:lvl w:ilvl="0">
      <w:lvlJc w:val="left"/>
      <w:lvlText w:val="(%1)"/>
      <w:numFmt w:val="lowerLetter"/>
      <w:start w:val="1"/>
    </w:lvl>
  </w:abstractNum>
  <w:abstractNum w:abstractNumId="666">
    <w:nsid w:val="76C8B568"/>
    <w:multiLevelType w:val="hybridMultilevel"/>
    <w:lvl w:ilvl="0">
      <w:lvlJc w:val="left"/>
      <w:lvlText w:val="(%1)"/>
      <w:numFmt w:val="lowerLetter"/>
      <w:start w:val="1"/>
    </w:lvl>
  </w:abstractNum>
  <w:abstractNum w:abstractNumId="667">
    <w:nsid w:val="3ACC76B1"/>
    <w:multiLevelType w:val="hybridMultilevel"/>
    <w:lvl w:ilvl="0">
      <w:lvlJc w:val="left"/>
      <w:lvlText w:val="(%1)"/>
      <w:numFmt w:val="lowerLetter"/>
      <w:start w:val="1"/>
    </w:lvl>
  </w:abstractNum>
  <w:abstractNum w:abstractNumId="668">
    <w:nsid w:val="588B1C7C"/>
    <w:multiLevelType w:val="hybridMultilevel"/>
    <w:lvl w:ilvl="0">
      <w:lvlJc w:val="left"/>
      <w:lvlText w:val="(%1)"/>
      <w:numFmt w:val="lowerLetter"/>
      <w:start w:val="1"/>
    </w:lvl>
  </w:abstractNum>
  <w:abstractNum w:abstractNumId="669">
    <w:nsid w:val="62682D8B"/>
    <w:multiLevelType w:val="hybridMultilevel"/>
    <w:lvl w:ilvl="0">
      <w:lvlJc w:val="left"/>
      <w:lvlText w:val="(%1)"/>
      <w:numFmt w:val="lowerLetter"/>
      <w:start w:val="1"/>
    </w:lvl>
  </w:abstractNum>
  <w:abstractNum w:abstractNumId="670">
    <w:nsid w:val="436F111A"/>
    <w:multiLevelType w:val="hybridMultilevel"/>
    <w:lvl w:ilvl="0">
      <w:lvlJc w:val="left"/>
      <w:lvlText w:val="%1."/>
      <w:numFmt w:val="decimal"/>
      <w:start w:val="2"/>
    </w:lvl>
  </w:abstractNum>
  <w:abstractNum w:abstractNumId="671">
    <w:nsid w:val="3299B71B"/>
    <w:multiLevelType w:val="hybridMultilevel"/>
    <w:lvl w:ilvl="0">
      <w:lvlJc w:val="left"/>
      <w:lvlText w:val="%1."/>
      <w:numFmt w:val="decimal"/>
      <w:start w:val="4"/>
    </w:lvl>
  </w:abstractNum>
  <w:abstractNum w:abstractNumId="672">
    <w:nsid w:val="7EA75F5A"/>
    <w:multiLevelType w:val="hybridMultilevel"/>
    <w:lvl w:ilvl="0">
      <w:lvlJc w:val="left"/>
      <w:lvlText w:val="%1."/>
      <w:numFmt w:val="decimal"/>
      <w:start w:val="5"/>
    </w:lvl>
  </w:abstractNum>
  <w:abstractNum w:abstractNumId="673">
    <w:nsid w:val="44419EF9"/>
    <w:multiLevelType w:val="hybridMultilevel"/>
    <w:lvl w:ilvl="0">
      <w:lvlJc w:val="left"/>
      <w:lvlText w:val="%1."/>
      <w:numFmt w:val="decimal"/>
      <w:start w:val="6"/>
    </w:lvl>
  </w:abstractNum>
  <w:abstractNum w:abstractNumId="674">
    <w:nsid w:val="3837F1DF"/>
    <w:multiLevelType w:val="hybridMultilevel"/>
    <w:lvl w:ilvl="0">
      <w:lvlJc w:val="left"/>
      <w:lvlText w:val="%1."/>
      <w:numFmt w:val="decimal"/>
      <w:start w:val="7"/>
    </w:lvl>
  </w:abstractNum>
  <w:abstractNum w:abstractNumId="675">
    <w:nsid w:val="5BE02A44"/>
    <w:multiLevelType w:val="hybridMultilevel"/>
    <w:lvl w:ilvl="0">
      <w:lvlJc w:val="left"/>
      <w:lvlText w:val="%1."/>
      <w:numFmt w:val="decimal"/>
      <w:start w:val="9"/>
    </w:lvl>
  </w:abstractNum>
  <w:abstractNum w:abstractNumId="676">
    <w:nsid w:val="4A35BF85"/>
    <w:multiLevelType w:val="hybridMultilevel"/>
    <w:lvl w:ilvl="0">
      <w:lvlJc w:val="left"/>
      <w:lvlText w:val="%1."/>
      <w:numFmt w:val="decimal"/>
      <w:start w:val="10"/>
    </w:lvl>
  </w:abstractNum>
  <w:abstractNum w:abstractNumId="677">
    <w:nsid w:val="344702AC"/>
    <w:multiLevelType w:val="hybridMultilevel"/>
    <w:lvl w:ilvl="0">
      <w:lvlJc w:val="left"/>
      <w:lvlText w:val="(%1)"/>
      <w:numFmt w:val="lowerLetter"/>
      <w:start w:val="1"/>
    </w:lvl>
  </w:abstractNum>
  <w:abstractNum w:abstractNumId="678">
    <w:nsid w:val="1CFAC1A"/>
    <w:multiLevelType w:val="hybridMultilevel"/>
    <w:lvl w:ilvl="0">
      <w:lvlJc w:val="left"/>
      <w:lvlText w:val="%1."/>
      <w:numFmt w:val="decimal"/>
      <w:start w:val="11"/>
    </w:lvl>
  </w:abstractNum>
  <w:abstractNum w:abstractNumId="679">
    <w:nsid w:val="5FDD549A"/>
    <w:multiLevelType w:val="hybridMultilevel"/>
    <w:lvl w:ilvl="0">
      <w:lvlJc w:val="left"/>
      <w:lvlText w:val="%1."/>
      <w:numFmt w:val="decimal"/>
      <w:start w:val="12"/>
    </w:lvl>
  </w:abstractNum>
  <w:abstractNum w:abstractNumId="680">
    <w:nsid w:val="38FD730E"/>
    <w:multiLevelType w:val="hybridMultilevel"/>
    <w:lvl w:ilvl="0">
      <w:lvlJc w:val="left"/>
      <w:lvlText w:val="%1."/>
      <w:numFmt w:val="decimal"/>
      <w:start w:val="1"/>
    </w:lvl>
  </w:abstractNum>
  <w:abstractNum w:abstractNumId="681">
    <w:nsid w:val="52E6ED3D"/>
    <w:multiLevelType w:val="hybridMultilevel"/>
    <w:lvl w:ilvl="0">
      <w:lvlJc w:val="left"/>
      <w:lvlText w:val="%1."/>
      <w:numFmt w:val="decimal"/>
      <w:start w:val="6"/>
    </w:lvl>
  </w:abstractNum>
  <w:abstractNum w:abstractNumId="682">
    <w:nsid w:val="3E1A864"/>
    <w:multiLevelType w:val="hybridMultilevel"/>
    <w:lvl w:ilvl="0">
      <w:lvlJc w:val="left"/>
      <w:lvlText w:val="1"/>
      <w:numFmt w:val="bullet"/>
      <w:start w:val="1"/>
    </w:lvl>
  </w:abstractNum>
  <w:abstractNum w:abstractNumId="683">
    <w:nsid w:val="672FE0A8"/>
    <w:multiLevelType w:val="hybridMultilevel"/>
    <w:lvl w:ilvl="0">
      <w:lvlJc w:val="left"/>
      <w:lvlText w:val="%1."/>
      <w:numFmt w:val="decimal"/>
      <w:start w:val="1"/>
    </w:lvl>
  </w:abstractNum>
  <w:abstractNum w:abstractNumId="684">
    <w:nsid w:val="31987F4D"/>
    <w:multiLevelType w:val="hybridMultilevel"/>
    <w:lvl w:ilvl="0">
      <w:lvlJc w:val="left"/>
      <w:lvlText w:val="%1."/>
      <w:numFmt w:val="decimal"/>
      <w:start w:val="1"/>
    </w:lvl>
  </w:abstractNum>
  <w:abstractNum w:abstractNumId="685">
    <w:nsid w:val="48C0A800"/>
    <w:multiLevelType w:val="hybridMultilevel"/>
    <w:lvl w:ilvl="0">
      <w:lvlJc w:val="left"/>
      <w:lvlText w:val="%1."/>
      <w:numFmt w:val="decimal"/>
      <w:start w:val="2"/>
    </w:lvl>
  </w:abstractNum>
  <w:abstractNum w:abstractNumId="686">
    <w:nsid w:val="717B226"/>
    <w:multiLevelType w:val="hybridMultilevel"/>
    <w:lvl w:ilvl="0">
      <w:lvlJc w:val="left"/>
      <w:lvlText w:val="%1."/>
      <w:numFmt w:val="decimal"/>
      <w:start w:val="3"/>
    </w:lvl>
  </w:abstractNum>
  <w:abstractNum w:abstractNumId="687">
    <w:nsid w:val="4642A7B"/>
    <w:multiLevelType w:val="hybridMultilevel"/>
    <w:lvl w:ilvl="0">
      <w:lvlJc w:val="left"/>
      <w:lvlText w:val="%1."/>
      <w:numFmt w:val="decimal"/>
      <w:start w:val="4"/>
    </w:lvl>
  </w:abstractNum>
  <w:abstractNum w:abstractNumId="688">
    <w:nsid w:val="632808EF"/>
    <w:multiLevelType w:val="hybridMultilevel"/>
    <w:lvl w:ilvl="0">
      <w:lvlJc w:val="left"/>
      <w:lvlText w:val="%1."/>
      <w:numFmt w:val="decimal"/>
      <w:start w:val="5"/>
    </w:lvl>
  </w:abstractNum>
  <w:abstractNum w:abstractNumId="689">
    <w:nsid w:val="656A762B"/>
    <w:multiLevelType w:val="hybridMultilevel"/>
    <w:lvl w:ilvl="0">
      <w:lvlJc w:val="left"/>
      <w:lvlText w:val="%1."/>
      <w:numFmt w:val="decimal"/>
      <w:start w:val="6"/>
    </w:lvl>
  </w:abstractNum>
  <w:abstractNum w:abstractNumId="690">
    <w:nsid w:val="4AC8EC3"/>
    <w:multiLevelType w:val="hybridMultilevel"/>
    <w:lvl w:ilvl="0">
      <w:lvlJc w:val="left"/>
      <w:lvlText w:val="%1."/>
      <w:numFmt w:val="decimal"/>
      <w:start w:val="7"/>
    </w:lvl>
  </w:abstractNum>
  <w:abstractNum w:abstractNumId="691">
    <w:nsid w:val="4511160D"/>
    <w:multiLevelType w:val="hybridMultilevel"/>
    <w:lvl w:ilvl="0">
      <w:lvlJc w:val="left"/>
      <w:lvlText w:val="%1."/>
      <w:numFmt w:val="decimal"/>
      <w:start w:val="8"/>
    </w:lvl>
  </w:abstractNum>
  <w:abstractNum w:abstractNumId="692">
    <w:nsid w:val="2A27DE11"/>
    <w:multiLevelType w:val="hybridMultilevel"/>
    <w:lvl w:ilvl="0">
      <w:lvlJc w:val="left"/>
      <w:lvlText w:val="(%1)"/>
      <w:numFmt w:val="lowerRoman"/>
      <w:start w:val="2"/>
    </w:lvl>
  </w:abstractNum>
  <w:abstractNum w:abstractNumId="693">
    <w:nsid w:val="36FD9196"/>
    <w:multiLevelType w:val="hybridMultilevel"/>
    <w:lvl w:ilvl="0">
      <w:lvlJc w:val="left"/>
      <w:lvlText w:val="(%1)"/>
      <w:numFmt w:val="lowerLetter"/>
      <w:start w:val="1"/>
    </w:lvl>
  </w:abstractNum>
  <w:abstractNum w:abstractNumId="694">
    <w:nsid w:val="2A68FC8"/>
    <w:multiLevelType w:val="hybridMultilevel"/>
    <w:lvl w:ilvl="0">
      <w:lvlJc w:val="left"/>
      <w:lvlText w:val="%1."/>
      <w:numFmt w:val="decimal"/>
      <w:start w:val="9"/>
    </w:lvl>
  </w:abstractNum>
  <w:abstractNum w:abstractNumId="695">
    <w:nsid w:val="34F52A23"/>
    <w:multiLevelType w:val="hybridMultilevel"/>
    <w:lvl w:ilvl="0">
      <w:lvlJc w:val="left"/>
      <w:lvlText w:val="%1."/>
      <w:numFmt w:val="decimal"/>
      <w:start w:val="10"/>
    </w:lvl>
  </w:abstractNum>
  <w:abstractNum w:abstractNumId="696">
    <w:nsid w:val="4815A966"/>
    <w:multiLevelType w:val="hybridMultilevel"/>
    <w:lvl w:ilvl="0">
      <w:lvlJc w:val="left"/>
      <w:lvlText w:val="(%1)"/>
      <w:numFmt w:val="lowerLetter"/>
      <w:start w:val="1"/>
    </w:lvl>
    <w:lvl w:ilvl="1">
      <w:lvlJc w:val="left"/>
      <w:lvlText w:val="(%2)"/>
      <w:numFmt w:val="decimal"/>
      <w:start w:val="10"/>
    </w:lvl>
    <w:lvl w:ilvl="2">
      <w:lvlJc w:val="left"/>
      <w:lvlText w:val="(%3)"/>
      <w:numFmt w:val="lowerRoman"/>
      <w:start w:val="1"/>
    </w:lvl>
  </w:abstractNum>
  <w:abstractNum w:abstractNumId="697">
    <w:nsid w:val="796F4530"/>
    <w:multiLevelType w:val="hybridMultilevel"/>
    <w:lvl w:ilvl="0">
      <w:lvlJc w:val="left"/>
      <w:lvlText w:val="(%1)"/>
      <w:numFmt w:val="lowerLetter"/>
      <w:start w:val="8"/>
    </w:lvl>
  </w:abstractNum>
  <w:abstractNum w:abstractNumId="698">
    <w:nsid w:val="6FC1A0D4"/>
    <w:multiLevelType w:val="hybridMultilevel"/>
    <w:lvl w:ilvl="0">
      <w:lvlJc w:val="left"/>
      <w:lvlText w:val="%1."/>
      <w:numFmt w:val="decimal"/>
      <w:start w:val="11"/>
    </w:lvl>
  </w:abstractNum>
  <w:abstractNum w:abstractNumId="699">
    <w:nsid w:val="20A0C5E2"/>
    <w:multiLevelType w:val="hybridMultilevel"/>
    <w:lvl w:ilvl="0">
      <w:lvlJc w:val="left"/>
      <w:lvlText w:val="(%1)"/>
      <w:numFmt w:val="lowerLetter"/>
      <w:start w:val="1"/>
    </w:lvl>
  </w:abstractNum>
  <w:abstractNum w:abstractNumId="700">
    <w:nsid w:val="5BD772BB"/>
    <w:multiLevelType w:val="hybridMultilevel"/>
    <w:lvl w:ilvl="0">
      <w:lvlJc w:val="left"/>
      <w:lvlText w:val="(%1)"/>
      <w:numFmt w:val="lowerLetter"/>
      <w:start w:val="1"/>
    </w:lvl>
  </w:abstractNum>
  <w:abstractNum w:abstractNumId="701">
    <w:nsid w:val="3330B1EE"/>
    <w:multiLevelType w:val="hybridMultilevel"/>
    <w:lvl w:ilvl="0">
      <w:lvlJc w:val="left"/>
      <w:lvlText w:val="%1."/>
      <w:numFmt w:val="decimal"/>
      <w:start w:val="12"/>
    </w:lvl>
  </w:abstractNum>
  <w:abstractNum w:abstractNumId="702">
    <w:nsid w:val="533A7CFD"/>
    <w:multiLevelType w:val="hybridMultilevel"/>
    <w:lvl w:ilvl="0">
      <w:lvlJc w:val="left"/>
      <w:lvlText w:val="(%1)"/>
      <w:numFmt w:val="decimal"/>
      <w:start w:val="90"/>
    </w:lvl>
  </w:abstractNum>
  <w:abstractNum w:abstractNumId="703">
    <w:nsid w:val="5A7ED215"/>
    <w:multiLevelType w:val="hybridMultilevel"/>
    <w:lvl w:ilvl="0">
      <w:lvlJc w:val="left"/>
      <w:lvlText w:val="%1."/>
      <w:numFmt w:val="decimal"/>
      <w:start w:val="13"/>
    </w:lvl>
  </w:abstractNum>
  <w:abstractNum w:abstractNumId="704">
    <w:nsid w:val="777250E7"/>
    <w:multiLevelType w:val="hybridMultilevel"/>
    <w:lvl w:ilvl="0">
      <w:lvlJc w:val="left"/>
      <w:lvlText w:val="%1."/>
      <w:numFmt w:val="decimal"/>
      <w:start w:val="14"/>
    </w:lvl>
  </w:abstractNum>
  <w:abstractNum w:abstractNumId="705">
    <w:nsid w:val="B726EDC"/>
    <w:multiLevelType w:val="hybridMultilevel"/>
    <w:lvl w:ilvl="0">
      <w:lvlJc w:val="left"/>
      <w:lvlText w:val="%1."/>
      <w:numFmt w:val="decimal"/>
      <w:start w:val="15"/>
    </w:lvl>
  </w:abstractNum>
  <w:abstractNum w:abstractNumId="706">
    <w:nsid w:val="365EFC5A"/>
    <w:multiLevelType w:val="hybridMultilevel"/>
    <w:lvl w:ilvl="0">
      <w:lvlJc w:val="left"/>
      <w:lvlText w:val="(%1)"/>
      <w:numFmt w:val="lowerLetter"/>
      <w:start w:val="1"/>
    </w:lvl>
    <w:lvl w:ilvl="1">
      <w:lvlJc w:val="left"/>
      <w:lvlText w:val="(%2)"/>
      <w:numFmt w:val="lowerRoman"/>
      <w:start w:val="1"/>
    </w:lvl>
  </w:abstractNum>
  <w:abstractNum w:abstractNumId="707">
    <w:nsid w:val="41A8106C"/>
    <w:multiLevelType w:val="hybridMultilevel"/>
    <w:lvl w:ilvl="0">
      <w:lvlJc w:val="left"/>
      <w:lvlText w:val="%1."/>
      <w:numFmt w:val="decimal"/>
      <w:start w:val="16"/>
    </w:lvl>
  </w:abstractNum>
  <w:abstractNum w:abstractNumId="708">
    <w:nsid w:val="3FB97188"/>
    <w:multiLevelType w:val="hybridMultilevel"/>
    <w:lvl w:ilvl="0">
      <w:lvlJc w:val="left"/>
      <w:lvlText w:val="%1."/>
      <w:numFmt w:val="decimal"/>
      <w:start w:val="1"/>
    </w:lvl>
  </w:abstractNum>
  <w:abstractNum w:abstractNumId="709">
    <w:nsid w:val="382EA87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jpe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709" Type="http://schemas.openxmlformats.org/officeDocument/2006/relationships/image" Target="media/image691.png"/><Relationship Id="rId727" Type="http://schemas.openxmlformats.org/officeDocument/2006/relationships/image" Target="media/image692.png"/><Relationship Id="rId732" Type="http://schemas.openxmlformats.org/officeDocument/2006/relationships/image" Target="media/image693.png"/><Relationship Id="rId733" Type="http://schemas.openxmlformats.org/officeDocument/2006/relationships/image" Target="media/image694.png"/><Relationship Id="rId734" Type="http://schemas.openxmlformats.org/officeDocument/2006/relationships/image" Target="media/image695.png"/><Relationship Id="rId735" Type="http://schemas.openxmlformats.org/officeDocument/2006/relationships/image" Target="media/image696.png"/><Relationship Id="rId736" Type="http://schemas.openxmlformats.org/officeDocument/2006/relationships/image" Target="media/image697.png"/><Relationship Id="rId737" Type="http://schemas.openxmlformats.org/officeDocument/2006/relationships/image" Target="media/image698.png"/><Relationship Id="rId738" Type="http://schemas.openxmlformats.org/officeDocument/2006/relationships/image" Target="media/image699.png"/><Relationship Id="rId739" Type="http://schemas.openxmlformats.org/officeDocument/2006/relationships/image" Target="media/image700.jpeg"/><Relationship Id="rId740" Type="http://schemas.openxmlformats.org/officeDocument/2006/relationships/image" Target="media/image701.png"/><Relationship Id="rId741" Type="http://schemas.openxmlformats.org/officeDocument/2006/relationships/image" Target="media/image702.png"/><Relationship Id="rId742" Type="http://schemas.openxmlformats.org/officeDocument/2006/relationships/image" Target="media/image703.png"/><Relationship Id="rId743" Type="http://schemas.openxmlformats.org/officeDocument/2006/relationships/image" Target="media/image704.png"/><Relationship Id="rId744" Type="http://schemas.openxmlformats.org/officeDocument/2006/relationships/image" Target="media/image705.png"/><Relationship Id="rId745" Type="http://schemas.openxmlformats.org/officeDocument/2006/relationships/image" Target="media/image706.png"/><Relationship Id="rId746" Type="http://schemas.openxmlformats.org/officeDocument/2006/relationships/image" Target="media/image707.png"/><Relationship Id="rId747" Type="http://schemas.openxmlformats.org/officeDocument/2006/relationships/image" Target="media/image708.png"/><Relationship Id="rId748" Type="http://schemas.openxmlformats.org/officeDocument/2006/relationships/image" Target="media/image709.png"/><Relationship Id="rId749" Type="http://schemas.openxmlformats.org/officeDocument/2006/relationships/image" Target="media/image710.png"/><Relationship Id="rId750" Type="http://schemas.openxmlformats.org/officeDocument/2006/relationships/image" Target="media/image711.png"/><Relationship Id="rId751" Type="http://schemas.openxmlformats.org/officeDocument/2006/relationships/image" Target="media/image712.png"/><Relationship Id="rId752" Type="http://schemas.openxmlformats.org/officeDocument/2006/relationships/image" Target="media/image713.png"/><Relationship Id="rId753" Type="http://schemas.openxmlformats.org/officeDocument/2006/relationships/image" Target="media/image714.png"/><Relationship Id="rId754" Type="http://schemas.openxmlformats.org/officeDocument/2006/relationships/image" Target="media/image715.png"/><Relationship Id="rId755" Type="http://schemas.openxmlformats.org/officeDocument/2006/relationships/image" Target="media/image716.png"/><Relationship Id="rId756" Type="http://schemas.openxmlformats.org/officeDocument/2006/relationships/image" Target="media/image717.png"/><Relationship Id="rId757" Type="http://schemas.openxmlformats.org/officeDocument/2006/relationships/image" Target="media/image718.png"/><Relationship Id="rId758" Type="http://schemas.openxmlformats.org/officeDocument/2006/relationships/image" Target="media/image719.png"/><Relationship Id="rId759" Type="http://schemas.openxmlformats.org/officeDocument/2006/relationships/image" Target="media/image720.png"/><Relationship Id="rId760" Type="http://schemas.openxmlformats.org/officeDocument/2006/relationships/image" Target="media/image721.png"/><Relationship Id="rId761" Type="http://schemas.openxmlformats.org/officeDocument/2006/relationships/image" Target="media/image722.png"/><Relationship Id="rId762" Type="http://schemas.openxmlformats.org/officeDocument/2006/relationships/image" Target="media/image723.png"/><Relationship Id="rId763" Type="http://schemas.openxmlformats.org/officeDocument/2006/relationships/image" Target="media/image724.png"/><Relationship Id="rId764" Type="http://schemas.openxmlformats.org/officeDocument/2006/relationships/image" Target="media/image725.png"/><Relationship Id="rId765" Type="http://schemas.openxmlformats.org/officeDocument/2006/relationships/image" Target="media/image726.png"/><Relationship Id="rId766" Type="http://schemas.openxmlformats.org/officeDocument/2006/relationships/image" Target="media/image727.png"/><Relationship Id="rId767" Type="http://schemas.openxmlformats.org/officeDocument/2006/relationships/image" Target="media/image728.png"/><Relationship Id="rId768" Type="http://schemas.openxmlformats.org/officeDocument/2006/relationships/image" Target="media/image729.png"/><Relationship Id="rId769" Type="http://schemas.openxmlformats.org/officeDocument/2006/relationships/image" Target="media/image730.png"/><Relationship Id="rId770" Type="http://schemas.openxmlformats.org/officeDocument/2006/relationships/image" Target="media/image731.png"/><Relationship Id="rId771" Type="http://schemas.openxmlformats.org/officeDocument/2006/relationships/image" Target="media/image732.png"/><Relationship Id="rId772" Type="http://schemas.openxmlformats.org/officeDocument/2006/relationships/image" Target="media/image733.png"/><Relationship Id="rId773" Type="http://schemas.openxmlformats.org/officeDocument/2006/relationships/image" Target="media/image734.png"/><Relationship Id="rId774" Type="http://schemas.openxmlformats.org/officeDocument/2006/relationships/image" Target="media/image735.png"/><Relationship Id="rId775" Type="http://schemas.openxmlformats.org/officeDocument/2006/relationships/image" Target="media/image736.png"/><Relationship Id="rId776" Type="http://schemas.openxmlformats.org/officeDocument/2006/relationships/image" Target="media/image737.png"/><Relationship Id="rId777" Type="http://schemas.openxmlformats.org/officeDocument/2006/relationships/image" Target="media/image738.png"/><Relationship Id="rId778" Type="http://schemas.openxmlformats.org/officeDocument/2006/relationships/image" Target="media/image739.png"/><Relationship Id="rId779" Type="http://schemas.openxmlformats.org/officeDocument/2006/relationships/image" Target="media/image740.png"/><Relationship Id="rId780" Type="http://schemas.openxmlformats.org/officeDocument/2006/relationships/image" Target="media/image741.png"/><Relationship Id="rId781" Type="http://schemas.openxmlformats.org/officeDocument/2006/relationships/image" Target="media/image742.png"/><Relationship Id="rId782" Type="http://schemas.openxmlformats.org/officeDocument/2006/relationships/image" Target="media/image743.png"/><Relationship Id="rId783" Type="http://schemas.openxmlformats.org/officeDocument/2006/relationships/image" Target="media/image744.png"/><Relationship Id="rId784" Type="http://schemas.openxmlformats.org/officeDocument/2006/relationships/image" Target="media/image745.png"/><Relationship Id="rId785" Type="http://schemas.openxmlformats.org/officeDocument/2006/relationships/image" Target="media/image746.png"/><Relationship Id="rId786" Type="http://schemas.openxmlformats.org/officeDocument/2006/relationships/image" Target="media/image747.png"/><Relationship Id="rId787" Type="http://schemas.openxmlformats.org/officeDocument/2006/relationships/image" Target="media/image748.png"/><Relationship Id="rId788" Type="http://schemas.openxmlformats.org/officeDocument/2006/relationships/image" Target="media/image749.png"/><Relationship Id="rId789" Type="http://schemas.openxmlformats.org/officeDocument/2006/relationships/image" Target="media/image750.png"/><Relationship Id="rId790" Type="http://schemas.openxmlformats.org/officeDocument/2006/relationships/image" Target="media/image751.png"/><Relationship Id="rId791" Type="http://schemas.openxmlformats.org/officeDocument/2006/relationships/image" Target="media/image752.png"/><Relationship Id="rId792" Type="http://schemas.openxmlformats.org/officeDocument/2006/relationships/image" Target="media/image753.png"/><Relationship Id="rId793" Type="http://schemas.openxmlformats.org/officeDocument/2006/relationships/image" Target="media/image754.png"/><Relationship Id="rId794" Type="http://schemas.openxmlformats.org/officeDocument/2006/relationships/image" Target="media/image755.png"/><Relationship Id="rId795" Type="http://schemas.openxmlformats.org/officeDocument/2006/relationships/image" Target="media/image756.png"/><Relationship Id="rId796" Type="http://schemas.openxmlformats.org/officeDocument/2006/relationships/image" Target="media/image757.png"/><Relationship Id="rId797" Type="http://schemas.openxmlformats.org/officeDocument/2006/relationships/image" Target="media/image758.png"/><Relationship Id="rId798" Type="http://schemas.openxmlformats.org/officeDocument/2006/relationships/image" Target="media/image759.png"/><Relationship Id="rId799" Type="http://schemas.openxmlformats.org/officeDocument/2006/relationships/image" Target="media/image760.png"/><Relationship Id="rId800" Type="http://schemas.openxmlformats.org/officeDocument/2006/relationships/image" Target="media/image761.png"/><Relationship Id="rId801" Type="http://schemas.openxmlformats.org/officeDocument/2006/relationships/image" Target="media/image762.png"/><Relationship Id="rId802" Type="http://schemas.openxmlformats.org/officeDocument/2006/relationships/image" Target="media/image763.png"/><Relationship Id="rId803" Type="http://schemas.openxmlformats.org/officeDocument/2006/relationships/image" Target="media/image764.png"/><Relationship Id="rId804" Type="http://schemas.openxmlformats.org/officeDocument/2006/relationships/image" Target="media/image765.png"/><Relationship Id="rId805" Type="http://schemas.openxmlformats.org/officeDocument/2006/relationships/image" Target="media/image766.png"/><Relationship Id="rId806" Type="http://schemas.openxmlformats.org/officeDocument/2006/relationships/image" Target="media/image767.png"/><Relationship Id="rId807" Type="http://schemas.openxmlformats.org/officeDocument/2006/relationships/image" Target="media/image768.png"/><Relationship Id="rId808" Type="http://schemas.openxmlformats.org/officeDocument/2006/relationships/image" Target="media/image769.png"/><Relationship Id="rId809" Type="http://schemas.openxmlformats.org/officeDocument/2006/relationships/image" Target="media/image770.png"/><Relationship Id="rId810" Type="http://schemas.openxmlformats.org/officeDocument/2006/relationships/image" Target="media/image771.png"/><Relationship Id="rId811" Type="http://schemas.openxmlformats.org/officeDocument/2006/relationships/image" Target="media/image772.png"/><Relationship Id="rId812" Type="http://schemas.openxmlformats.org/officeDocument/2006/relationships/image" Target="media/image773.png"/><Relationship Id="rId813" Type="http://schemas.openxmlformats.org/officeDocument/2006/relationships/image" Target="media/image774.png"/><Relationship Id="rId814" Type="http://schemas.openxmlformats.org/officeDocument/2006/relationships/image" Target="media/image775.png"/><Relationship Id="rId815" Type="http://schemas.openxmlformats.org/officeDocument/2006/relationships/image" Target="media/image776.png"/><Relationship Id="rId816" Type="http://schemas.openxmlformats.org/officeDocument/2006/relationships/image" Target="media/image777.png"/><Relationship Id="rId817" Type="http://schemas.openxmlformats.org/officeDocument/2006/relationships/image" Target="media/image778.jpeg"/><Relationship Id="rId818" Type="http://schemas.openxmlformats.org/officeDocument/2006/relationships/image" Target="media/image779.jpeg"/><Relationship Id="rId819" Type="http://schemas.openxmlformats.org/officeDocument/2006/relationships/image" Target="media/image780.jpeg"/><Relationship Id="rId820" Type="http://schemas.openxmlformats.org/officeDocument/2006/relationships/image" Target="media/image781.png"/><Relationship Id="rId698" Type="http://schemas.openxmlformats.org/officeDocument/2006/relationships/hyperlink" Target="http://www.sec.gov/Archives/edgar/data/1920294/000119312523240685/d309194df4a.htm#anxacov" TargetMode="External"/><Relationship Id="rId699" Type="http://schemas.openxmlformats.org/officeDocument/2006/relationships/hyperlink" Target="http://www.sec.gov/Archives/edgar/data/1920294/000119312523240685/d309194df4a.htm#anxaa" TargetMode="External"/><Relationship Id="rId700" Type="http://schemas.openxmlformats.org/officeDocument/2006/relationships/hyperlink" Target="http://www.sec.gov/Archives/edgar/data/0001920294/000119312523240685/d309194dex31.htm" TargetMode="External"/><Relationship Id="rId701" Type="http://schemas.openxmlformats.org/officeDocument/2006/relationships/hyperlink" Target="http://www.sec.gov/Archives/edgar/data/0001920294/000119312523240685/d309194dex32.htm" TargetMode="External"/><Relationship Id="rId702" Type="http://schemas.openxmlformats.org/officeDocument/2006/relationships/hyperlink" Target="http://www.sec.gov/Archives/edgar/data/1920294/000119312523240685/d309194dex33.htm" TargetMode="External"/><Relationship Id="rId703" Type="http://schemas.openxmlformats.org/officeDocument/2006/relationships/hyperlink" Target="http://www.sec.gov/Archives/edgar/data/0001920294/000119312523240685/d309194dex35.htm" TargetMode="External"/><Relationship Id="rId704" Type="http://schemas.openxmlformats.org/officeDocument/2006/relationships/hyperlink" Target="http://www.sec.gov/Archives/edgar/data/0001920294/000119312523240685/d309194dex41.htm" TargetMode="External"/><Relationship Id="rId705" Type="http://schemas.openxmlformats.org/officeDocument/2006/relationships/hyperlink" Target="http://www.sec.gov/Archives/edgar/data/0001920294/000119312523240685/d309194dex42.htm" TargetMode="External"/><Relationship Id="rId706" Type="http://schemas.openxmlformats.org/officeDocument/2006/relationships/hyperlink" Target="http://www.sec.gov/Archives/edgar/data/0001920294/000119312523240685/d309194dex43.htm" TargetMode="External"/><Relationship Id="rId707" Type="http://schemas.openxmlformats.org/officeDocument/2006/relationships/hyperlink" Target="http://www.sec.gov/Archives/edgar/data/0001920294/000119312523240685/d309194dex44.htm" TargetMode="External"/><Relationship Id="rId708" Type="http://schemas.openxmlformats.org/officeDocument/2006/relationships/hyperlink" Target="http://www.sec.gov/Archives/edgar/data/1920294/000119312523289982/d309194dex101.htm" TargetMode="External"/><Relationship Id="rId710" Type="http://schemas.openxmlformats.org/officeDocument/2006/relationships/hyperlink" Target="http://www.sec.gov/Archives/edgar/data/1920294/000119312524010415/d309194dex102.htm" TargetMode="External"/><Relationship Id="rId711" Type="http://schemas.openxmlformats.org/officeDocument/2006/relationships/hyperlink" Target="http://www.sec.gov/Archives/edgar/data/0001920294/000119312524010415/d309194dex103.htm" TargetMode="External"/><Relationship Id="rId712" Type="http://schemas.openxmlformats.org/officeDocument/2006/relationships/hyperlink" Target="http://www.sec.gov/Archives/edgar/data/0001920294/000119312524010415/d309194dex104.htm" TargetMode="External"/><Relationship Id="rId713" Type="http://schemas.openxmlformats.org/officeDocument/2006/relationships/hyperlink" Target="http://www.sec.gov/Archives/edgar/data/0001920294/000119312524143103/d309194dex109.htm" TargetMode="External"/><Relationship Id="rId714" Type="http://schemas.openxmlformats.org/officeDocument/2006/relationships/hyperlink" Target="http://www.sec.gov/Archives/edgar/data/1920294/000119312524010415/d309194dex1010.htm" TargetMode="External"/><Relationship Id="rId715" Type="http://schemas.openxmlformats.org/officeDocument/2006/relationships/hyperlink" Target="http://www.sec.gov/Archives/edgar/data/1920294/000119312524010415/d309194dex1011.htm" TargetMode="External"/><Relationship Id="rId716" Type="http://schemas.openxmlformats.org/officeDocument/2006/relationships/hyperlink" Target="http://www.sec.gov/Archives/edgar/data/1920294/000119312524010415/d309194dex1012.htm" TargetMode="External"/><Relationship Id="rId717" Type="http://schemas.openxmlformats.org/officeDocument/2006/relationships/hyperlink" Target="http://www.sec.gov/Archives/edgar/data/1920294/000119312524010415/d309194dex1013.htm" TargetMode="External"/><Relationship Id="rId718" Type="http://schemas.openxmlformats.org/officeDocument/2006/relationships/hyperlink" Target="http://www.sec.gov/Archives/edgar/data/1920294/000119312524010415/d309194dex1016.htm" TargetMode="External"/><Relationship Id="rId719" Type="http://schemas.openxmlformats.org/officeDocument/2006/relationships/hyperlink" Target="http://www.sec.gov/Archives/edgar/data/0001920294/000119312524143103/d309194dex1018.htm" TargetMode="External"/><Relationship Id="rId720" Type="http://schemas.openxmlformats.org/officeDocument/2006/relationships/hyperlink" Target="http://www.sec.gov/Archives/edgar/data/0001920294/000119312524143103/d309194dex1019.htm" TargetMode="External"/><Relationship Id="rId721" Type="http://schemas.openxmlformats.org/officeDocument/2006/relationships/hyperlink" Target="http://www.sec.gov/Archives/edgar/data/0001920294/000119312524143103/d309194dex1020.htm" TargetMode="External"/><Relationship Id="rId722" Type="http://schemas.openxmlformats.org/officeDocument/2006/relationships/hyperlink" Target="http://www.sec.gov/Archives/edgar/data/0001920294/000119312524143103/d309194dex1021.htm" TargetMode="External"/><Relationship Id="rId723" Type="http://schemas.openxmlformats.org/officeDocument/2006/relationships/hyperlink" Target="http://www.sec.gov/Archives/edgar/data/0001920294/000119312524143103/d309194dex1022.htm" TargetMode="External"/><Relationship Id="rId724" Type="http://schemas.openxmlformats.org/officeDocument/2006/relationships/hyperlink" Target="http://www.sec.gov/Archives/edgar/data/0001920294/000119312524143103/d309194dex1023.htm" TargetMode="External"/><Relationship Id="rId725" Type="http://schemas.openxmlformats.org/officeDocument/2006/relationships/hyperlink" Target="http://www.sec.gov/Archives/edgar/data/0001920294/000119312524143103/d309194dex1024.htm" TargetMode="External"/><Relationship Id="rId726" Type="http://schemas.openxmlformats.org/officeDocument/2006/relationships/hyperlink" Target="http://www.sec.gov/Archives/edgar/data/0001920294/000119312524010415/d309194dex211.htm" TargetMode="External"/><Relationship Id="rId728" Type="http://schemas.openxmlformats.org/officeDocument/2006/relationships/hyperlink" Target="http://www.sec.gov/Archives/edgar/data/1920294/000119312523169136/d309194df4.htm#sig" TargetMode="External"/><Relationship Id="rId729" Type="http://schemas.openxmlformats.org/officeDocument/2006/relationships/hyperlink" Target="http://www.sec.gov/Archives/edgar/data/0001920294/000119312524010415/d309194dex991.htm" TargetMode="External"/><Relationship Id="rId730" Type="http://schemas.openxmlformats.org/officeDocument/2006/relationships/hyperlink" Target="http://www.sec.gov/Archives/edgar/data/1920294/000119312523169136/d309194dex992.htm" TargetMode="External"/><Relationship Id="rId731" Type="http://schemas.openxmlformats.org/officeDocument/2006/relationships/hyperlink" Target="http://www.sec.gov/Archives/edgar/data/1920294/000119312523169136/d309194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2024-06-12T06:30:08Z</dcterms:created>
  <dcterms:modified xsi:type="dcterms:W3CDTF">2024-06-12T06:30:08Z</dcterms:modified>
</cp:coreProperties>
</file>